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86"/>
        <w:ind w:left="0" w:right="0"/>
      </w:pPr>
    </w:p>
    <w:p>
      <w:pPr>
        <w:autoSpaceDN w:val="0"/>
        <w:autoSpaceDE w:val="0"/>
        <w:pStyle w:val="Heading1"/>
        <w:widowControl/>
        <w:spacing w:line="496" w:lineRule="exact" w:before="0" w:after="0"/>
        <w:ind w:left="0" w:right="0" w:firstLine="0"/>
        <w:jc w:val="center"/>
      </w:pPr>
      <w:r>
        <w:rPr>
          <w:rFonts w:ascii="Arial" w:hAnsi="Arial" w:eastAsia="Helvetica"/>
          <w:b/>
          <w:i w:val="0"/>
          <w:color w:val="1E1E23"/>
          <w:sz w:val="36"/>
        </w:rPr>
        <w:t>Carlos Walker</w:t>
      </w:r>
    </w:p>
    <w:p>
      <w:pPr>
        <w:autoSpaceDN w:val="0"/>
        <w:autoSpaceDE w:val="0"/>
        <w:widowControl/>
        <w:spacing w:line="232" w:lineRule="exact" w:before="8" w:after="0"/>
        <w:ind w:left="0" w:right="0" w:firstLine="0"/>
        <w:jc w:val="center"/>
      </w:pPr>
      <w:r>
        <w:rPr>
          <w:rFonts w:ascii="Arial" w:hAnsi="Arial" w:eastAsia="Helvetica"/>
          <w:b w:val="0"/>
          <w:i w:val="0"/>
          <w:color w:val="72727A"/>
          <w:sz w:val="17"/>
        </w:rPr>
        <w:t>carlos.walker@mailbox.test · (539) 978-3444 · Nashville, TN</w:t>
      </w:r>
    </w:p>
    <w:p>
      <w:pPr>
        <w:autoSpaceDN w:val="0"/>
        <w:autoSpaceDE w:val="0"/>
        <w:widowControl/>
        <w:spacing w:line="276" w:lineRule="exact" w:before="316" w:after="0"/>
        <w:ind w:left="6" w:right="0" w:firstLine="0"/>
        <w:jc w:val="left"/>
        <w:pBdr>
          <w:bottom w:val="single" w:sz="6" w:space="1" w:color="auto"/>
        </w:pBdr>
      </w:pPr>
      <w:r>
        <w:rPr>
          <w:rFonts w:ascii="Arial" w:hAnsi="Arial" w:eastAsia="Helvetica"/>
          <w:b/>
          <w:i w:val="0"/>
          <w:color w:val="1E1E23"/>
          <w:sz w:val="20"/>
        </w:rPr>
        <w:t>Skills</w:t>
      </w:r>
    </w:p>
    <w:p>
      <w:pPr>
        <w:autoSpaceDN w:val="0"/>
        <w:autoSpaceDE w:val="0"/>
        <w:widowControl/>
        <w:spacing w:line="260" w:lineRule="exact" w:before="164" w:after="0"/>
        <w:ind w:left="6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Forecasting Public Speaking AWS Customer Relations Copywriting Docker Communication Process Improvement</w:t>
      </w:r>
    </w:p>
    <w:p>
      <w:pPr>
        <w:autoSpaceDN w:val="0"/>
        <w:autoSpaceDE w:val="0"/>
        <w:widowControl/>
        <w:spacing w:line="276" w:lineRule="exact" w:before="150" w:after="12"/>
        <w:ind w:left="6" w:right="0" w:firstLine="0"/>
        <w:jc w:val="left"/>
        <w:pBdr>
          <w:bottom w:val="single" w:sz="6" w:space="1" w:color="auto"/>
        </w:pBdr>
      </w:pPr>
      <w:r>
        <w:rPr>
          <w:rFonts w:ascii="Arial" w:hAnsi="Arial" w:eastAsia="Helvetica"/>
          <w:b/>
          <w:i w:val="0"/>
          <w:color w:val="1E1E23"/>
          <w:sz w:val="20"/>
        </w:rPr>
        <w:t>Experience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58"/>
        <w:gridCol w:w="5058"/>
      </w:tblGrid>
      <w:tr>
        <w:trPr>
          <w:trHeight w:hRule="exact" w:val="482"/>
        </w:trPr>
        <w:tc>
          <w:tcPr>
            <w:tcW w:type="dxa" w:w="6666"/>
            <w:tcBorders>
              <w:top w:sz="5.599999904632568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0" w:after="0"/>
              <w:ind w:left="6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20"/>
              </w:rPr>
              <w:t>Customer Success Manager — Fulcrum Analytics</w:t>
            </w:r>
          </w:p>
        </w:tc>
        <w:tc>
          <w:tcPr>
            <w:tcW w:type="dxa" w:w="3426"/>
            <w:tcBorders>
              <w:top w:sz="5.599999904632568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62" w:after="0"/>
              <w:ind w:left="0" w:right="2" w:firstLine="0"/>
              <w:jc w:val="right"/>
            </w:pPr>
            <w:r>
              <w:rPr>
                <w:rFonts w:ascii="Arial" w:hAnsi="Arial" w:eastAsia="Helvetica"/>
                <w:b w:val="0"/>
                <w:i/>
                <w:color w:val="72727A"/>
                <w:sz w:val="18"/>
              </w:rPr>
              <w:t>Jul 2016 - Present</w:t>
            </w:r>
          </w:p>
        </w:tc>
      </w:tr>
    </w:tbl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Reduced weekly stakeholder reviews, reducing errors by 21%.</w:t>
      </w:r>
    </w:p>
    <w:p>
      <w:pPr>
        <w:autoSpaceDN w:val="0"/>
        <w:autoSpaceDE w:val="0"/>
        <w:widowControl/>
        <w:spacing w:line="230" w:lineRule="exact" w:before="40" w:after="0"/>
        <w:ind w:right="3024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Reduced a budget of $308K across 22 projects, saving roughly 93 hours per month.</w:t>
      </w:r>
      <w:r>
        <w:rPr>
          <w:rFonts w:ascii="Arial" w:hAnsi="Arial" w:eastAsia="Helvetica"/>
          <w:b w:val="0"/>
          <w:i w:val="0"/>
          <w:color w:val="1E1E23"/>
          <w:sz w:val="18"/>
        </w:rPr>
        <w:t>• Streamlined vendor onboarding for 6 suppliers, improving turnaround time by 21%.</w:t>
      </w:r>
    </w:p>
    <w:p>
      <w:pPr>
        <w:autoSpaceDN w:val="0"/>
        <w:tabs>
          <w:tab w:pos="8436" w:val="left"/>
        </w:tabs>
        <w:autoSpaceDE w:val="0"/>
        <w:widowControl/>
        <w:spacing w:line="276" w:lineRule="exact" w:before="102" w:after="0"/>
        <w:ind w:left="6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Project Manager — Redwood Labs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Mar 2018 - Oct 2019</w:t>
      </w:r>
    </w:p>
    <w:p>
      <w:pPr>
        <w:autoSpaceDN w:val="0"/>
        <w:autoSpaceDE w:val="0"/>
        <w:widowControl/>
        <w:spacing w:line="230" w:lineRule="exact" w:before="40" w:after="0"/>
        <w:ind w:right="3168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Analyzed a budget of $72K across 12 projects, saving roughly 57 hours per month.</w:t>
      </w:r>
      <w:r>
        <w:rPr>
          <w:rFonts w:ascii="Arial" w:hAnsi="Arial" w:eastAsia="Helvetica"/>
          <w:b w:val="0"/>
          <w:i w:val="0"/>
          <w:color w:val="1E1E23"/>
          <w:sz w:val="18"/>
        </w:rPr>
        <w:t>• Negotiated weekly stakeholder reviews, cutting costs by 18%.</w:t>
      </w:r>
    </w:p>
    <w:p>
      <w:pPr>
        <w:autoSpaceDN w:val="0"/>
        <w:tabs>
          <w:tab w:pos="8424" w:val="left"/>
        </w:tabs>
        <w:autoSpaceDE w:val="0"/>
        <w:widowControl/>
        <w:spacing w:line="276" w:lineRule="exact" w:before="102" w:after="0"/>
        <w:ind w:left="6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Product Designer — Trailhead Analytics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Aug 2021 - Jan 2024</w:t>
      </w:r>
    </w:p>
    <w:p>
      <w:pPr>
        <w:autoSpaceDN w:val="0"/>
        <w:autoSpaceDE w:val="0"/>
        <w:widowControl/>
        <w:spacing w:line="230" w:lineRule="exact" w:before="40" w:after="0"/>
        <w:ind w:right="288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Automated a budget of $157K across 38 projects, saving roughly 89 hours per month.</w:t>
      </w:r>
      <w:r>
        <w:rPr>
          <w:rFonts w:ascii="Arial" w:hAnsi="Arial" w:eastAsia="Helvetica"/>
          <w:b w:val="0"/>
          <w:i w:val="0"/>
          <w:color w:val="1E1E23"/>
          <w:sz w:val="18"/>
        </w:rPr>
        <w:t>• Launched an automated QA workflow, reducing errors by 12%.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Developed the regional sales strategy, growing revenue 18% year over year.</w:t>
      </w:r>
    </w:p>
    <w:p>
      <w:pPr>
        <w:autoSpaceDN w:val="0"/>
        <w:autoSpaceDE w:val="0"/>
        <w:widowControl/>
        <w:spacing w:line="276" w:lineRule="exact" w:before="262" w:after="0"/>
        <w:ind w:left="6" w:right="0" w:firstLine="0"/>
        <w:jc w:val="left"/>
        <w:pBdr>
          <w:bottom w:val="single" w:sz="6" w:space="1" w:color="auto"/>
        </w:pBdr>
      </w:pPr>
      <w:r>
        <w:rPr>
          <w:rFonts w:ascii="Arial" w:hAnsi="Arial" w:eastAsia="Helvetica"/>
          <w:b/>
          <w:i w:val="0"/>
          <w:color w:val="1E1E23"/>
          <w:sz w:val="20"/>
        </w:rPr>
        <w:t>Education</w:t>
      </w:r>
    </w:p>
    <w:p>
      <w:pPr>
        <w:autoSpaceDN w:val="0"/>
        <w:autoSpaceDE w:val="0"/>
        <w:widowControl/>
        <w:spacing w:line="260" w:lineRule="exact" w:before="164" w:after="0"/>
        <w:ind w:left="6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M.S. Data Science, Harborview State University (2016)</w:t>
      </w:r>
    </w:p>
    <w:sectPr w:rsidR="00FC693F" w:rsidRPr="0006063C" w:rsidSect="00034616">
      <w:pgSz w:w="12240" w:h="15840"/>
      <w:pgMar w:top="508" w:right="1050" w:bottom="1440" w:left="1074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