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pStyle w:val="Heading1"/>
        <w:widowControl/>
        <w:spacing w:line="496" w:lineRule="exact" w:before="0" w:after="0"/>
        <w:ind w:left="0" w:right="0" w:firstLine="0"/>
        <w:jc w:val="center"/>
      </w:pPr>
      <w:r>
        <w:rPr>
          <w:rFonts w:ascii="Arial" w:hAnsi="Arial" w:eastAsia="Helvetica"/>
          <w:b/>
          <w:i w:val="0"/>
          <w:color w:val="1E1E23"/>
          <w:sz w:val="36"/>
        </w:rPr>
        <w:t>David Khan</w:t>
      </w:r>
    </w:p>
    <w:p>
      <w:pPr>
        <w:autoSpaceDN w:val="0"/>
        <w:autoSpaceDE w:val="0"/>
        <w:widowControl/>
        <w:spacing w:line="232" w:lineRule="exact" w:before="8" w:after="0"/>
        <w:ind w:left="0" w:right="0" w:firstLine="0"/>
        <w:jc w:val="center"/>
      </w:pPr>
      <w:r>
        <w:rPr>
          <w:rFonts w:ascii="Arial" w:hAnsi="Arial" w:eastAsia="Helvetica"/>
          <w:b w:val="0"/>
          <w:i w:val="0"/>
          <w:color w:val="72727A"/>
          <w:sz w:val="17"/>
        </w:rPr>
        <w:t>david.khan@postbox.example · (263) 626-7612 · Minneapolis, MN</w:t>
      </w:r>
    </w:p>
    <w:p>
      <w:pPr>
        <w:autoSpaceDN w:val="0"/>
        <w:autoSpaceDE w:val="0"/>
        <w:widowControl/>
        <w:spacing w:line="276" w:lineRule="exact" w:before="316" w:after="0"/>
        <w:ind w:left="6" w:right="0" w:firstLine="0"/>
        <w:jc w:val="left"/>
        <w:pBdr>
          <w:bottom w:val="single" w:sz="6" w:space="1" w:color="auto"/>
        </w:pBdr>
      </w:pPr>
      <w:r>
        <w:rPr>
          <w:rFonts w:ascii="Arial" w:hAnsi="Arial" w:eastAsia="Helvetica"/>
          <w:b/>
          <w:i w:val="0"/>
          <w:color w:val="1E1E23"/>
          <w:sz w:val="20"/>
        </w:rPr>
        <w:t>Skills</w:t>
      </w:r>
    </w:p>
    <w:p>
      <w:pPr>
        <w:autoSpaceDN w:val="0"/>
        <w:autoSpaceDE w:val="0"/>
        <w:widowControl/>
        <w:spacing w:line="260" w:lineRule="exact" w:before="164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Statistical Analysis Tableau React Communication Excel AWS</w:t>
      </w:r>
    </w:p>
    <w:p>
      <w:pPr>
        <w:autoSpaceDN w:val="0"/>
        <w:autoSpaceDE w:val="0"/>
        <w:widowControl/>
        <w:spacing w:line="276" w:lineRule="exact" w:before="150" w:after="12"/>
        <w:ind w:left="6" w:right="0" w:firstLine="0"/>
        <w:jc w:val="left"/>
        <w:pBdr>
          <w:bottom w:val="single" w:sz="6" w:space="1" w:color="auto"/>
        </w:pBdr>
      </w:pPr>
      <w:r>
        <w:rPr>
          <w:rFonts w:ascii="Arial" w:hAnsi="Arial" w:eastAsia="Helvetica"/>
          <w:b/>
          <w:i w:val="0"/>
          <w:color w:val="1E1E23"/>
          <w:sz w:val="20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8"/>
        <w:gridCol w:w="5058"/>
      </w:tblGrid>
      <w:tr>
        <w:trPr>
          <w:trHeight w:hRule="exact" w:val="482"/>
        </w:trPr>
        <w:tc>
          <w:tcPr>
            <w:tcW w:type="dxa" w:w="680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0" w:after="0"/>
              <w:ind w:left="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20"/>
              </w:rPr>
              <w:t>Customer Success Manager — Northwind Consulting</w:t>
            </w:r>
          </w:p>
        </w:tc>
        <w:tc>
          <w:tcPr>
            <w:tcW w:type="dxa" w:w="328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2" w:after="0"/>
              <w:ind w:left="0" w:right="4" w:firstLine="0"/>
              <w:jc w:val="right"/>
            </w:pPr>
            <w:r>
              <w:rPr>
                <w:rFonts w:ascii="Arial" w:hAnsi="Arial" w:eastAsia="Helvetica"/>
                <w:b w:val="0"/>
                <w:i/>
                <w:color w:val="72727A"/>
                <w:sz w:val="18"/>
              </w:rPr>
              <w:t>Nov 2016 - Present</w:t>
            </w:r>
          </w:p>
        </w:tc>
      </w:tr>
    </w:tbl>
    <w:p>
      <w:pPr>
        <w:autoSpaceDN w:val="0"/>
        <w:autoSpaceDE w:val="0"/>
        <w:widowControl/>
        <w:spacing w:line="230" w:lineRule="exact" w:before="40" w:after="0"/>
        <w:ind w:right="3744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Streamlined vendor onboarding for 18 suppliers, cutting costs by 23%.</w:t>
      </w:r>
      <w:r>
        <w:rPr>
          <w:rFonts w:ascii="Arial" w:hAnsi="Arial" w:eastAsia="Helvetica"/>
          <w:b w:val="0"/>
          <w:i w:val="0"/>
          <w:color w:val="1E1E23"/>
          <w:sz w:val="18"/>
        </w:rPr>
        <w:t>• Led vendor onboarding for 18 suppliers, improving turnaround time by 16%.</w:t>
      </w:r>
    </w:p>
    <w:p>
      <w:pPr>
        <w:autoSpaceDN w:val="0"/>
        <w:tabs>
          <w:tab w:pos="8484" w:val="left"/>
        </w:tabs>
        <w:autoSpaceDE w:val="0"/>
        <w:widowControl/>
        <w:spacing w:line="276" w:lineRule="exact" w:before="102" w:after="0"/>
        <w:ind w:left="6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Product Designer — Evergreen Analytics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Jul 2017 - Aug 2021</w:t>
      </w:r>
    </w:p>
    <w:p>
      <w:pPr>
        <w:autoSpaceDN w:val="0"/>
        <w:autoSpaceDE w:val="0"/>
        <w:widowControl/>
        <w:spacing w:line="230" w:lineRule="exact" w:before="40" w:after="0"/>
        <w:ind w:right="288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Streamlined vendor onboarding for 17 suppliers, growing revenue 11% year over year.</w:t>
      </w:r>
      <w:r>
        <w:rPr>
          <w:rFonts w:ascii="Arial" w:hAnsi="Arial" w:eastAsia="Helvetica"/>
          <w:b w:val="0"/>
          <w:i w:val="0"/>
          <w:color w:val="1E1E23"/>
          <w:sz w:val="18"/>
        </w:rPr>
        <w:t>• Led the quarterly reporting pipeline, increasing satisfaction scores by 28%.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Coordinated internal documentation standards, reducing errors by 29%.</w:t>
      </w:r>
    </w:p>
    <w:p>
      <w:pPr>
        <w:autoSpaceDN w:val="0"/>
        <w:tabs>
          <w:tab w:pos="8394" w:val="left"/>
        </w:tabs>
        <w:autoSpaceDE w:val="0"/>
        <w:widowControl/>
        <w:spacing w:line="276" w:lineRule="exact" w:before="102" w:after="0"/>
        <w:ind w:left="6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Product Designer — Granite Logistics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Nov 2022 - Aug 2022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Implemented the quarterly reporting pipeline, cutting costs by 27%.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Analyzed the migration to a new CRM platform, improving turnaround time by 13%.</w:t>
      </w:r>
    </w:p>
    <w:p>
      <w:pPr>
        <w:autoSpaceDN w:val="0"/>
        <w:autoSpaceDE w:val="0"/>
        <w:widowControl/>
        <w:spacing w:line="276" w:lineRule="exact" w:before="262" w:after="0"/>
        <w:ind w:left="6" w:right="0" w:firstLine="0"/>
        <w:jc w:val="left"/>
        <w:pBdr>
          <w:bottom w:val="single" w:sz="6" w:space="1" w:color="auto"/>
        </w:pBdr>
      </w:pPr>
      <w:r>
        <w:rPr>
          <w:rFonts w:ascii="Arial" w:hAnsi="Arial" w:eastAsia="Helvetica"/>
          <w:b/>
          <w:i w:val="0"/>
          <w:color w:val="1E1E23"/>
          <w:sz w:val="20"/>
        </w:rPr>
        <w:t>Education</w:t>
      </w:r>
    </w:p>
    <w:p>
      <w:pPr>
        <w:autoSpaceDN w:val="0"/>
        <w:autoSpaceDE w:val="0"/>
        <w:widowControl/>
        <w:spacing w:line="260" w:lineRule="exact" w:before="164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B.S. Computer Science, University of the Lakes (2020)</w:t>
      </w:r>
    </w:p>
    <w:sectPr w:rsidR="00FC693F" w:rsidRPr="0006063C" w:rsidSect="00034616">
      <w:pgSz w:w="12240" w:h="15840"/>
      <w:pgMar w:top="508" w:right="1050" w:bottom="1440" w:left="107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