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1230"/>
        </w:trPr>
        <w:tc>
          <w:tcPr>
            <w:tcW w:type="dxa" w:w="1224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570" w:after="0"/>
              <w:ind w:left="108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44"/>
              </w:rPr>
              <w:t>Kenji Fischer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360"/>
      </w:tblGrid>
      <w:tr>
        <w:trPr>
          <w:trHeight w:hRule="exact" w:val="364"/>
        </w:trPr>
        <w:tc>
          <w:tcPr>
            <w:tcW w:type="dxa" w:w="860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5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D8E5EF"/>
                <w:sz w:val="18"/>
              </w:rPr>
              <w:t>kenji.fischer@mailbox.test (259) 657-4618 Minneapolis, MN</w:t>
            </w:r>
          </w:p>
        </w:tc>
      </w:tr>
    </w:tbl>
    <w:p>
      <w:pPr>
        <w:autoSpaceDN w:val="0"/>
        <w:autoSpaceDE w:val="0"/>
        <w:pStyle w:val="Heading1"/>
        <w:widowControl/>
        <w:spacing w:line="276" w:lineRule="exact" w:before="952" w:after="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CORE COMPETENCIES</w:t>
      </w:r>
    </w:p>
    <w:p>
      <w:pPr>
        <w:autoSpaceDN w:val="0"/>
        <w:autoSpaceDE w:val="0"/>
        <w:widowControl/>
        <w:spacing w:line="260" w:lineRule="exact" w:before="84" w:after="0"/>
        <w:ind w:left="108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Java, Statistical Analysis, Communication, Python, Agile / Scrum, Salesforce, Project Management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WORK HISTORY</w:t>
      </w:r>
    </w:p>
    <w:p>
      <w:pPr>
        <w:autoSpaceDN w:val="0"/>
        <w:tabs>
          <w:tab w:pos="9610" w:val="left"/>
        </w:tabs>
        <w:autoSpaceDE w:val="0"/>
        <w:widowControl/>
        <w:spacing w:line="276" w:lineRule="exact" w:before="84" w:after="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Customer Success Manager — Fulcrum Partners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Dec 2016 - Present</w:t>
      </w:r>
    </w:p>
    <w:p>
      <w:pPr>
        <w:autoSpaceDN w:val="0"/>
        <w:autoSpaceDE w:val="0"/>
        <w:widowControl/>
        <w:spacing w:line="230" w:lineRule="exact" w:before="40" w:after="0"/>
        <w:ind w:right="4484" w:firstLine="0"/>
        <w:jc w:val="both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Analyzed a customer retention initiative, increasing satisfaction scores by 18%.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Designed a customer retention initiative, increasing satisfaction scores by 22%.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Implemented an automated QA workflow, increasing satisfaction scores by 34%.</w:t>
      </w:r>
    </w:p>
    <w:p>
      <w:pPr>
        <w:autoSpaceDN w:val="0"/>
        <w:tabs>
          <w:tab w:pos="9552" w:val="left"/>
        </w:tabs>
        <w:autoSpaceDE w:val="0"/>
        <w:widowControl/>
        <w:spacing w:line="276" w:lineRule="exact" w:before="102" w:after="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Customer Success Manager — Vanguard Technologies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Dec 2019 - Jul 2023</w:t>
      </w:r>
    </w:p>
    <w:p>
      <w:pPr>
        <w:autoSpaceDN w:val="0"/>
        <w:autoSpaceDE w:val="0"/>
        <w:widowControl/>
        <w:spacing w:line="230" w:lineRule="exact" w:before="40" w:after="0"/>
        <w:ind w:right="475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Negotiated an automated QA workflow, saving roughly 63 hours per month.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>• Coordinated the migration to a new CRM platform, reducing errors by 17%.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8"/>
        </w:rPr>
        <w:t>• Developed the regional sales strategy, cutting costs by 40%.</w:t>
      </w:r>
    </w:p>
    <w:p>
      <w:pPr>
        <w:autoSpaceDN w:val="0"/>
        <w:tabs>
          <w:tab w:pos="9558" w:val="left"/>
        </w:tabs>
        <w:autoSpaceDE w:val="0"/>
        <w:widowControl/>
        <w:spacing w:line="276" w:lineRule="exact" w:before="102" w:after="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Supply Chain Analyst — Orchard Technologies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Jul 2020 - Aug 2021</w:t>
      </w:r>
    </w:p>
    <w:p>
      <w:pPr>
        <w:autoSpaceDN w:val="0"/>
        <w:autoSpaceDE w:val="0"/>
        <w:widowControl/>
        <w:spacing w:line="230" w:lineRule="exact" w:before="40" w:after="0"/>
        <w:ind w:right="3888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Automated the quarterly reporting pipeline, improving turnaround time by 14%.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Launched the migration to a new CRM platform, growing revenue 42% year over year.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108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ACADEMIC BACKGROUND</w:t>
      </w:r>
    </w:p>
    <w:p>
      <w:pPr>
        <w:autoSpaceDN w:val="0"/>
        <w:autoSpaceDE w:val="0"/>
        <w:widowControl/>
        <w:spacing w:line="260" w:lineRule="exact" w:before="84" w:after="0"/>
        <w:ind w:left="108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B.A. Psychology, Bayfield University (2021)</w:t>
      </w:r>
    </w:p>
    <w:sectPr w:rsidR="00FC693F" w:rsidRPr="0006063C" w:rsidSect="00034616">
      <w:pgSz w:w="12240" w:h="15840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