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ectPr>
          <w:pgSz w:w="12240" w:h="15840"/>
          <w:pgMar w:top="0" w:right="1050" w:bottom="0" w:left="0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750"/>
      </w:tblGrid>
      <w:tr>
        <w:trPr>
          <w:trHeight w:hRule="exact" w:val="1764"/>
        </w:trPr>
        <w:tc>
          <w:tcPr>
            <w:tcW w:type="dxa" w:w="384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0" w:lineRule="exact" w:before="904" w:after="0"/>
              <w:ind w:left="480" w:right="1584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 xml:space="preserve">Noah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34"/>
              </w:rPr>
              <w:t>Yamamoto</w:t>
            </w:r>
          </w:p>
        </w:tc>
      </w:tr>
    </w:tbl>
    <w:p>
      <w:pPr>
        <w:autoSpaceDN w:val="0"/>
        <w:autoSpaceDE w:val="0"/>
        <w:pStyle w:val="Heading1"/>
        <w:widowControl/>
        <w:spacing w:line="248" w:lineRule="exact" w:before="324" w:after="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CONTACT</w:t>
      </w:r>
    </w:p>
    <w:p>
      <w:pPr>
        <w:autoSpaceDN w:val="0"/>
        <w:autoSpaceDE w:val="0"/>
        <w:widowControl/>
        <w:spacing w:line="260" w:lineRule="exact" w:before="32" w:after="0"/>
        <w:ind w:left="480" w:right="1296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noah.yamamoto@corp.example </w:t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(430) 753-3039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Phoenix, AZ</w:t>
      </w:r>
    </w:p>
    <w:p>
      <w:pPr>
        <w:autoSpaceDN w:val="0"/>
        <w:autoSpaceDE w:val="0"/>
        <w:pStyle w:val="Heading1"/>
        <w:widowControl/>
        <w:spacing w:line="248" w:lineRule="exact" w:before="240" w:after="80"/>
        <w:ind w:left="480" w:right="0" w:firstLine="0"/>
        <w:jc w:val="left"/>
      </w:pPr>
      <w:r>
        <w:rPr>
          <w:rFonts w:ascii="Arial" w:hAnsi="Arial" w:eastAsia="Helvetica"/>
          <w:b/>
          <w:i w:val="0"/>
          <w:color w:val="72727A"/>
          <w:sz w:val="18"/>
        </w:rPr>
        <w:t>SKILLS</w:t>
      </w:r>
    </w:p>
    <w:p>
      <w:pPr>
        <w:autoSpaceDN w:val="0"/>
        <w:autoSpaceDE w:val="0"/>
        <w:widowControl/>
        <w:spacing w:line="260" w:lineRule="exact" w:before="32" w:after="20"/>
        <w:ind w:left="480" w:right="1872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6"/>
        </w:rPr>
        <w:t>- Java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Budget Planning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Forecasting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Project Management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Negotiation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Process Improvement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Customer Relations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Docker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- React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9750"/>
      </w:tblGrid>
      <w:tr>
        <w:trPr>
          <w:trHeight w:hRule="exact" w:val="280"/>
        </w:trPr>
        <w:tc>
          <w:tcPr>
            <w:tcW w:type="dxa" w:w="2820"/>
            <w:tcBorders/>
            <w:shd w:fill="edef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0" w:lineRule="exact" w:before="20" w:after="0"/>
              <w:ind w:left="240" w:right="0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6"/>
              </w:rPr>
              <w:t>- Vendor Management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0" w:right="1050" w:bottom="0" w:left="0" w:header="720" w:footer="720" w:gutter="0"/>
          <w:cols w:num="2" w:equalWidth="0">
            <w:col w:w="4080" w:space="0"/>
            <w:col w:w="7110" w:space="0"/>
          </w:cols>
          <w:docGrid w:linePitch="360"/>
        </w:sectPr>
      </w:pP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EXPERIENCE</w:t>
      </w:r>
    </w:p>
    <w:p>
      <w:pPr>
        <w:autoSpaceDN w:val="0"/>
        <w:tabs>
          <w:tab w:pos="5532" w:val="left"/>
        </w:tabs>
        <w:autoSpaceDE w:val="0"/>
        <w:widowControl/>
        <w:spacing w:line="276" w:lineRule="exact" w:before="238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Project Manager — Apex Consulting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Nov 2016 - Present</w:t>
      </w:r>
    </w:p>
    <w:p>
      <w:pPr>
        <w:autoSpaceDN w:val="0"/>
        <w:autoSpaceDE w:val="0"/>
        <w:widowControl/>
        <w:spacing w:line="230" w:lineRule="exact" w:before="40" w:after="0"/>
        <w:ind w:right="144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Implemented a budget of $701K across 11 projects, growing revenue 28% year </w:t>
      </w:r>
      <w:r>
        <w:rPr>
          <w:rFonts w:ascii="Arial" w:hAnsi="Arial" w:eastAsia="Helvetica"/>
          <w:b w:val="0"/>
          <w:i w:val="0"/>
          <w:color w:val="1E1E23"/>
          <w:sz w:val="18"/>
        </w:rPr>
        <w:t>over year.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 xml:space="preserve">Coordinated procurement processes for 9 product lines, increasing satisfaction </w:t>
      </w:r>
      <w:r>
        <w:rPr>
          <w:rFonts w:ascii="Arial" w:hAnsi="Arial" w:eastAsia="Helvetica"/>
          <w:b w:val="0"/>
          <w:i w:val="0"/>
          <w:color w:val="1E1E23"/>
          <w:sz w:val="18"/>
        </w:rPr>
        <w:t>scores by 37%.</w:t>
      </w:r>
    </w:p>
    <w:p>
      <w:pPr>
        <w:autoSpaceDN w:val="0"/>
        <w:tabs>
          <w:tab w:pos="5418" w:val="left"/>
        </w:tabs>
        <w:autoSpaceDE w:val="0"/>
        <w:widowControl/>
        <w:spacing w:line="276" w:lineRule="exact" w:before="102" w:after="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Account Executive — Redwood Solutions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Aug 2017 - Jun 2019</w:t>
      </w:r>
    </w:p>
    <w:p>
      <w:pPr>
        <w:autoSpaceDN w:val="0"/>
        <w:autoSpaceDE w:val="0"/>
        <w:widowControl/>
        <w:spacing w:line="230" w:lineRule="exact" w:before="40" w:after="0"/>
        <w:ind w:right="288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Launched the quarterly reporting pipeline, saving roughly 78 hours per month.</w:t>
      </w:r>
      <w:r>
        <w:rPr>
          <w:rFonts w:ascii="Arial" w:hAnsi="Arial" w:eastAsia="Helvetica"/>
          <w:b w:val="0"/>
          <w:i w:val="0"/>
          <w:color w:val="1E1E23"/>
          <w:sz w:val="18"/>
        </w:rPr>
        <w:t>• Reduced weekly stakeholder reviews, improving turnaround time by 36%.</w:t>
      </w:r>
    </w:p>
    <w:p>
      <w:pPr>
        <w:autoSpaceDN w:val="0"/>
        <w:autoSpaceDE w:val="0"/>
        <w:pStyle w:val="Heading1"/>
        <w:widowControl/>
        <w:spacing w:line="304" w:lineRule="exact" w:before="240" w:after="80"/>
        <w:ind w:left="240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2"/>
        </w:rPr>
        <w:t>EDUCATION</w:t>
      </w:r>
    </w:p>
    <w:p>
      <w:pPr>
        <w:autoSpaceDN w:val="0"/>
        <w:autoSpaceDE w:val="0"/>
        <w:widowControl/>
        <w:spacing w:line="260" w:lineRule="exact" w:before="198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Mechanical Engineering, State University of Ohio (2007)</w:t>
      </w:r>
    </w:p>
    <w:p>
      <w:pPr>
        <w:autoSpaceDN w:val="0"/>
        <w:autoSpaceDE w:val="0"/>
        <w:widowControl/>
        <w:spacing w:line="260" w:lineRule="exact" w:before="50" w:after="0"/>
        <w:ind w:left="240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B.S. Accounting, State University of Ohio (2019)</w:t>
      </w:r>
    </w:p>
    <w:sectPr w:rsidR="00FC693F" w:rsidRPr="0006063C" w:rsidSect="00034616">
      <w:type w:val="nextColumn"/>
      <w:pgSz w:w="12240" w:h="15840"/>
      <w:pgMar w:top="0" w:right="1050" w:bottom="0" w:left="0" w:header="720" w:footer="720" w:gutter="0"/>
      <w:cols w:num="2" w:equalWidth="0">
        <w:col w:w="4080" w:space="0"/>
        <w:col w:w="7110" w:space="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