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750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216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 xml:space="preserve">Aisha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>Okafor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324" w:after="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58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 xml:space="preserve">aisha.okafor@corp.example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 xml:space="preserve">(585) 352-9580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Phoenix, AZ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1872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>- Project Management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Customer Relations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Salesforce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Vendor Management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Budget Planning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React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Java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9750"/>
      </w:tblGrid>
      <w:tr>
        <w:trPr>
          <w:trHeight w:hRule="exact" w:val="280"/>
        </w:trPr>
        <w:tc>
          <w:tcPr>
            <w:tcW w:type="dxa" w:w="266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- Public Speaking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0" w:bottom="0" w:left="0" w:header="720" w:footer="720" w:gutter="0"/>
          <w:cols w:num="2" w:equalWidth="0">
            <w:col w:w="4080" w:space="0"/>
            <w:col w:w="7110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32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Sales Director — Lakeshore Holdings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Nov 2015 - Present</w:t>
      </w:r>
    </w:p>
    <w:p>
      <w:pPr>
        <w:autoSpaceDN w:val="0"/>
        <w:autoSpaceDE w:val="0"/>
        <w:widowControl/>
        <w:spacing w:line="230" w:lineRule="exact" w:before="40" w:after="0"/>
        <w:ind w:right="576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a budget of $812K across 3 projects, reducing errors by 45%.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• Analyzed vendor onboarding for 40 suppliers, improving turnaround time by </w:t>
      </w:r>
      <w:r>
        <w:rPr>
          <w:rFonts w:ascii="Arial" w:hAnsi="Arial" w:eastAsia="Helvetica"/>
          <w:b w:val="0"/>
          <w:i w:val="0"/>
          <w:color w:val="1E1E23"/>
          <w:sz w:val="18"/>
        </w:rPr>
        <w:t>27%.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internal documentation standards, reducing errors by 30%.</w:t>
      </w:r>
    </w:p>
    <w:p>
      <w:pPr>
        <w:autoSpaceDN w:val="0"/>
        <w:tabs>
          <w:tab w:pos="5398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Financial Analyst — Pinnacle Industries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Jun 2019 - May 2021</w:t>
      </w:r>
    </w:p>
    <w:p>
      <w:pPr>
        <w:autoSpaceDN w:val="0"/>
        <w:autoSpaceDE w:val="0"/>
        <w:widowControl/>
        <w:spacing w:line="230" w:lineRule="exact" w:before="40" w:after="0"/>
        <w:ind w:right="14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the regional sales strategy, increasing satisfaction scores by 8%.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• Analyzed a cross-functional team of 32 people, increasing satisfaction scores by </w:t>
      </w:r>
      <w:r>
        <w:rPr>
          <w:rFonts w:ascii="Arial" w:hAnsi="Arial" w:eastAsia="Helvetica"/>
          <w:b w:val="0"/>
          <w:i w:val="0"/>
          <w:color w:val="1E1E23"/>
          <w:sz w:val="18"/>
        </w:rPr>
        <w:t>29%.</w:t>
      </w:r>
    </w:p>
    <w:p>
      <w:pPr>
        <w:autoSpaceDN w:val="0"/>
        <w:tabs>
          <w:tab w:pos="5472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Content Strategist — Vanguard Manufacturing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Jul 2020 - Dec 2022</w:t>
      </w:r>
    </w:p>
    <w:p>
      <w:pPr>
        <w:autoSpaceDN w:val="0"/>
        <w:autoSpaceDE w:val="0"/>
        <w:widowControl/>
        <w:spacing w:line="230" w:lineRule="exact" w:before="40" w:after="0"/>
        <w:ind w:right="14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a customer retention initiative, growing revenue 42% year over year.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• Analyzed a budget of $812K across 31 projects, growing revenue 17% year over </w:t>
      </w:r>
      <w:r>
        <w:rPr>
          <w:rFonts w:ascii="Arial" w:hAnsi="Arial" w:eastAsia="Helvetica"/>
          <w:b w:val="0"/>
          <w:i w:val="0"/>
          <w:color w:val="1E1E23"/>
          <w:sz w:val="18"/>
        </w:rPr>
        <w:t>year.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Mechanical Engineering, State University of Ohio (2018)</w:t>
      </w:r>
    </w:p>
    <w:p>
      <w:pPr>
        <w:autoSpaceDN w:val="0"/>
        <w:autoSpaceDE w:val="0"/>
        <w:widowControl/>
        <w:spacing w:line="260" w:lineRule="exact" w:before="50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M.S. Data Science, Bayfield University (2006)</w:t>
      </w:r>
    </w:p>
    <w:sectPr w:rsidR="00FC693F" w:rsidRPr="0006063C" w:rsidSect="00034616">
      <w:type w:val="nextColumn"/>
      <w:pgSz w:w="12240" w:h="15840"/>
      <w:pgMar w:top="0" w:right="1050" w:bottom="0" w:left="0" w:header="720" w:footer="720" w:gutter="0"/>
      <w:cols w:num="2" w:equalWidth="0">
        <w:col w:w="4080" w:space="0"/>
        <w:col w:w="711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