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pStyle w:val="Heading1"/>
        <w:widowControl/>
        <w:spacing w:line="496" w:lineRule="exact" w:before="0" w:after="0"/>
        <w:ind w:left="0" w:right="0" w:firstLine="0"/>
        <w:jc w:val="center"/>
      </w:pPr>
      <w:r>
        <w:rPr>
          <w:rFonts w:ascii="Arial" w:hAnsi="Arial" w:eastAsia="Helvetica"/>
          <w:b/>
          <w:i w:val="0"/>
          <w:color w:val="1E1E23"/>
          <w:sz w:val="36"/>
        </w:rPr>
        <w:t>Nina Rossi</w:t>
      </w:r>
    </w:p>
    <w:p>
      <w:pPr>
        <w:autoSpaceDN w:val="0"/>
        <w:autoSpaceDE w:val="0"/>
        <w:widowControl/>
        <w:spacing w:line="232" w:lineRule="exact" w:before="8" w:after="0"/>
        <w:ind w:left="0" w:right="0" w:firstLine="0"/>
        <w:jc w:val="center"/>
      </w:pPr>
      <w:r>
        <w:rPr>
          <w:rFonts w:ascii="Arial" w:hAnsi="Arial" w:eastAsia="Helvetica"/>
          <w:b w:val="0"/>
          <w:i w:val="0"/>
          <w:color w:val="72727A"/>
          <w:sz w:val="17"/>
        </w:rPr>
        <w:t>nina.rossi@postbox.example · (924) 358-8756 · Boston, MA</w:t>
      </w:r>
    </w:p>
    <w:p>
      <w:pPr>
        <w:autoSpaceDN w:val="0"/>
        <w:autoSpaceDE w:val="0"/>
        <w:widowControl/>
        <w:spacing w:line="276" w:lineRule="exact" w:before="316" w:after="0"/>
        <w:ind w:left="6" w:right="0" w:firstLine="0"/>
        <w:jc w:val="left"/>
        <w:pBdr>
          <w:bottom w:val="single" w:sz="6" w:space="1" w:color="auto"/>
        </w:pBdr>
      </w:pPr>
      <w:r>
        <w:rPr>
          <w:rFonts w:ascii="Arial" w:hAnsi="Arial" w:eastAsia="Helvetica"/>
          <w:b/>
          <w:i w:val="0"/>
          <w:color w:val="1E1E23"/>
          <w:sz w:val="20"/>
        </w:rPr>
        <w:t>Skills</w:t>
      </w:r>
    </w:p>
    <w:p>
      <w:pPr>
        <w:autoSpaceDN w:val="0"/>
        <w:autoSpaceDE w:val="0"/>
        <w:widowControl/>
        <w:spacing w:line="260" w:lineRule="exact" w:before="164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Python Customer Relations Agile / Scrum AWS Communication Process Improvement</w:t>
      </w:r>
    </w:p>
    <w:p>
      <w:pPr>
        <w:autoSpaceDN w:val="0"/>
        <w:autoSpaceDE w:val="0"/>
        <w:widowControl/>
        <w:spacing w:line="276" w:lineRule="exact" w:before="150" w:after="12"/>
        <w:ind w:left="6" w:right="0" w:firstLine="0"/>
        <w:jc w:val="left"/>
        <w:pBdr>
          <w:bottom w:val="single" w:sz="6" w:space="1" w:color="auto"/>
        </w:pBdr>
      </w:pPr>
      <w:r>
        <w:rPr>
          <w:rFonts w:ascii="Arial" w:hAnsi="Arial" w:eastAsia="Helvetica"/>
          <w:b/>
          <w:i w:val="0"/>
          <w:color w:val="1E1E23"/>
          <w:sz w:val="20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6"/>
        <w:gridCol w:w="5056"/>
      </w:tblGrid>
      <w:tr>
        <w:trPr>
          <w:trHeight w:hRule="exact" w:val="482"/>
        </w:trPr>
        <w:tc>
          <w:tcPr>
            <w:tcW w:type="dxa" w:w="648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0" w:after="0"/>
              <w:ind w:left="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20"/>
              </w:rPr>
              <w:t>Customer Success Manager — Trailhead Labs</w:t>
            </w:r>
          </w:p>
        </w:tc>
        <w:tc>
          <w:tcPr>
            <w:tcW w:type="dxa" w:w="360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2" w:after="0"/>
              <w:ind w:left="0" w:right="6" w:firstLine="0"/>
              <w:jc w:val="right"/>
            </w:pPr>
            <w:r>
              <w:rPr>
                <w:rFonts w:ascii="Arial" w:hAnsi="Arial" w:eastAsia="Helvetica"/>
                <w:b w:val="0"/>
                <w:i/>
                <w:color w:val="72727A"/>
                <w:sz w:val="18"/>
              </w:rPr>
              <w:t>Oct 2016 - Present</w:t>
            </w:r>
          </w:p>
        </w:tc>
      </w:tr>
    </w:tbl>
    <w:p>
      <w:pPr>
        <w:autoSpaceDN w:val="0"/>
        <w:autoSpaceDE w:val="0"/>
        <w:widowControl/>
        <w:spacing w:line="230" w:lineRule="exact" w:before="40" w:after="0"/>
        <w:ind w:right="3024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Analyzed vendor onboarding for 32 suppliers, improving turnaround time by 27%.</w:t>
      </w:r>
      <w:r>
        <w:rPr>
          <w:rFonts w:ascii="Arial" w:hAnsi="Arial" w:eastAsia="Helvetica"/>
          <w:b w:val="0"/>
          <w:i w:val="0"/>
          <w:color w:val="1E1E23"/>
          <w:sz w:val="18"/>
        </w:rPr>
        <w:t>• Managed vendor onboarding for 32 suppliers, increasing satisfaction scores by 22%.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Automated weekly stakeholder reviews, increasing satisfaction scores by 29%.</w:t>
      </w:r>
    </w:p>
    <w:p>
      <w:pPr>
        <w:autoSpaceDN w:val="0"/>
        <w:tabs>
          <w:tab w:pos="8418" w:val="left"/>
        </w:tabs>
        <w:autoSpaceDE w:val="0"/>
        <w:widowControl/>
        <w:spacing w:line="276" w:lineRule="exact" w:before="102" w:after="0"/>
        <w:ind w:left="6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Account Executive — Trailhead Group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Sep 2017 - Jan 2021</w:t>
      </w:r>
    </w:p>
    <w:p>
      <w:pPr>
        <w:autoSpaceDN w:val="0"/>
        <w:autoSpaceDE w:val="0"/>
        <w:widowControl/>
        <w:spacing w:line="230" w:lineRule="exact" w:before="40" w:after="0"/>
        <w:ind w:right="3312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Reduced a cross-functional team of 4 people, saving roughly 82 hours per month.</w:t>
      </w:r>
      <w:r>
        <w:rPr>
          <w:rFonts w:ascii="Arial" w:hAnsi="Arial" w:eastAsia="Helvetica"/>
          <w:b w:val="0"/>
          <w:i w:val="0"/>
          <w:color w:val="1E1E23"/>
          <w:sz w:val="18"/>
        </w:rPr>
        <w:t>• Developed the annual planning cycle, improving turnaround time by 17%.</w:t>
      </w:r>
      <w:r>
        <w:rPr>
          <w:rFonts w:ascii="Arial" w:hAnsi="Arial" w:eastAsia="Helvetica"/>
          <w:b w:val="0"/>
          <w:i w:val="0"/>
          <w:color w:val="1E1E23"/>
          <w:sz w:val="18"/>
        </w:rPr>
        <w:t>• Developed a cross-functional team of 10 people, reducing errors by 15%.</w:t>
      </w:r>
    </w:p>
    <w:p>
      <w:pPr>
        <w:autoSpaceDN w:val="0"/>
        <w:autoSpaceDE w:val="0"/>
        <w:widowControl/>
        <w:spacing w:line="276" w:lineRule="exact" w:before="262" w:after="0"/>
        <w:ind w:left="6" w:right="0" w:firstLine="0"/>
        <w:jc w:val="left"/>
        <w:pBdr>
          <w:bottom w:val="single" w:sz="6" w:space="1" w:color="auto"/>
        </w:pBdr>
      </w:pPr>
      <w:r>
        <w:rPr>
          <w:rFonts w:ascii="Arial" w:hAnsi="Arial" w:eastAsia="Helvetica"/>
          <w:b/>
          <w:i w:val="0"/>
          <w:color w:val="1E1E23"/>
          <w:sz w:val="20"/>
        </w:rPr>
        <w:t>Education</w:t>
      </w:r>
    </w:p>
    <w:p>
      <w:pPr>
        <w:autoSpaceDN w:val="0"/>
        <w:autoSpaceDE w:val="0"/>
        <w:widowControl/>
        <w:spacing w:line="260" w:lineRule="exact" w:before="164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B.S. Accounting, State University of Ohio (2021)</w:t>
      </w:r>
    </w:p>
    <w:sectPr w:rsidR="00FC693F" w:rsidRPr="0006063C" w:rsidSect="00034616">
      <w:pgSz w:w="12240" w:h="15840"/>
      <w:pgMar w:top="508" w:right="1054" w:bottom="1440" w:left="107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