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240"/>
      </w:tblGrid>
      <w:tr>
        <w:trPr>
          <w:trHeight w:hRule="exact" w:val="928"/>
        </w:trPr>
        <w:tc>
          <w:tcPr>
            <w:tcW w:type="dxa" w:w="12240"/>
            <w:tcBorders/>
            <w:shd w:fill="266b5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96" w:lineRule="exact" w:before="414" w:after="0"/>
              <w:ind w:left="96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FFFFFF"/>
                <w:sz w:val="36"/>
              </w:rPr>
              <w:t>Summit Systems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596900</wp:posOffset>
            </wp:positionH>
            <wp:positionV relativeFrom="page">
              <wp:posOffset>1155700</wp:posOffset>
            </wp:positionV>
            <wp:extent cx="6578600" cy="19304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78600" cy="19304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12240"/>
      </w:tblGrid>
      <w:tr>
        <w:trPr>
          <w:trHeight w:hRule="exact" w:val="348"/>
        </w:trPr>
        <w:tc>
          <w:tcPr>
            <w:tcW w:type="dxa" w:w="7700"/>
            <w:tcBorders/>
            <w:shd w:fill="266b5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8" w:after="0"/>
              <w:ind w:left="480" w:right="0" w:firstLine="0"/>
              <w:jc w:val="left"/>
            </w:pPr>
            <w:r>
              <w:rPr>
                <w:rFonts w:ascii="Helvetica" w:hAnsi="Helvetica" w:eastAsia="Helvetica"/>
                <w:b w:val="0"/>
                <w:i/>
                <w:color w:val="D8EDE5"/>
                <w:sz w:val="20"/>
              </w:rPr>
              <w:t>Building Better Operations Together</w:t>
            </w:r>
          </w:p>
        </w:tc>
      </w:tr>
    </w:tbl>
    <w:p>
      <w:pPr>
        <w:autoSpaceDN w:val="0"/>
        <w:autoSpaceDE w:val="0"/>
        <w:widowControl/>
        <w:spacing w:line="260" w:lineRule="exact" w:before="1066" w:after="0"/>
        <w:ind w:left="6624" w:right="4752" w:firstLine="0"/>
        <w:jc w:val="center"/>
      </w:pPr>
      <w:r>
        <w:rPr>
          <w:rFonts w:ascii="Helvetica" w:hAnsi="Helvetica" w:eastAsia="Helvetica"/>
          <w:b w:val="0"/>
          <w:i w:val="0"/>
          <w:color w:val="66666B"/>
          <w:sz w:val="14"/>
        </w:rPr>
        <w:t xml:space="preserve">North (54) </w:t>
      </w:r>
      <w:r>
        <w:br/>
      </w:r>
      <w:r>
        <w:rPr>
          <w:rFonts w:ascii="Helvetica" w:hAnsi="Helvetica" w:eastAsia="Helvetica"/>
          <w:b w:val="0"/>
          <w:i w:val="0"/>
          <w:color w:val="66666B"/>
          <w:sz w:val="14"/>
        </w:rPr>
        <w:t xml:space="preserve">South (28) </w:t>
      </w:r>
      <w:r>
        <w:br/>
      </w:r>
      <w:r>
        <w:rPr>
          <w:rFonts w:ascii="Helvetica" w:hAnsi="Helvetica" w:eastAsia="Helvetica"/>
          <w:b w:val="0"/>
          <w:i w:val="0"/>
          <w:color w:val="66666B"/>
          <w:sz w:val="14"/>
        </w:rPr>
        <w:t>West (29)</w:t>
      </w:r>
    </w:p>
    <w:p>
      <w:pPr>
        <w:autoSpaceDN w:val="0"/>
        <w:autoSpaceDE w:val="0"/>
        <w:widowControl/>
        <w:spacing w:line="270" w:lineRule="exact" w:before="2102" w:after="0"/>
        <w:ind w:left="960" w:right="864" w:firstLine="0"/>
        <w:jc w:val="left"/>
      </w:pPr>
      <w:r>
        <w:rPr>
          <w:rFonts w:ascii="Helvetica" w:hAnsi="Helvetica" w:eastAsia="Helvetica"/>
          <w:b/>
          <w:i w:val="0"/>
          <w:color w:val="266B5B"/>
          <w:sz w:val="24"/>
        </w:rPr>
        <w:t xml:space="preserve">Our Track Record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We maintain a 96% on-time completion rate across all active accounts. Flexible service plans let you scale support up or down as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your needs change.</w:t>
      </w:r>
    </w:p>
    <w:p>
      <w:pPr>
        <w:autoSpaceDN w:val="0"/>
        <w:autoSpaceDE w:val="0"/>
        <w:widowControl/>
        <w:spacing w:line="260" w:lineRule="exact" w:before="280" w:after="0"/>
        <w:ind w:left="960" w:right="864" w:firstLine="0"/>
        <w:jc w:val="left"/>
      </w:pPr>
      <w:r>
        <w:rPr>
          <w:rFonts w:ascii="Helvetica" w:hAnsi="Helvetica" w:eastAsia="Helvetica"/>
          <w:b/>
          <w:i w:val="0"/>
          <w:color w:val="266B5B"/>
          <w:sz w:val="24"/>
        </w:rPr>
        <w:t xml:space="preserve">Our Approach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We combine practical experience with modern tooling to keep projects on time and on budget. Our team works with organizations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of every size to deliver measurable results on schedule. Quarterly reviews keep your goals front and center throughout the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engagement.</w:t>
      </w:r>
    </w:p>
    <w:p>
      <w:pPr>
        <w:autoSpaceDN w:val="0"/>
        <w:autoSpaceDE w:val="0"/>
        <w:widowControl/>
        <w:spacing w:line="270" w:lineRule="exact" w:before="270" w:after="0"/>
        <w:ind w:left="960" w:right="864" w:firstLine="0"/>
        <w:jc w:val="left"/>
      </w:pPr>
      <w:r>
        <w:rPr>
          <w:rFonts w:ascii="Helvetica" w:hAnsi="Helvetica" w:eastAsia="Helvetica"/>
          <w:b/>
          <w:i w:val="0"/>
          <w:color w:val="266B5B"/>
          <w:sz w:val="24"/>
        </w:rPr>
        <w:t xml:space="preserve">Getting Started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Our team works with organizations of every size to deliver measurable results on schedule. Founded in 2018, we have grown into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a trusted partner for clients across the region. Every engagement starts with a detailed assessment of your current operations.</w:t>
      </w:r>
    </w:p>
    <w:p>
      <w:pPr>
        <w:autoSpaceDN w:val="0"/>
        <w:autoSpaceDE w:val="0"/>
        <w:widowControl/>
        <w:spacing w:line="300" w:lineRule="exact" w:before="240" w:after="0"/>
        <w:ind w:left="960" w:right="4752" w:firstLine="0"/>
        <w:jc w:val="left"/>
      </w:pPr>
      <w:r>
        <w:rPr>
          <w:rFonts w:ascii="Helvetica" w:hAnsi="Helvetica" w:eastAsia="Helvetica"/>
          <w:b/>
          <w:i w:val="0"/>
          <w:color w:val="266B5B"/>
          <w:sz w:val="24"/>
        </w:rPr>
        <w:t>At a Glance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Quarterly reviews keep your goals front and center throughout the engagement.</w:t>
      </w:r>
    </w:p>
    <w:p>
      <w:pPr>
        <w:autoSpaceDN w:val="0"/>
        <w:autoSpaceDE w:val="0"/>
        <w:widowControl/>
        <w:spacing w:line="280" w:lineRule="exact" w:before="40" w:after="0"/>
        <w:ind w:right="3888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Our team works with organizations of every size to deliver measurable results on schedule.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We maintain a 91% on-time completion rate across all active accounts.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We combine practical experience with modern tooling to keep projects on time and on budget.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240"/>
      </w:tblGrid>
      <w:tr>
        <w:trPr>
          <w:trHeight w:hRule="exact" w:val="442"/>
        </w:trPr>
        <w:tc>
          <w:tcPr>
            <w:tcW w:type="dxa" w:w="1224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68" w:after="0"/>
              <w:ind w:left="96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8"/>
              </w:rPr>
              <w:t>Contact us: (581) 881-5386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12240"/>
      </w:tblGrid>
      <w:tr>
        <w:trPr>
          <w:trHeight w:hRule="exact" w:val="286"/>
        </w:trPr>
        <w:tc>
          <w:tcPr>
            <w:tcW w:type="dxa" w:w="734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6" w:after="0"/>
              <w:ind w:left="4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72727A"/>
                <w:sz w:val="16"/>
              </w:rPr>
              <w:t>9895 Cedar Ln, Atlanta, GA 30301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