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36"/>
              </w:rPr>
              <w:t>Keystone Solutions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348"/>
        </w:trPr>
        <w:tc>
          <w:tcPr>
            <w:tcW w:type="dxa" w:w="768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/>
                <w:color w:val="D8EDE5"/>
                <w:sz w:val="20"/>
              </w:rPr>
              <w:t>Your Partner in Sustainable Growth</w:t>
            </w:r>
          </w:p>
        </w:tc>
      </w:tr>
    </w:tbl>
    <w:p>
      <w:pPr>
        <w:autoSpaceDN w:val="0"/>
        <w:autoSpaceDE w:val="0"/>
        <w:widowControl/>
        <w:spacing w:line="5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60.0" w:type="dxa"/>
      </w:tblPr>
      <w:tblGrid>
        <w:gridCol w:w="12240"/>
      </w:tblGrid>
      <w:tr>
        <w:trPr>
          <w:trHeight w:hRule="exact" w:val="3000"/>
        </w:trPr>
        <w:tc>
          <w:tcPr>
            <w:tcW w:type="dxa" w:w="10320"/>
            <w:tcBorders>
              <w:start w:sz="6.400000095367432" w:val="single" w:color="#B2B7BC"/>
              <w:top w:sz="6.400000095367432" w:val="single" w:color="#B2B7BC"/>
              <w:end w:sz="6.400000095367432" w:val="single" w:color="#B2B7BC"/>
              <w:bottom w:sz="6.400000095367432" w:val="single" w:color="#B2B7BC"/>
            </w:tcBorders>
            <w:shd w:fill="e5ea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2.0" w:type="dxa"/>
            </w:tblPr>
            <w:tblGrid>
              <w:gridCol w:w="10320"/>
            </w:tblGrid>
            <w:tr>
              <w:trPr>
                <w:trHeight w:hRule="exact" w:val="2208"/>
              </w:trPr>
              <w:tc>
                <w:tcPr>
                  <w:tcW w:type="dxa" w:w="9608"/>
                  <w:tcBorders>
                    <w:start w:sz="6.400000095367432" w:val="single" w:color="#66666B"/>
                    <w:bottom w:sz="6.400000095367432" w:val="single" w:color="#66666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32.0" w:type="dxa"/>
            </w:tblPr>
            <w:tblGrid>
              <w:gridCol w:w="2580"/>
              <w:gridCol w:w="2580"/>
              <w:gridCol w:w="2580"/>
              <w:gridCol w:w="2580"/>
            </w:tblGrid>
            <w:tr>
              <w:trPr>
                <w:trHeight w:hRule="exact" w:val="230"/>
              </w:trPr>
              <w:tc>
                <w:tcPr>
                  <w:tcW w:type="dxa" w:w="2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1120" w:firstLine="0"/>
                    <w:jc w:val="righ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Q1</w:t>
                  </w:r>
                </w:p>
              </w:tc>
              <w:tc>
                <w:tcPr>
                  <w:tcW w:type="dxa" w:w="2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Q2</w:t>
                  </w:r>
                </w:p>
              </w:tc>
              <w:tc>
                <w:tcPr>
                  <w:tcW w:type="dxa" w:w="2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Q3</w:t>
                  </w:r>
                </w:p>
              </w:tc>
              <w:tc>
                <w:tcPr>
                  <w:tcW w:type="dxa" w:w="2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6" w:after="0"/>
                    <w:ind w:left="0" w:right="740" w:firstLine="0"/>
                    <w:jc w:val="righ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66666B"/>
                      <w:sz w:val="12"/>
                    </w:rPr>
                    <w:t>Q4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tabs>
          <w:tab w:pos="6320" w:val="left"/>
        </w:tabs>
        <w:autoSpaceDE w:val="0"/>
        <w:pStyle w:val="Heading1"/>
        <w:widowControl/>
        <w:spacing w:line="304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2"/>
        </w:rPr>
        <w:t xml:space="preserve">Who We Serve </w:t>
      </w:r>
      <w:r>
        <w:tab/>
      </w:r>
      <w:r>
        <w:rPr>
          <w:rFonts w:ascii="Helvetica" w:hAnsi="Helvetica" w:eastAsia="Helvetica"/>
          <w:b/>
          <w:i w:val="0"/>
          <w:color w:val="266B5B"/>
          <w:sz w:val="22"/>
        </w:rPr>
        <w:t>Our Track Record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12" w:after="0"/>
        <w:ind w:left="960" w:right="576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Every engagement starts with a detailed assessment of your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current operations. Founded in 2001, we have grown into a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>trusted partner for clients across the region.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960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2"/>
        </w:rPr>
        <w:t>Getting Started</w:t>
      </w:r>
    </w:p>
    <w:p>
      <w:pPr>
        <w:autoSpaceDN w:val="0"/>
        <w:autoSpaceDE w:val="0"/>
        <w:widowControl/>
        <w:spacing w:line="220" w:lineRule="exact" w:before="52" w:after="0"/>
        <w:ind w:left="96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Quarterly reviews keep your goals front and center throughout the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engagement. Every engagement starts with a detailed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7"/>
        </w:rPr>
        <w:t>assessment of your current operations.</w:t>
      </w:r>
    </w:p>
    <w:p>
      <w:pPr>
        <w:sectPr>
          <w:type w:val="continuous"/>
          <w:pgSz w:w="12240" w:h="15840"/>
          <w:pgMar w:top="0" w:right="0" w:bottom="0" w:left="0" w:header="720" w:footer="720" w:gutter="0"/>
          <w:cols w:num="2" w:equalWidth="0">
            <w:col w:w="6116" w:space="0"/>
            <w:col w:w="6124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12" w:after="0"/>
        <w:ind w:left="204" w:right="100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Every engagement starts with a detailed assessment of your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current operations. Our certified staff bring an average of 7 years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of hands-on industry experience. We maintain a 96% on-time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>completion rate across all active accounts.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04" w:right="0" w:firstLine="0"/>
        <w:jc w:val="left"/>
      </w:pPr>
      <w:r>
        <w:rPr>
          <w:rFonts w:ascii="Helvetica" w:hAnsi="Helvetica" w:eastAsia="Helvetica"/>
          <w:b/>
          <w:i w:val="0"/>
          <w:color w:val="266B5B"/>
          <w:sz w:val="22"/>
        </w:rPr>
        <w:t>At a Glance</w:t>
      </w:r>
    </w:p>
    <w:p>
      <w:pPr>
        <w:autoSpaceDN w:val="0"/>
        <w:autoSpaceDE w:val="0"/>
        <w:widowControl/>
        <w:spacing w:line="220" w:lineRule="exact" w:before="40" w:after="0"/>
        <w:ind w:right="144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Our team works with organizations of every size to deliver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>measurable results on schedule.</w:t>
      </w:r>
    </w:p>
    <w:p>
      <w:pPr>
        <w:autoSpaceDN w:val="0"/>
        <w:autoSpaceDE w:val="0"/>
        <w:widowControl/>
        <w:spacing w:line="220" w:lineRule="exact" w:before="40" w:after="0"/>
        <w:ind w:right="158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From initial planning through final handoff, a dedicated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>coordinator manages every detail.</w:t>
      </w:r>
    </w:p>
    <w:p>
      <w:pPr>
        <w:autoSpaceDN w:val="0"/>
        <w:autoSpaceDE w:val="0"/>
        <w:widowControl/>
        <w:spacing w:line="220" w:lineRule="exact" w:before="40" w:after="0"/>
        <w:ind w:right="115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Every engagement starts with a detailed assessment of your </w:t>
      </w:r>
      <w:r>
        <w:rPr>
          <w:rFonts w:ascii="Helvetica" w:hAnsi="Helvetica" w:eastAsia="Helvetica"/>
          <w:b w:val="0"/>
          <w:i w:val="0"/>
          <w:color w:val="1E1E23"/>
          <w:sz w:val="17"/>
        </w:rPr>
        <w:t>current operations.</w:t>
      </w:r>
    </w:p>
    <w:p>
      <w:pPr>
        <w:sectPr>
          <w:type w:val="nextColumn"/>
          <w:pgSz w:w="12240" w:h="15840"/>
          <w:pgMar w:top="0" w:right="0" w:bottom="0" w:left="0" w:header="720" w:footer="720" w:gutter="0"/>
          <w:cols w:num="2" w:equalWidth="0">
            <w:col w:w="6116" w:space="0"/>
            <w:col w:w="612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Contact us: (962) 568-6467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286"/>
        </w:trPr>
        <w:tc>
          <w:tcPr>
            <w:tcW w:type="dxa" w:w="732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72727A"/>
                <w:sz w:val="16"/>
              </w:rPr>
              <w:t>6730 Elm St, Nashville, TN 37201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