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240"/>
      </w:tblGrid>
      <w:tr>
        <w:trPr>
          <w:trHeight w:hRule="exact" w:val="928"/>
        </w:trPr>
        <w:tc>
          <w:tcPr>
            <w:tcW w:type="dxa" w:w="1224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414" w:after="0"/>
              <w:ind w:left="9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36"/>
              </w:rPr>
              <w:t>Ironwood Holdings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2240"/>
      </w:tblGrid>
      <w:tr>
        <w:trPr>
          <w:trHeight w:hRule="exact" w:val="348"/>
        </w:trPr>
        <w:tc>
          <w:tcPr>
            <w:tcW w:type="dxa" w:w="768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" w:after="0"/>
              <w:ind w:left="480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D8EDE5"/>
                <w:sz w:val="20"/>
              </w:rPr>
              <w:t>Your Partner in Sustainable Growth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2240"/>
      </w:tblGrid>
      <w:tr>
        <w:trPr>
          <w:trHeight w:hRule="exact" w:val="3000"/>
        </w:trPr>
        <w:tc>
          <w:tcPr>
            <w:tcW w:type="dxa" w:w="10320"/>
            <w:tcBorders>
              <w:start w:sz="6.400000095367432" w:val="single" w:color="#B2B7BC"/>
              <w:top w:sz="6.400000095367432" w:val="single" w:color="#B2B7BC"/>
              <w:end w:sz="6.400000095367432" w:val="single" w:color="#B2B7BC"/>
              <w:bottom w:sz="6.400000095367432" w:val="single" w:color="#B2B7BC"/>
            </w:tcBorders>
            <w:shd w:fill="e5ea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" w:type="dxa"/>
            </w:tblPr>
            <w:tblGrid>
              <w:gridCol w:w="10320"/>
            </w:tblGrid>
            <w:tr>
              <w:trPr>
                <w:trHeight w:hRule="exact" w:val="2208"/>
              </w:trPr>
              <w:tc>
                <w:tcPr>
                  <w:tcW w:type="dxa" w:w="9608"/>
                  <w:tcBorders>
                    <w:start w:sz="6.400000095367432" w:val="single" w:color="#66666B"/>
                    <w:bottom w:sz="6.400000095367432" w:val="single" w:color="#66666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32.0" w:type="dxa"/>
            </w:tblPr>
            <w:tblGrid>
              <w:gridCol w:w="2580"/>
              <w:gridCol w:w="2580"/>
              <w:gridCol w:w="2580"/>
              <w:gridCol w:w="2580"/>
            </w:tblGrid>
            <w:tr>
              <w:trPr>
                <w:trHeight w:hRule="exact" w:val="230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112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Q1</w:t>
                  </w: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Q2</w:t>
                  </w: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Q3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74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6320" w:val="left"/>
        </w:tabs>
        <w:autoSpaceDE w:val="0"/>
        <w:pStyle w:val="Heading1"/>
        <w:widowControl/>
        <w:spacing w:line="304" w:lineRule="exact" w:before="240" w:after="80"/>
        <w:ind w:left="960" w:right="0" w:firstLine="0"/>
        <w:jc w:val="left"/>
      </w:pPr>
      <w:r>
        <w:rPr>
          <w:rFonts w:ascii="Helvetica" w:hAnsi="Helvetica" w:eastAsia="Helvetica"/>
          <w:b/>
          <w:i w:val="0"/>
          <w:color w:val="266B5B"/>
          <w:sz w:val="22"/>
        </w:rPr>
        <w:t xml:space="preserve">Getting Started </w:t>
      </w:r>
      <w:r>
        <w:tab/>
      </w:r>
      <w:r>
        <w:rPr>
          <w:rFonts w:ascii="Helvetica" w:hAnsi="Helvetica" w:eastAsia="Helvetica"/>
          <w:b/>
          <w:i w:val="0"/>
          <w:color w:val="266B5B"/>
          <w:sz w:val="22"/>
        </w:rPr>
        <w:t>Our Track Record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" w:after="0"/>
        <w:ind w:left="960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Clients rely on us for clear communication, transparent pricing, </w:t>
      </w: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and dependable delivery. Flexible service plans let you scale </w:t>
      </w: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support up or down as your needs change. We combine practical </w:t>
      </w: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experience with modern tooling to keep projects on time and on </w:t>
      </w:r>
      <w:r>
        <w:rPr>
          <w:rFonts w:ascii="Helvetica" w:hAnsi="Helvetica" w:eastAsia="Helvetica"/>
          <w:b w:val="0"/>
          <w:i w:val="0"/>
          <w:color w:val="1E1E23"/>
          <w:sz w:val="17"/>
        </w:rPr>
        <w:t>budget.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960" w:right="0" w:firstLine="0"/>
        <w:jc w:val="left"/>
      </w:pPr>
      <w:r>
        <w:rPr>
          <w:rFonts w:ascii="Helvetica" w:hAnsi="Helvetica" w:eastAsia="Helvetica"/>
          <w:b/>
          <w:i w:val="0"/>
          <w:color w:val="266B5B"/>
          <w:sz w:val="22"/>
        </w:rPr>
        <w:t>What We Do</w:t>
      </w:r>
    </w:p>
    <w:p>
      <w:pPr>
        <w:autoSpaceDN w:val="0"/>
        <w:autoSpaceDE w:val="0"/>
        <w:widowControl/>
        <w:spacing w:line="220" w:lineRule="exact" w:before="52" w:after="0"/>
        <w:ind w:left="960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Founded in 1987, we have grown into a trusted partner for clients </w:t>
      </w: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across the region. Clients rely on us for clear communication, </w:t>
      </w:r>
      <w:r>
        <w:rPr>
          <w:rFonts w:ascii="Helvetica" w:hAnsi="Helvetica" w:eastAsia="Helvetica"/>
          <w:b w:val="0"/>
          <w:i w:val="0"/>
          <w:color w:val="1E1E23"/>
          <w:sz w:val="17"/>
        </w:rPr>
        <w:t>transparent pricing, and dependable delivery.</w:t>
      </w:r>
    </w:p>
    <w:p>
      <w:pPr>
        <w:sectPr>
          <w:type w:val="continuous"/>
          <w:pgSz w:w="12240" w:h="15840"/>
          <w:pgMar w:top="0" w:right="0" w:bottom="0" w:left="0" w:header="720" w:footer="720" w:gutter="0"/>
          <w:cols w:num="2" w:equalWidth="0">
            <w:col w:w="6092" w:space="0"/>
            <w:col w:w="614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12" w:after="0"/>
        <w:ind w:left="228" w:right="100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Our certified staff bring an average of 6 years of hands-on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industry experience. We maintain a 91% on-time completion rate </w:t>
      </w: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across all active accounts. Clients rely on us for clear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7"/>
        </w:rPr>
        <w:t>communication, transparent pricing, and dependable delivery.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28" w:right="0" w:firstLine="0"/>
        <w:jc w:val="left"/>
      </w:pPr>
      <w:r>
        <w:rPr>
          <w:rFonts w:ascii="Helvetica" w:hAnsi="Helvetica" w:eastAsia="Helvetica"/>
          <w:b/>
          <w:i w:val="0"/>
          <w:color w:val="266B5B"/>
          <w:sz w:val="22"/>
        </w:rPr>
        <w:t>At a Glance</w:t>
      </w:r>
    </w:p>
    <w:p>
      <w:pPr>
        <w:autoSpaceDN w:val="0"/>
        <w:autoSpaceDE w:val="0"/>
        <w:widowControl/>
        <w:spacing w:line="220" w:lineRule="exact" w:before="40" w:after="0"/>
        <w:ind w:right="100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Quarterly reviews keep your goals front and center throughout </w:t>
      </w:r>
      <w:r>
        <w:rPr>
          <w:rFonts w:ascii="Helvetica" w:hAnsi="Helvetica" w:eastAsia="Helvetica"/>
          <w:b w:val="0"/>
          <w:i w:val="0"/>
          <w:color w:val="1E1E23"/>
          <w:sz w:val="17"/>
        </w:rPr>
        <w:t>the engagement.</w:t>
      </w:r>
    </w:p>
    <w:p>
      <w:pPr>
        <w:autoSpaceDN w:val="0"/>
        <w:autoSpaceDE w:val="0"/>
        <w:widowControl/>
        <w:spacing w:line="220" w:lineRule="exact" w:before="40" w:after="0"/>
        <w:ind w:right="100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Clients rely on us for clear communication, transparent pricing, </w:t>
      </w:r>
      <w:r>
        <w:rPr>
          <w:rFonts w:ascii="Helvetica" w:hAnsi="Helvetica" w:eastAsia="Helvetica"/>
          <w:b w:val="0"/>
          <w:i w:val="0"/>
          <w:color w:val="1E1E23"/>
          <w:sz w:val="17"/>
        </w:rPr>
        <w:t>and dependable delivery.</w:t>
      </w:r>
    </w:p>
    <w:p>
      <w:pPr>
        <w:autoSpaceDN w:val="0"/>
        <w:autoSpaceDE w:val="0"/>
        <w:widowControl/>
        <w:spacing w:line="220" w:lineRule="exact" w:before="40" w:after="0"/>
        <w:ind w:right="158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From initial planning through final handoff, a dedicated </w:t>
      </w:r>
      <w:r>
        <w:rPr>
          <w:rFonts w:ascii="Helvetica" w:hAnsi="Helvetica" w:eastAsia="Helvetica"/>
          <w:b w:val="0"/>
          <w:i w:val="0"/>
          <w:color w:val="1E1E23"/>
          <w:sz w:val="17"/>
        </w:rPr>
        <w:t>coordinator manages every detail.</w:t>
      </w:r>
    </w:p>
    <w:p>
      <w:pPr>
        <w:autoSpaceDN w:val="0"/>
        <w:autoSpaceDE w:val="0"/>
        <w:widowControl/>
        <w:spacing w:line="220" w:lineRule="exact" w:before="40" w:after="0"/>
        <w:ind w:right="1152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7"/>
        </w:rPr>
        <w:t xml:space="preserve">Every engagement starts with a detailed assessment of your </w:t>
      </w:r>
      <w:r>
        <w:rPr>
          <w:rFonts w:ascii="Helvetica" w:hAnsi="Helvetica" w:eastAsia="Helvetica"/>
          <w:b w:val="0"/>
          <w:i w:val="0"/>
          <w:color w:val="1E1E23"/>
          <w:sz w:val="17"/>
        </w:rPr>
        <w:t>current operations.</w:t>
      </w:r>
    </w:p>
    <w:p>
      <w:pPr>
        <w:sectPr>
          <w:type w:val="nextColumn"/>
          <w:pgSz w:w="12240" w:h="15840"/>
          <w:pgMar w:top="0" w:right="0" w:bottom="0" w:left="0" w:header="720" w:footer="720" w:gutter="0"/>
          <w:cols w:num="2" w:equalWidth="0">
            <w:col w:w="6092" w:space="0"/>
            <w:col w:w="61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240"/>
      </w:tblGrid>
      <w:tr>
        <w:trPr>
          <w:trHeight w:hRule="exact" w:val="442"/>
        </w:trPr>
        <w:tc>
          <w:tcPr>
            <w:tcW w:type="dxa" w:w="122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8" w:after="0"/>
              <w:ind w:left="9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8"/>
              </w:rPr>
              <w:t>Contact us: (323) 590-0133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2240"/>
      </w:tblGrid>
      <w:tr>
        <w:trPr>
          <w:trHeight w:hRule="exact" w:val="286"/>
        </w:trPr>
        <w:tc>
          <w:tcPr>
            <w:tcW w:type="dxa" w:w="730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4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72727A"/>
                <w:sz w:val="16"/>
              </w:rPr>
              <w:t>7805 Main St, Seattle, WA 98101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