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>MASTER SERVICES AGREEMENT</w:t>
      </w:r>
    </w:p>
    <w:p>
      <w:pPr>
        <w:autoSpaceDN w:val="0"/>
        <w:autoSpaceDE w:val="0"/>
        <w:widowControl/>
        <w:spacing w:line="276" w:lineRule="exact" w:before="258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>This Agreement is entered into as of Mar 10, 2023 (the "Effective Date") by and between Lakeshore Works,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>with its principal place of business in Nashville, TN ("Client"), and Apex Consulting, with its principal place of</w:t>
      </w:r>
      <w:r>
        <w:t xml:space="preserve">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>business in Seattle, WA ("Provider"). The parties agree as follows:</w:t>
      </w:r>
    </w:p>
    <w:p>
      <w:pPr>
        <w:autoSpaceDN w:val="0"/>
        <w:autoSpaceDE w:val="0"/>
        <w:widowControl/>
        <w:spacing w:line="220" w:lineRule="exact" w:before="27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Term and Renewal. This Agreement shall commence on the Effective Date and continue for an initial term of 6 months,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unless earlier terminated as provided herein. The Agreement will renew automatically for successive terms of equal length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unless either party gives written notice of non-renewal at least 60 days before the end of the then-current term.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Limitation of Liability. Except for breaches of confidentiality, neither party shall be liable for any indirect, incidental, special,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or consequential damages arising out of this Agreement. Each party's aggregate liability shall not exceed the total fees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paid or payable by Lakeshore Works in the twelve months preceding the claim.</w:t>
      </w:r>
    </w:p>
    <w:p>
      <w:pPr>
        <w:autoSpaceDN w:val="0"/>
        <w:autoSpaceDE w:val="0"/>
        <w:widowControl/>
        <w:spacing w:line="220" w:lineRule="exact" w:before="120" w:after="0"/>
        <w:ind w:left="6" w:right="80" w:firstLine="0"/>
        <w:jc w:val="both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Entire Agreement. This Agreement, together with its exhibits, constitutes the entire agreement between Lakeshore Works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and Apex Consulting with respect to its subject matter and supersedes all prior or contemporaneous understandings. Any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amendment must be in writing and signed by both parties.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Termination. Either party may terminate this Agreement upon 60 days' written notice to the other party. Either party may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terminate immediately upon a material breach by the other party that remains uncured 60 days after written notice of the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breach.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Governing Law. This Agreement shall be governed by and construed in accordance with the laws of the State of Illinois,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without regard to its conflict of laws principles. The parties consent to the exclusive jurisdiction of the state and federal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courts located in Illinois.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Confidentiality. Each party agrees to hold in strict confidence all non-public information disclosed by the other party in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connection with this Agreement, and to use such information solely to perform its obligations hereunder. This obligation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survives termination of this Agreement for a period of 6 months.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Scope of Services. Apex Consulting shall provide the services described in Exhibit A (the "Services") to Lakeshore Works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in a professional and workmanlike manner, consistent with industry standards. Any changes to the scope of the Services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must be agreed in writing by both parties before work begins.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Compensation. In consideration of the Services, Lakeshore Works shall pay Apex Consulting fees not to exceed $43,000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per invoice period. All invoices are payable within 60 days of receipt. Amounts unpaid after the due date accrue interest at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the lesser of 1.5% per month or the maximum rate permitted by law.</w:t>
      </w:r>
    </w:p>
    <w:p>
      <w:pPr>
        <w:autoSpaceDN w:val="0"/>
        <w:autoSpaceDE w:val="0"/>
        <w:widowControl/>
        <w:spacing w:line="258" w:lineRule="exact" w:before="372" w:after="560"/>
        <w:ind w:left="6" w:right="0" w:firstLine="0"/>
        <w:jc w:val="left"/>
      </w:pPr>
      <w:r>
        <w:rPr>
          <w:rFonts w:ascii="Helvetica" w:hAnsi="Helvetica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36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Ethan Müller, Lakeshore Works</w:t>
      </w:r>
    </w:p>
    <w:p>
      <w:pPr>
        <w:sectPr>
          <w:type w:val="continuous"/>
          <w:pgSz w:w="12240" w:h="15840"/>
          <w:pgMar w:top="610" w:right="1236" w:bottom="1440" w:left="1274" w:header="720" w:footer="720" w:gutter="0"/>
          <w:cols w:num="2" w:equalWidth="0">
            <w:col w:w="4846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Aisha Okafor, Apex Consulting</w:t>
      </w:r>
    </w:p>
    <w:sectPr w:rsidR="00FC693F" w:rsidRPr="0006063C" w:rsidSect="00034616">
      <w:type w:val="nextColumn"/>
      <w:pgSz w:w="12240" w:h="15840"/>
      <w:pgMar w:top="610" w:right="1236" w:bottom="1440" w:left="1274" w:header="720" w:footer="720" w:gutter="0"/>
      <w:cols w:num="2" w:equalWidth="0">
        <w:col w:w="4846" w:space="0"/>
        <w:col w:w="48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