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90"/>
        <w:ind w:left="0" w:right="0"/>
      </w:pPr>
    </w:p>
    <w:p>
      <w:pPr>
        <w:autoSpaceDN w:val="0"/>
        <w:autoSpaceDE w:val="0"/>
        <w:pStyle w:val="Heading1"/>
        <w:widowControl/>
        <w:spacing w:line="386" w:lineRule="exact" w:before="240" w:after="80"/>
        <w:ind w:left="0" w:right="0" w:firstLine="0"/>
        <w:jc w:val="center"/>
      </w:pPr>
      <w:r>
        <w:rPr>
          <w:rFonts w:ascii="Helvetica" w:hAnsi="Helvetica" w:eastAsia="Helvetica"/>
          <w:b/>
          <w:i w:val="0"/>
          <w:color w:val="000000"/>
          <w:sz w:val="28"/>
        </w:rPr>
        <w:t>CONSULTING AGREEMENT</w:t>
      </w:r>
    </w:p>
    <w:p>
      <w:pPr>
        <w:autoSpaceDN w:val="0"/>
        <w:autoSpaceDE w:val="0"/>
        <w:widowControl/>
        <w:spacing w:line="276" w:lineRule="exact" w:before="258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20"/>
        </w:rPr>
        <w:t>This Agreement is entered into as of Jan 14, 2025 (the "Effective Date") by and between Keystone Ventures,</w:t>
      </w:r>
    </w:p>
    <w:p>
      <w:pPr>
        <w:autoSpaceDN w:val="0"/>
        <w:autoSpaceDE w:val="0"/>
        <w:widowControl/>
        <w:spacing w:line="276" w:lineRule="exact" w:before="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20"/>
        </w:rPr>
        <w:t>with its principal place of business in Seattle, WA ("Client"), and Granite Holdings, with its principal place of</w:t>
      </w:r>
      <w:r>
        <w:t xml:space="preserve"> </w:t>
      </w:r>
      <w:r>
        <w:rPr>
          <w:rFonts w:ascii="Helvetica" w:hAnsi="Helvetica" w:eastAsia="Helvetica"/>
          <w:b w:val="0"/>
          <w:i w:val="0"/>
          <w:color w:val="1E1E23"/>
          <w:sz w:val="20"/>
        </w:rPr>
        <w:t>business in Denver, CO ("Provider"). The parties agree as follows:</w:t>
      </w:r>
    </w:p>
    <w:p>
      <w:pPr>
        <w:autoSpaceDN w:val="0"/>
        <w:autoSpaceDE w:val="0"/>
        <w:widowControl/>
        <w:spacing w:line="220" w:lineRule="exact" w:before="274" w:after="0"/>
        <w:ind w:left="6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Termination. Either party may terminate this Agreement upon 30 days' written notice to the other party. Either party may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terminate immediately upon a material breach by the other party that remains uncured 30 days after written notice of the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breach.</w:t>
      </w:r>
    </w:p>
    <w:p>
      <w:pPr>
        <w:autoSpaceDN w:val="0"/>
        <w:autoSpaceDE w:val="0"/>
        <w:widowControl/>
        <w:spacing w:line="220" w:lineRule="exact" w:before="120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Independent Contractor. Granite Holdings is an independent contractor and nothing in this Agreement creates a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partnership, joint venture, agency, or employment relationship between the parties. Granite Holdings is solely responsible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for its own taxes, insurance, and employee obligations.</w:t>
      </w:r>
    </w:p>
    <w:p>
      <w:pPr>
        <w:autoSpaceDN w:val="0"/>
        <w:autoSpaceDE w:val="0"/>
        <w:widowControl/>
        <w:spacing w:line="220" w:lineRule="exact" w:before="120" w:after="0"/>
        <w:ind w:left="6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Confidentiality. Each party agrees to hold in strict confidence all non-public information disclosed by the other party in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connection with this Agreement, and to use such information solely to perform its obligations hereunder. This obligation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survives termination of this Agreement for a period of 12 months.</w:t>
      </w:r>
    </w:p>
    <w:p>
      <w:pPr>
        <w:autoSpaceDN w:val="0"/>
        <w:autoSpaceDE w:val="0"/>
        <w:widowControl/>
        <w:spacing w:line="220" w:lineRule="exact" w:before="120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Limitation of Liability. Except for breaches of confidentiality, neither party shall be liable for any indirect, incidental, special,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or consequential damages arising out of this Agreement. Each party's aggregate liability shall not exceed the total fees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paid or payable by Keystone Ventures in the twelve months preceding the claim.</w:t>
      </w:r>
    </w:p>
    <w:p>
      <w:pPr>
        <w:autoSpaceDN w:val="0"/>
        <w:autoSpaceDE w:val="0"/>
        <w:widowControl/>
        <w:spacing w:line="220" w:lineRule="exact" w:before="120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Term and Renewal. This Agreement shall commence on the Effective Date and continue for an initial term of 12 months,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unless earlier terminated as provided herein. The Agreement will renew automatically for successive terms of equal length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unless either party gives written notice of non-renewal at least 30 days before the end of the then-current term.</w:t>
      </w:r>
    </w:p>
    <w:p>
      <w:pPr>
        <w:autoSpaceDN w:val="0"/>
        <w:autoSpaceDE w:val="0"/>
        <w:widowControl/>
        <w:spacing w:line="220" w:lineRule="exact" w:before="120" w:after="0"/>
        <w:ind w:left="6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Governing Law. This Agreement shall be governed by and construed in accordance with the laws of the State of Illinois,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without regard to its conflict of laws principles. The parties consent to the exclusive jurisdiction of the state and federal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courts located in Illinois.</w:t>
      </w:r>
    </w:p>
    <w:p>
      <w:pPr>
        <w:autoSpaceDN w:val="0"/>
        <w:autoSpaceDE w:val="0"/>
        <w:widowControl/>
        <w:spacing w:line="220" w:lineRule="exact" w:before="120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Scope of Services. Granite Holdings shall provide the services described in Exhibit A (the "Services") to Keystone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Ventures in a professional and workmanlike manner, consistent with industry standards. Any changes to the scope of the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Services must be agreed in writing by both parties before work begins.</w:t>
      </w:r>
    </w:p>
    <w:p>
      <w:pPr>
        <w:autoSpaceDN w:val="0"/>
        <w:autoSpaceDE w:val="0"/>
        <w:widowControl/>
        <w:spacing w:line="258" w:lineRule="exact" w:before="372" w:after="560"/>
        <w:ind w:left="6" w:right="0" w:firstLine="0"/>
        <w:jc w:val="left"/>
      </w:pPr>
      <w:r>
        <w:rPr>
          <w:rFonts w:ascii="Helvetica" w:hAnsi="Helvetica" w:eastAsia="Helvetica"/>
          <w:b w:val="0"/>
          <w:i/>
          <w:color w:val="1E1E23"/>
          <w:sz w:val="19"/>
        </w:rPr>
        <w:t>IN WITNESS WHEREOF, the parties have executed this Agreement as of the Effective Date.</w:t>
      </w:r>
    </w:p>
    <w:p>
      <w:pPr>
        <w:sectPr>
          <w:pgSz w:w="12240" w:h="15840"/>
          <w:pgMar w:top="610" w:right="1236" w:bottom="1440" w:left="127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Ingrid Yamamoto, Keystone Ventures</w:t>
      </w:r>
    </w:p>
    <w:p>
      <w:pPr>
        <w:sectPr>
          <w:type w:val="continuous"/>
          <w:pgSz w:w="12240" w:h="15840"/>
          <w:pgMar w:top="610" w:right="1236" w:bottom="1440" w:left="1274" w:header="720" w:footer="720" w:gutter="0"/>
          <w:cols w:num="2" w:equalWidth="0">
            <w:col w:w="4846" w:space="0"/>
            <w:col w:w="4884" w:space="0"/>
          </w:cols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400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Priya Ivanov, Granite Holdings</w:t>
      </w:r>
    </w:p>
    <w:sectPr w:rsidR="00FC693F" w:rsidRPr="0006063C" w:rsidSect="00034616">
      <w:type w:val="nextColumn"/>
      <w:pgSz w:w="12240" w:h="15840"/>
      <w:pgMar w:top="610" w:right="1236" w:bottom="1440" w:left="1274" w:header="720" w:footer="720" w:gutter="0"/>
      <w:cols w:num="2" w:equalWidth="0">
        <w:col w:w="4846" w:space="0"/>
        <w:col w:w="4884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