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0"/>
        <w:ind w:left="0" w:right="0"/>
      </w:pPr>
    </w:p>
    <w:p>
      <w:pPr>
        <w:autoSpaceDN w:val="0"/>
        <w:autoSpaceDE w:val="0"/>
        <w:pStyle w:val="Heading1"/>
        <w:widowControl/>
        <w:spacing w:line="386" w:lineRule="exact" w:before="240" w:after="8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>PROFESSIONAL SERVICES AGREEMENT</w:t>
      </w:r>
    </w:p>
    <w:p>
      <w:pPr>
        <w:autoSpaceDN w:val="0"/>
        <w:autoSpaceDE w:val="0"/>
        <w:widowControl/>
        <w:spacing w:line="280" w:lineRule="exact" w:before="25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20"/>
        </w:rPr>
        <w:t xml:space="preserve">This Agreement is entered into as of Jul 21, 2025 (the "Effective Date") by and between Vanguard Dynamics, </w:t>
      </w:r>
      <w:r>
        <w:rPr>
          <w:rFonts w:ascii="Helvetica" w:hAnsi="Helvetica" w:eastAsia="Helvetica"/>
          <w:b w:val="0"/>
          <w:i w:val="0"/>
          <w:color w:val="1E1E23"/>
          <w:sz w:val="20"/>
        </w:rPr>
        <w:t xml:space="preserve">with its principal place of business in Chicago, IL ("Client"), and Delta Dynamics, with its principal place of </w:t>
      </w:r>
      <w:r>
        <w:rPr>
          <w:rFonts w:ascii="Helvetica" w:hAnsi="Helvetica" w:eastAsia="Helvetica"/>
          <w:b w:val="0"/>
          <w:i w:val="0"/>
          <w:color w:val="1E1E23"/>
          <w:sz w:val="20"/>
        </w:rPr>
        <w:t>business in Boston, MA ("Provider"). The parties agree as follows:</w:t>
      </w:r>
    </w:p>
    <w:p>
      <w:pPr>
        <w:autoSpaceDN w:val="0"/>
        <w:autoSpaceDE w:val="0"/>
        <w:widowControl/>
        <w:spacing w:line="288" w:lineRule="exact" w:before="24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1. Entire Agreement</w:t>
      </w:r>
    </w:p>
    <w:p>
      <w:pPr>
        <w:autoSpaceDN w:val="0"/>
        <w:autoSpaceDE w:val="0"/>
        <w:widowControl/>
        <w:spacing w:line="260" w:lineRule="exact" w:before="22" w:after="0"/>
        <w:ind w:left="320" w:right="144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This Agreement, together with its exhibits, constitutes the entire agreement between Vanguard Dynamics and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Delta Dynamics with respect to its subject matter and supersedes all prior or contemporaneous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9"/>
        </w:rPr>
        <w:t>understandings. Any amendment must be in writing and signed by both parties.</w:t>
      </w:r>
    </w:p>
    <w:p>
      <w:pPr>
        <w:autoSpaceDN w:val="0"/>
        <w:autoSpaceDE w:val="0"/>
        <w:widowControl/>
        <w:spacing w:line="288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2. Limitation of Liability</w:t>
      </w:r>
    </w:p>
    <w:p>
      <w:pPr>
        <w:autoSpaceDN w:val="0"/>
        <w:autoSpaceDE w:val="0"/>
        <w:widowControl/>
        <w:spacing w:line="260" w:lineRule="exact" w:before="22" w:after="0"/>
        <w:ind w:left="32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Except for breaches of confidentiality, neither party shall be liable for any indirect, incidental, special, or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consequential damages arising out of this Agreement. Each party's aggregate liability shall not exceed the total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fees paid or payable by Vanguard Dynamics in the twelve months preceding the claim.</w:t>
      </w:r>
    </w:p>
    <w:p>
      <w:pPr>
        <w:autoSpaceDN w:val="0"/>
        <w:autoSpaceDE w:val="0"/>
        <w:widowControl/>
        <w:spacing w:line="288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3. Independent Contractor</w:t>
      </w:r>
    </w:p>
    <w:p>
      <w:pPr>
        <w:autoSpaceDN w:val="0"/>
        <w:autoSpaceDE w:val="0"/>
        <w:widowControl/>
        <w:spacing w:line="260" w:lineRule="exact" w:before="22" w:after="0"/>
        <w:ind w:left="320" w:right="144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Delta Dynamics is an independent contractor and nothing in this Agreement creates a partnership, joint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venture, agency, or employment relationship between the parties. Delta Dynamics is solely responsible for its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own taxes, insurance, and employee obligations.</w:t>
      </w:r>
    </w:p>
    <w:p>
      <w:pPr>
        <w:autoSpaceDN w:val="0"/>
        <w:autoSpaceDE w:val="0"/>
        <w:widowControl/>
        <w:spacing w:line="288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4. Scope of Services</w:t>
      </w:r>
    </w:p>
    <w:p>
      <w:pPr>
        <w:autoSpaceDN w:val="0"/>
        <w:autoSpaceDE w:val="0"/>
        <w:widowControl/>
        <w:spacing w:line="260" w:lineRule="exact" w:before="22" w:after="0"/>
        <w:ind w:left="320" w:right="288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Delta Dynamics shall provide the services described in Exhibit A (the "Services") to Vanguard Dynamics in a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professional and workmanlike manner, consistent with industry standards. Any changes to the scope of the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Services must be agreed in writing by both parties before work begins.</w:t>
      </w:r>
    </w:p>
    <w:p>
      <w:pPr>
        <w:autoSpaceDN w:val="0"/>
        <w:autoSpaceDE w:val="0"/>
        <w:widowControl/>
        <w:spacing w:line="288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5. Compensation</w:t>
      </w:r>
    </w:p>
    <w:p>
      <w:pPr>
        <w:autoSpaceDN w:val="0"/>
        <w:autoSpaceDE w:val="0"/>
        <w:widowControl/>
        <w:spacing w:line="260" w:lineRule="exact" w:before="22" w:after="0"/>
        <w:ind w:left="32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In consideration of the Services, Vanguard Dynamics shall pay Delta Dynamics fees not to exceed $170,000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per invoice period. All invoices are payable within 60 days of receipt. Amounts unpaid after the due date accrue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interest at the lesser of 1.5% per month or the maximum rate permitted by law.</w:t>
      </w:r>
    </w:p>
    <w:p>
      <w:pPr>
        <w:autoSpaceDN w:val="0"/>
        <w:autoSpaceDE w:val="0"/>
        <w:widowControl/>
        <w:spacing w:line="288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6. Term and Renewal</w:t>
      </w:r>
    </w:p>
    <w:p>
      <w:pPr>
        <w:autoSpaceDN w:val="0"/>
        <w:autoSpaceDE w:val="0"/>
        <w:widowControl/>
        <w:spacing w:line="260" w:lineRule="exact" w:before="22" w:after="0"/>
        <w:ind w:left="32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This Agreement shall commence on the Effective Date and continue for an initial term of 12 months, unless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earlier terminated as provided herein. The Agreement will renew automatically for successive terms of equal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length unless either party gives written notice of non-renewal at least 60 days before the end of the then-current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term.</w:t>
      </w:r>
    </w:p>
    <w:p>
      <w:pPr>
        <w:autoSpaceDN w:val="0"/>
        <w:autoSpaceDE w:val="0"/>
        <w:widowControl/>
        <w:spacing w:line="288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7. Governing Law</w:t>
      </w:r>
    </w:p>
    <w:p>
      <w:pPr>
        <w:autoSpaceDN w:val="0"/>
        <w:autoSpaceDE w:val="0"/>
        <w:widowControl/>
        <w:spacing w:line="260" w:lineRule="exact" w:before="22" w:after="0"/>
        <w:ind w:left="32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This Agreement shall be governed by and construed in accordance with the laws of the State of California,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without regard to its conflict of laws principles. The parties consent to the exclusive jurisdiction of the state and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federal courts located in California.</w:t>
      </w:r>
    </w:p>
    <w:p>
      <w:pPr>
        <w:autoSpaceDN w:val="0"/>
        <w:autoSpaceDE w:val="0"/>
        <w:widowControl/>
        <w:spacing w:line="288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8. Termination</w:t>
      </w:r>
    </w:p>
    <w:p>
      <w:pPr>
        <w:autoSpaceDN w:val="0"/>
        <w:autoSpaceDE w:val="0"/>
        <w:widowControl/>
        <w:spacing w:line="260" w:lineRule="exact" w:before="22" w:after="0"/>
        <w:ind w:left="320" w:right="288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Either party may terminate this Agreement upon 60 days' written notice to the other party. Either party may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terminate immediately upon a material breach by the other party that remains uncured 60 days after written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notice of the breach.</w:t>
      </w:r>
    </w:p>
    <w:p>
      <w:pPr>
        <w:sectPr>
          <w:pgSz w:w="12240" w:h="15840"/>
          <w:pgMar w:top="610" w:right="1252" w:bottom="1258" w:left="12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58" w:lineRule="exact" w:before="0" w:after="560"/>
        <w:ind w:left="6" w:right="0" w:firstLine="0"/>
        <w:jc w:val="left"/>
      </w:pPr>
      <w:r>
        <w:rPr>
          <w:rFonts w:ascii="Helvetica" w:hAnsi="Helvetica" w:eastAsia="Helvetica"/>
          <w:b w:val="0"/>
          <w:i/>
          <w:color w:val="1E1E23"/>
          <w:sz w:val="19"/>
        </w:rPr>
        <w:t>IN WITNESS WHEREOF, the parties have executed this Agreement as of the Effective Date.</w:t>
      </w:r>
    </w:p>
    <w:p>
      <w:pPr>
        <w:sectPr>
          <w:pgSz w:w="12240" w:h="15840"/>
          <w:pgMar w:top="774" w:right="1254" w:bottom="1440" w:left="12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64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72727A"/>
          <w:sz w:val="17"/>
        </w:rPr>
        <w:t>Ingrid Taylor, Vanguard Dynamics</w:t>
      </w:r>
    </w:p>
    <w:p>
      <w:pPr>
        <w:sectPr>
          <w:type w:val="continuous"/>
          <w:pgSz w:w="12240" w:h="15840"/>
          <w:pgMar w:top="774" w:right="1254" w:bottom="1440" w:left="1274" w:header="720" w:footer="720" w:gutter="0"/>
          <w:cols w:num="2" w:equalWidth="0">
            <w:col w:w="4846" w:space="0"/>
            <w:col w:w="4865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64" w:after="0"/>
        <w:ind w:left="400" w:right="0" w:firstLine="0"/>
        <w:jc w:val="left"/>
      </w:pPr>
      <w:r>
        <w:rPr>
          <w:rFonts w:ascii="Helvetica" w:hAnsi="Helvetica" w:eastAsia="Helvetica"/>
          <w:b w:val="0"/>
          <w:i w:val="0"/>
          <w:color w:val="72727A"/>
          <w:sz w:val="17"/>
        </w:rPr>
        <w:t>Amara Anderson, Delta Dynamics</w:t>
      </w:r>
    </w:p>
    <w:sectPr w:rsidR="00FC693F" w:rsidRPr="0006063C" w:rsidSect="00034616">
      <w:type w:val="nextColumn"/>
      <w:pgSz w:w="12240" w:h="15840"/>
      <w:pgMar w:top="774" w:right="1254" w:bottom="1440" w:left="1274" w:header="720" w:footer="720" w:gutter="0"/>
      <w:cols w:num="2" w:equalWidth="0">
        <w:col w:w="4846" w:space="0"/>
        <w:col w:w="4865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