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0"/>
        <w:ind w:left="0" w:right="0"/>
      </w:pPr>
    </w:p>
    <w:p>
      <w:pPr>
        <w:autoSpaceDN w:val="0"/>
        <w:autoSpaceDE w:val="0"/>
        <w:pStyle w:val="Heading1"/>
        <w:widowControl/>
        <w:spacing w:line="386" w:lineRule="exact" w:before="240" w:after="8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8"/>
        </w:rPr>
        <w:t>CONSULTING AGREEMENT</w:t>
      </w:r>
    </w:p>
    <w:p>
      <w:pPr>
        <w:autoSpaceDN w:val="0"/>
        <w:autoSpaceDE w:val="0"/>
        <w:widowControl/>
        <w:spacing w:line="276" w:lineRule="exact" w:before="258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20"/>
        </w:rPr>
        <w:t>This Agreement is entered into as of Sep 5, 2024 (the "Effective Date") by and between Keystone Dynamics,</w:t>
      </w:r>
    </w:p>
    <w:p>
      <w:pPr>
        <w:autoSpaceDN w:val="0"/>
        <w:autoSpaceDE w:val="0"/>
        <w:widowControl/>
        <w:spacing w:line="276" w:lineRule="exact" w:before="4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20"/>
        </w:rPr>
        <w:t>with its principal place of business in Austin, TX ("Client"), and Redwood Group, with its principal place of</w:t>
      </w:r>
      <w:r>
        <w:t xml:space="preserve"> </w:t>
      </w:r>
      <w:r>
        <w:rPr>
          <w:rFonts w:ascii="Helvetica" w:hAnsi="Helvetica" w:eastAsia="Helvetica"/>
          <w:b w:val="0"/>
          <w:i w:val="0"/>
          <w:color w:val="1E1E23"/>
          <w:sz w:val="20"/>
        </w:rPr>
        <w:t>business in Minneapolis, MN ("Provider"). The parties agree as follows:</w:t>
      </w:r>
    </w:p>
    <w:p>
      <w:pPr>
        <w:autoSpaceDN w:val="0"/>
        <w:autoSpaceDE w:val="0"/>
        <w:widowControl/>
        <w:spacing w:line="220" w:lineRule="exact" w:before="274" w:after="0"/>
        <w:ind w:left="6" w:right="144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Compensation. In consideration of the Services, Keystone Dynamics shall pay Redwood Group fees not to exceed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$84,000 per invoice period. All invoices are payable within 60 days of receipt. Amounts unpaid after the due date accrue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interest at the lesser of 1.5% per month or the maximum rate permitted by law.</w:t>
      </w:r>
    </w:p>
    <w:p>
      <w:pPr>
        <w:autoSpaceDN w:val="0"/>
        <w:autoSpaceDE w:val="0"/>
        <w:widowControl/>
        <w:spacing w:line="220" w:lineRule="exact" w:before="120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Independent Contractor. Redwood Group is an independent contractor and nothing in this Agreement creates a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partnership, joint venture, agency, or employment relationship between the parties. Redwood Group is solely responsible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for its own taxes, insurance, and employee obligations.</w:t>
      </w:r>
    </w:p>
    <w:p>
      <w:pPr>
        <w:autoSpaceDN w:val="0"/>
        <w:autoSpaceDE w:val="0"/>
        <w:widowControl/>
        <w:spacing w:line="220" w:lineRule="exact" w:before="120" w:after="0"/>
        <w:ind w:left="6" w:right="144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Governing Law. This Agreement shall be governed by and construed in accordance with the laws of the State of Texas,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without regard to its conflict of laws principles. The parties consent to the exclusive jurisdiction of the state and federal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courts located in Texas.</w:t>
      </w:r>
    </w:p>
    <w:p>
      <w:pPr>
        <w:autoSpaceDN w:val="0"/>
        <w:autoSpaceDE w:val="0"/>
        <w:widowControl/>
        <w:spacing w:line="220" w:lineRule="exact" w:before="120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Limitation of Liability. Except for breaches of confidentiality, neither party shall be liable for any indirect, incidental, special,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or consequential damages arising out of this Agreement. Each party's aggregate liability shall not exceed the total fees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paid or payable by Keystone Dynamics in the twelve months preceding the claim.</w:t>
      </w:r>
    </w:p>
    <w:p>
      <w:pPr>
        <w:autoSpaceDN w:val="0"/>
        <w:autoSpaceDE w:val="0"/>
        <w:widowControl/>
        <w:spacing w:line="220" w:lineRule="exact" w:before="120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Scope of Services. Redwood Group shall provide the services described in Exhibit A (the "Services") to Keystone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Dynamics in a professional and workmanlike manner, consistent with industry standards. Any changes to the scope of the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Services must be agreed in writing by both parties before work begins.</w:t>
      </w:r>
    </w:p>
    <w:p>
      <w:pPr>
        <w:autoSpaceDN w:val="0"/>
        <w:autoSpaceDE w:val="0"/>
        <w:widowControl/>
        <w:spacing w:line="220" w:lineRule="exact" w:before="120" w:after="0"/>
        <w:ind w:left="6" w:right="288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Intellectual Property. All work product created by Redwood Group specifically for Keystone Dynamics under this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Agreement shall be the sole property of Keystone Dynamics upon full payment of the applicable fees. Redwood Group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retains ownership of its pre-existing materials, tools, and methodologies.</w:t>
      </w:r>
    </w:p>
    <w:p>
      <w:pPr>
        <w:autoSpaceDN w:val="0"/>
        <w:autoSpaceDE w:val="0"/>
        <w:widowControl/>
        <w:spacing w:line="258" w:lineRule="exact" w:before="372" w:after="560"/>
        <w:ind w:left="6" w:right="0" w:firstLine="0"/>
        <w:jc w:val="left"/>
      </w:pPr>
      <w:r>
        <w:rPr>
          <w:rFonts w:ascii="Helvetica" w:hAnsi="Helvetica" w:eastAsia="Helvetica"/>
          <w:b w:val="0"/>
          <w:i/>
          <w:color w:val="1E1E23"/>
          <w:sz w:val="19"/>
        </w:rPr>
        <w:t>IN WITNESS WHEREOF, the parties have executed this Agreement as of the Effective Date.</w:t>
      </w:r>
    </w:p>
    <w:p>
      <w:pPr>
        <w:sectPr>
          <w:pgSz w:w="12240" w:h="15840"/>
          <w:pgMar w:top="610" w:right="1236" w:bottom="1440" w:left="12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64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72727A"/>
          <w:sz w:val="17"/>
        </w:rPr>
        <w:t>Grace Johnson, Keystone Dynamics</w:t>
      </w:r>
    </w:p>
    <w:p>
      <w:pPr>
        <w:sectPr>
          <w:type w:val="continuous"/>
          <w:pgSz w:w="12240" w:h="15840"/>
          <w:pgMar w:top="610" w:right="1236" w:bottom="1440" w:left="1274" w:header="720" w:footer="720" w:gutter="0"/>
          <w:cols w:num="2" w:equalWidth="0">
            <w:col w:w="4846" w:space="0"/>
            <w:col w:w="4884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64" w:after="0"/>
        <w:ind w:left="400" w:right="0" w:firstLine="0"/>
        <w:jc w:val="left"/>
      </w:pPr>
      <w:r>
        <w:rPr>
          <w:rFonts w:ascii="Helvetica" w:hAnsi="Helvetica" w:eastAsia="Helvetica"/>
          <w:b w:val="0"/>
          <w:i w:val="0"/>
          <w:color w:val="72727A"/>
          <w:sz w:val="17"/>
        </w:rPr>
        <w:t>Chloe Dubois, Redwood Group</w:t>
      </w:r>
    </w:p>
    <w:sectPr w:rsidR="00FC693F" w:rsidRPr="0006063C" w:rsidSect="00034616">
      <w:type w:val="nextColumn"/>
      <w:pgSz w:w="12240" w:h="15840"/>
      <w:pgMar w:top="610" w:right="1236" w:bottom="1440" w:left="1274" w:header="720" w:footer="720" w:gutter="0"/>
      <w:cols w:num="2" w:equalWidth="0">
        <w:col w:w="4846" w:space="0"/>
        <w:col w:w="4884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