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000000"/>
          <w:sz w:val="28"/>
        </w:rPr>
        <w:t>MASTER SERVICES AGREEMENT</w:t>
      </w:r>
    </w:p>
    <w:p>
      <w:pPr>
        <w:autoSpaceDN w:val="0"/>
        <w:autoSpaceDE w:val="0"/>
        <w:widowControl/>
        <w:spacing w:line="276" w:lineRule="exact" w:before="258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>This Agreement is entered into as of Oct 4, 2023 (the "Effective Date") by and between Keystone</w:t>
      </w:r>
    </w:p>
    <w:p>
      <w:pPr>
        <w:autoSpaceDN w:val="0"/>
        <w:autoSpaceDE w:val="0"/>
        <w:widowControl/>
        <w:spacing w:line="276" w:lineRule="exact" w:before="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>Technologies, with its principal place of business in Minneapolis, MN ("Client"), and Ironwood Solutions, with</w:t>
      </w:r>
      <w:r>
        <w:t xml:space="preserve">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>its principal place of business in Portland, OR ("Provider"). The parties agree as follows:</w:t>
      </w:r>
    </w:p>
    <w:p>
      <w:pPr>
        <w:autoSpaceDN w:val="0"/>
        <w:autoSpaceDE w:val="0"/>
        <w:widowControl/>
        <w:spacing w:line="220" w:lineRule="exact" w:before="27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Term and Renewal. This Agreement shall commence on the Effective Date and continue for an initial term of 12 months,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unless earlier terminated as provided herein. The Agreement will renew automatically for successive terms of equal length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unless either party gives written notice of non-renewal at least 30 days before the end of the then-current term.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Compensation. In consideration of the Services, Keystone Technologies shall pay Ironwood Solutions fees not to exceed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$5,000 per invoice period. All invoices are payable within 30 days of receipt. Amounts unpaid after the due date accrue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interest at the lesser of 1.5% per month or the maximum rate permitted by law.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Termination. Either party may terminate this Agreement upon 30 days' written notice to the other party. Either party may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terminate immediately upon a material breach by the other party that remains uncured 30 days after written notice of the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breach.</w:t>
      </w:r>
    </w:p>
    <w:p>
      <w:pPr>
        <w:autoSpaceDN w:val="0"/>
        <w:autoSpaceDE w:val="0"/>
        <w:widowControl/>
        <w:spacing w:line="220" w:lineRule="exact" w:before="120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Confidentiality. Each party agrees to hold in strict confidence all non-public information disclosed by the other party in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connection with this Agreement, and to use such information solely to perform its obligations hereunder. This obligation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survives termination of this Agreement for a period of 12 months.</w:t>
      </w:r>
    </w:p>
    <w:p>
      <w:pPr>
        <w:autoSpaceDN w:val="0"/>
        <w:autoSpaceDE w:val="0"/>
        <w:widowControl/>
        <w:spacing w:line="220" w:lineRule="exact" w:before="120" w:after="0"/>
        <w:ind w:left="6" w:right="576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Independent Contractor. Ironwood Solutions is an independent contractor and nothing in this Agreement creates a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partnership, joint venture, agency, or employment relationship between the parties. Ironwood Solutions is solely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responsible for its own taxes, insurance, and employee obligations.</w:t>
      </w:r>
    </w:p>
    <w:p>
      <w:pPr>
        <w:autoSpaceDN w:val="0"/>
        <w:autoSpaceDE w:val="0"/>
        <w:widowControl/>
        <w:spacing w:line="220" w:lineRule="exact" w:before="120" w:after="0"/>
        <w:ind w:left="6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Intellectual Property. All work product created by Ironwood Solutions specifically for Keystone Technologies under this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Agreement shall be the sole property of Keystone Technologies upon full payment of the applicable fees. Ironwood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Solutions retains ownership of its pre-existing materials, tools, and methodologies.</w:t>
      </w:r>
    </w:p>
    <w:p>
      <w:pPr>
        <w:autoSpaceDN w:val="0"/>
        <w:autoSpaceDE w:val="0"/>
        <w:widowControl/>
        <w:spacing w:line="220" w:lineRule="exact" w:before="120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Scope of Services. Ironwood Solutions shall provide the services described in Exhibit A (the "Services") to Keystone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Technologies in a professional and workmanlike manner, consistent with industry standards. Any changes to the scope of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the Services must be agreed in writing by both parties before work begins.</w:t>
      </w:r>
    </w:p>
    <w:p>
      <w:pPr>
        <w:autoSpaceDN w:val="0"/>
        <w:autoSpaceDE w:val="0"/>
        <w:widowControl/>
        <w:spacing w:line="258" w:lineRule="exact" w:before="372" w:after="560"/>
        <w:ind w:left="6" w:right="0" w:firstLine="0"/>
        <w:jc w:val="left"/>
      </w:pPr>
      <w:r>
        <w:rPr>
          <w:rFonts w:ascii="Helvetica" w:hAnsi="Helvetica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36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Emma Fischer, Keystone Technologies</w:t>
      </w:r>
    </w:p>
    <w:p>
      <w:pPr>
        <w:sectPr>
          <w:type w:val="continuous"/>
          <w:pgSz w:w="12240" w:h="15840"/>
          <w:pgMar w:top="610" w:right="1236" w:bottom="1440" w:left="1274" w:header="720" w:footer="720" w:gutter="0"/>
          <w:cols w:num="2" w:equalWidth="0">
            <w:col w:w="4846" w:space="0"/>
            <w:col w:w="4884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Ravi Müller, Ironwood Solutions</w:t>
      </w:r>
    </w:p>
    <w:sectPr w:rsidR="00FC693F" w:rsidRPr="0006063C" w:rsidSect="00034616">
      <w:type w:val="nextColumn"/>
      <w:pgSz w:w="12240" w:h="15840"/>
      <w:pgMar w:top="610" w:right="1236" w:bottom="1440" w:left="1274" w:header="720" w:footer="720" w:gutter="0"/>
      <w:cols w:num="2" w:equalWidth="0">
        <w:col w:w="4846" w:space="0"/>
        <w:col w:w="4884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