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232" w:lineRule="exact" w:before="318" w:after="166"/>
        <w:ind w:left="0" w:right="5328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40"/>
        </w:rPr>
        <w:t xml:space="preserve">Nina Fischer </w:t>
      </w:r>
      <w:r>
        <w:br/>
      </w:r>
      <w:r>
        <w:rPr>
          <w:rFonts w:ascii="Helvetica" w:hAnsi="Helvetica" w:eastAsia="Helvetica"/>
          <w:b w:val="0"/>
          <w:i w:val="0"/>
          <w:color w:val="72727A"/>
          <w:sz w:val="18"/>
        </w:rPr>
        <w:t>nina.fischer@corp.example | (784) 822-7782 | Phoenix, AZ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06"/>
      </w:tblGrid>
      <w:tr>
        <w:trPr>
          <w:trHeight w:hRule="exact" w:val="320"/>
        </w:trPr>
        <w:tc>
          <w:tcPr>
            <w:tcW w:type="dxa" w:w="1008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Skills</w:t>
            </w:r>
          </w:p>
        </w:tc>
      </w:tr>
    </w:tbl>
    <w:p>
      <w:pPr>
        <w:autoSpaceDN w:val="0"/>
        <w:autoSpaceDE w:val="0"/>
        <w:widowControl/>
        <w:spacing w:line="260" w:lineRule="exact" w:before="106" w:after="164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Project Management • Communication • Tableau • Customer Relations • React • AWS • SQL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3"/>
        <w:gridCol w:w="5053"/>
      </w:tblGrid>
      <w:tr>
        <w:trPr>
          <w:trHeight w:hRule="exact" w:val="320"/>
        </w:trPr>
        <w:tc>
          <w:tcPr>
            <w:tcW w:type="dxa" w:w="590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Experience</w:t>
            </w:r>
          </w:p>
        </w:tc>
        <w:tc>
          <w:tcPr>
            <w:tcW w:type="dxa" w:w="4180"/>
            <w:tcBorders/>
            <w:shd w:fill="e5e8e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HR Generalist — Evergreen Works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8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2727A"/>
                <w:sz w:val="18"/>
              </w:rPr>
              <w:t>Nov 2015 - Present</w:t>
            </w:r>
          </w:p>
        </w:tc>
      </w:tr>
    </w:tbl>
    <w:p>
      <w:pPr>
        <w:autoSpaceDN w:val="0"/>
        <w:autoSpaceDE w:val="0"/>
        <w:widowControl/>
        <w:spacing w:line="230" w:lineRule="exact" w:before="40" w:after="0"/>
        <w:ind w:right="3456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Developed the quarterly reporting pipeline, growing revenue 9% year over year.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Managed the annual planning cycle, reducing errors by 28%.</w:t>
      </w:r>
    </w:p>
    <w:p>
      <w:pPr>
        <w:autoSpaceDN w:val="0"/>
        <w:tabs>
          <w:tab w:pos="8424" w:val="left"/>
        </w:tabs>
        <w:autoSpaceDE w:val="0"/>
        <w:widowControl/>
        <w:spacing w:line="276" w:lineRule="exact" w:before="10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Content Strategist — Trailhead Holdings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Aug 2019 - Oct 2021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Developed an automated QA workflow, cutting costs by 16%.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Negotiated the migration to a new CRM platform, growing revenue 36% year over year.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06"/>
      </w:tblGrid>
      <w:tr>
        <w:trPr>
          <w:trHeight w:hRule="exact" w:val="320"/>
        </w:trPr>
        <w:tc>
          <w:tcPr>
            <w:tcW w:type="dxa" w:w="1008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Education</w:t>
            </w:r>
          </w:p>
        </w:tc>
      </w:tr>
    </w:tbl>
    <w:p>
      <w:pPr>
        <w:autoSpaceDN w:val="0"/>
        <w:autoSpaceDE w:val="0"/>
        <w:widowControl/>
        <w:spacing w:line="260" w:lineRule="exact" w:before="10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M.S. Data Science, Central Polytechnic Institute (2019)</w:t>
      </w:r>
    </w:p>
    <w:sectPr w:rsidR="00FC693F" w:rsidRPr="0006063C" w:rsidSect="00034616">
      <w:pgSz w:w="12240" w:h="15840"/>
      <w:pgMar w:top="506" w:right="1054" w:bottom="1440" w:left="10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