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pStyle w:val="Heading1"/>
        <w:widowControl/>
        <w:spacing w:line="496" w:lineRule="exact" w:before="240" w:after="80"/>
        <w:ind w:left="0" w:right="0" w:firstLine="0"/>
        <w:jc w:val="center"/>
      </w:pPr>
      <w:r>
        <w:rPr>
          <w:rFonts w:ascii="Helvetica" w:hAnsi="Helvetica" w:eastAsia="Helvetica"/>
          <w:b/>
          <w:i w:val="0"/>
          <w:color w:val="1E1E23"/>
          <w:sz w:val="36"/>
        </w:rPr>
        <w:t>David Khan</w:t>
      </w:r>
    </w:p>
    <w:p>
      <w:pPr>
        <w:autoSpaceDN w:val="0"/>
        <w:autoSpaceDE w:val="0"/>
        <w:widowControl/>
        <w:spacing w:line="232" w:lineRule="exact" w:before="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david.khan@postbox.example · (263) 626-7612 · Minneapolis, MN</w:t>
      </w:r>
    </w:p>
    <w:p>
      <w:pPr>
        <w:autoSpaceDN w:val="0"/>
        <w:autoSpaceDE w:val="0"/>
        <w:widowControl/>
        <w:spacing w:line="276" w:lineRule="exact" w:before="316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Skills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Statistical Analysis Tableau React Communication Excel AWS</w:t>
      </w:r>
    </w:p>
    <w:p>
      <w:pPr>
        <w:autoSpaceDN w:val="0"/>
        <w:autoSpaceDE w:val="0"/>
        <w:widowControl/>
        <w:spacing w:line="276" w:lineRule="exact" w:before="150" w:after="12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8"/>
        <w:gridCol w:w="5058"/>
      </w:tblGrid>
      <w:tr>
        <w:trPr>
          <w:trHeight w:hRule="exact" w:val="482"/>
        </w:trPr>
        <w:tc>
          <w:tcPr>
            <w:tcW w:type="dxa" w:w="680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0" w:after="0"/>
              <w:ind w:left="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Customer Success Manager — Northwind Consulting</w:t>
            </w:r>
          </w:p>
        </w:tc>
        <w:tc>
          <w:tcPr>
            <w:tcW w:type="dxa" w:w="328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62" w:after="0"/>
              <w:ind w:left="0" w:right="4" w:firstLine="0"/>
              <w:jc w:val="right"/>
            </w:pPr>
            <w:r>
              <w:rPr>
                <w:rFonts w:ascii="Helvetica" w:hAnsi="Helvetica" w:eastAsia="Helvetica"/>
                <w:b w:val="0"/>
                <w:i/>
                <w:color w:val="72727A"/>
                <w:sz w:val="18"/>
              </w:rPr>
              <w:t>Nov 2016 - Present</w:t>
            </w:r>
          </w:p>
        </w:tc>
      </w:tr>
    </w:tbl>
    <w:p>
      <w:pPr>
        <w:autoSpaceDN w:val="0"/>
        <w:autoSpaceDE w:val="0"/>
        <w:widowControl/>
        <w:spacing w:line="230" w:lineRule="exact" w:before="40" w:after="0"/>
        <w:ind w:right="3744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Streamlined vendor onboarding for 18 suppliers, cutting costs by 23%.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Led vendor onboarding for 18 suppliers, improving turnaround time by 16%.</w:t>
      </w:r>
    </w:p>
    <w:p>
      <w:pPr>
        <w:autoSpaceDN w:val="0"/>
        <w:tabs>
          <w:tab w:pos="8484" w:val="left"/>
        </w:tabs>
        <w:autoSpaceDE w:val="0"/>
        <w:widowControl/>
        <w:spacing w:line="276" w:lineRule="exact" w:before="102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Product Designer — Evergreen Analytics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Jul 2017 - Aug 2021</w:t>
      </w:r>
    </w:p>
    <w:p>
      <w:pPr>
        <w:autoSpaceDN w:val="0"/>
        <w:autoSpaceDE w:val="0"/>
        <w:widowControl/>
        <w:spacing w:line="230" w:lineRule="exact" w:before="40" w:after="0"/>
        <w:ind w:right="288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Streamlined vendor onboarding for 17 suppliers, growing revenue 11% year over year.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Led the quarterly reporting pipeline, increasing satisfaction scores by 28%.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Coordinated internal documentation standards, reducing errors by 29%.</w:t>
      </w:r>
    </w:p>
    <w:p>
      <w:pPr>
        <w:autoSpaceDN w:val="0"/>
        <w:tabs>
          <w:tab w:pos="8394" w:val="left"/>
        </w:tabs>
        <w:autoSpaceDE w:val="0"/>
        <w:widowControl/>
        <w:spacing w:line="276" w:lineRule="exact" w:before="102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Product Designer — Granite Logistics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Nov 2022 - Aug 2022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Implemented the quarterly reporting pipeline, cutting costs by 27%.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Analyzed the migration to a new CRM platform, improving turnaround time by 13%.</w:t>
      </w:r>
    </w:p>
    <w:p>
      <w:pPr>
        <w:autoSpaceDN w:val="0"/>
        <w:autoSpaceDE w:val="0"/>
        <w:widowControl/>
        <w:spacing w:line="276" w:lineRule="exact" w:before="262" w:after="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Education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B.S. Computer Science, University of the Lakes (2020)</w:t>
      </w:r>
    </w:p>
    <w:sectPr w:rsidR="00FC693F" w:rsidRPr="0006063C" w:rsidSect="00034616">
      <w:pgSz w:w="12240" w:h="15840"/>
      <w:pgMar w:top="508" w:right="1050" w:bottom="1440" w:left="107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