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David Ivanov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60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david.ivanov@corp.example (596) 789-1126 Columbus, OH</w:t>
            </w:r>
          </w:p>
        </w:tc>
      </w:tr>
    </w:tbl>
    <w:p>
      <w:pPr>
        <w:autoSpaceDN w:val="0"/>
        <w:autoSpaceDE w:val="0"/>
        <w:widowControl/>
        <w:spacing w:line="344" w:lineRule="exact" w:before="884" w:after="0"/>
        <w:ind w:left="1080" w:right="489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CORE COMPETENCIES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Vendor Management, Tableau, Java, Budget Planning, Copywriting, SQL</w:t>
      </w:r>
    </w:p>
    <w:p>
      <w:pPr>
        <w:autoSpaceDN w:val="0"/>
        <w:tabs>
          <w:tab w:pos="1240" w:val="left"/>
          <w:tab w:pos="9594" w:val="left"/>
        </w:tabs>
        <w:autoSpaceDE w:val="0"/>
        <w:widowControl/>
        <w:spacing w:line="326" w:lineRule="exact" w:before="100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WORK HISTORY </w:t>
      </w:r>
      <w:r>
        <w:br/>
      </w:r>
      <w:r>
        <w:rPr>
          <w:rFonts w:ascii="Helvetica" w:hAnsi="Helvetica" w:eastAsia="Helvetica"/>
          <w:b/>
          <w:i w:val="0"/>
          <w:color w:val="1E1E23"/>
          <w:sz w:val="20"/>
        </w:rPr>
        <w:t xml:space="preserve">Content Strategist — Junction Analytics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May 2014 - Present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a budget of $678K across 39 projects, increasing satisfaction scores by 41%.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a budget of $472K across 36 projects, saving roughly 22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Launched the annual planning cycle, growing revenue 16% year over year.</w:t>
      </w:r>
    </w:p>
    <w:p>
      <w:pPr>
        <w:autoSpaceDN w:val="0"/>
        <w:tabs>
          <w:tab w:pos="1240" w:val="left"/>
          <w:tab w:pos="9478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Supply Chain Analyst — Horizon Labs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Jan 2018 - May 2022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Streamlined weekly stakeholder reviews, saving roughly 31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Reduced procurement processes for 36 product lines, increasing satisfaction scores by 11%.</w:t>
      </w:r>
    </w:p>
    <w:p>
      <w:pPr>
        <w:autoSpaceDN w:val="0"/>
        <w:autoSpaceDE w:val="0"/>
        <w:widowControl/>
        <w:spacing w:line="326" w:lineRule="exact" w:before="212" w:after="0"/>
        <w:ind w:left="1080" w:right="705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ACADEMIC BACKGROUND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M.S. Data Science, Bayfield University (2016)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>B.A. Economics, University of the Lakes (2022)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