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246"/>
        <w:ind w:left="4" w:right="63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 xml:space="preserve">Quarterly Operations Report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6"/>
        </w:rPr>
        <w:t>Generated 2026-04-25 — internal use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313"/>
        <w:gridCol w:w="1313"/>
        <w:gridCol w:w="1313"/>
        <w:gridCol w:w="1313"/>
        <w:gridCol w:w="1313"/>
        <w:gridCol w:w="1313"/>
        <w:gridCol w:w="1313"/>
        <w:gridCol w:w="1313"/>
      </w:tblGrid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ID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Unit Cost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Priority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Total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Qty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Status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Score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4"/>
              </w:rPr>
              <w:t>Company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R-3068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$109.82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$97.77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179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2.83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Summit Industries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R-9937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$301.02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$6,075.91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4.33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Orchard Services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R-2739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$302.36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$1,882.75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Closed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7.39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Delta Technologies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R-7189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$173.55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$8,322.67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436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Open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6.35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Fulcrum Holdings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R-5425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$251.03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$412.57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320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6.18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Vanguard Techn.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R-7839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$330.20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$7,822.54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145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Closed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6.52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Meridian Holdings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R-1810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$15.63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$4,447.25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82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3.77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Keystone Services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R-5750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$386.89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$3,829.07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472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1.06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Apex Holdings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R-1572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$225.72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Low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$3,577.76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347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9.27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Blue Ridge Syst.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R-6090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$373.23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$1,407.84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453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Open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2.29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Vanguard Holdings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R-7065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$384.81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Low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$5,134.28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181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7.35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Apex Holdings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R-2857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$49.53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Medium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$8,299.40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392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2.38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Evergreen Indus.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R-8041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$334.19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$8,080.08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420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On hold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5.71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Horizon Technol.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R-6897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$292.11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$7,044.19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131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On hold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9.24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Pinnacle Ventures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R-2654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$26.82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High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$7,895.62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90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Open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2.19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Summit Logistics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R-6615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$106.61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Low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$3,149.77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329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Open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7.09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Keystone Partners</w:t>
            </w:r>
          </w:p>
        </w:tc>
      </w:tr>
      <w:tr>
        <w:trPr>
          <w:trHeight w:hRule="exact" w:val="30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R-8593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$138.47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Critical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$3,185.24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255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Closed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4.93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Westgate Systems</w:t>
            </w:r>
          </w:p>
        </w:tc>
      </w:tr>
      <w:tr>
        <w:trPr>
          <w:trHeight w:hRule="exact" w:val="280"/>
        </w:trPr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R-2062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$231.62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Low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$6,094.12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80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Pending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7.61</w:t>
            </w:r>
          </w:p>
        </w:tc>
        <w:tc>
          <w:tcPr>
            <w:tcW w:type="dxa" w:w="131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4"/>
              </w:rPr>
              <w:t>Ironwood Consul.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