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76" w:lineRule="exact" w:before="138" w:after="246"/>
        <w:ind w:left="4" w:right="676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 xml:space="preserve">Vendor Performance Data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6"/>
        </w:rPr>
        <w:t>Generated 2026-02-07 — internal use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313"/>
        <w:gridCol w:w="1313"/>
        <w:gridCol w:w="1313"/>
        <w:gridCol w:w="1313"/>
        <w:gridCol w:w="1313"/>
        <w:gridCol w:w="1313"/>
        <w:gridCol w:w="1313"/>
        <w:gridCol w:w="1313"/>
      </w:tblGrid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Priority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Score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ID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Company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Rate 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Category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Region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Date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3.51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R-6726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Lakeshore Servi.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2.3%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Central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2026-04-06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3.94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R-9131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Ironwood Systems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12.7%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West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2026-05-13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6.43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R-1876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Lakeshore Soluti.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0.9%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South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2026-12-22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5.32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R-7652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Apex Holdings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18.9%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East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2025-07-13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5.15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R-4162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Northwind Analy.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10.8%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West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2025-06-12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6.58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R-4341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Granite Holdings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18.9%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South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2024-09-05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7.68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R-1900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Ironwood Labs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12.5%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Central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2023-12-23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6.02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R-4570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Horizon Dynamics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2.1%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North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2025-08-18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7.94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R-6436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Ironwood Labs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21.6%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Central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2026-10-18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7.89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R-2174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Vanguard Techn.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2.6%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North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2026-08-28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4.43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R-3247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Quartz Labs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22.7%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B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North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2023-06-26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9.43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R-4178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Fulcrum Manufa.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1.3%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South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2025-06-15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5.69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R-2492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Lakeshore Logis.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11.4%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North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2024-05-07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Low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2.76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R-6669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Apex Analytics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10.6%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B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East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2023-05-03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7.33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R-3081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Granite Works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20.4%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Central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2025-12-27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3.71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R-9334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Granite Consulting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4.0%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B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South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2026-02-10</w:t>
            </w:r>
          </w:p>
        </w:tc>
      </w:tr>
      <w:tr>
        <w:trPr>
          <w:trHeight w:hRule="exact" w:val="28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Low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6.30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R-4298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Redwood Ventures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4.5%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East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2026-09-08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856" w:bottom="1440" w:left="8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