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740"/>
        <w:ind w:left="0" w:right="0"/>
      </w:pPr>
    </w:p>
    <w:p>
      <w:pPr>
        <w:autoSpaceDN w:val="0"/>
        <w:autoSpaceDE w:val="0"/>
        <w:widowControl/>
        <w:spacing w:line="350" w:lineRule="exact" w:before="32" w:after="0"/>
        <w:ind w:left="362" w:right="720" w:firstLine="0"/>
        <w:jc w:val="left"/>
      </w:pPr>
      <w:r>
        <w:rPr>
          <w:rFonts w:ascii="Times New Roman" w:hAnsi="Times New Roman" w:eastAsia="Noto Serif"/>
          <w:b/>
          <w:i w:val="0"/>
          <w:color w:val="365F91"/>
          <w:sz w:val="28"/>
        </w:rPr>
        <w:t xml:space="preserve">INVOICE INV-0098 </w:t>
      </w:r>
      <w:r>
        <w:br/>
      </w:r>
      <w:r>
        <w:rPr>
          <w:rFonts w:ascii="Times New Roman" w:hAnsi="Times New Roman" w:eastAsia="Noto Serif"/>
          <w:b w:val="0"/>
          <w:i w:val="0"/>
          <w:color w:val="000000"/>
          <w:sz w:val="22"/>
        </w:rPr>
        <w:t xml:space="preserve">Subtotal 1,250.00 GST 18% Net-30 terms. Final confirmation of classified office </w:t>
      </w:r>
      <w:r>
        <w:rPr>
          <w:rFonts w:ascii="Times New Roman" w:hAnsi="Times New Roman" w:eastAsia="Noto Serif"/>
          <w:b w:val="0"/>
          <w:i w:val="0"/>
          <w:color w:val="000000"/>
          <w:sz w:val="22"/>
        </w:rPr>
        <w:t>supplies for fiscal year 2024-25, difficult to fulfill without sufficient notification.</w:t>
      </w:r>
    </w:p>
    <w:sectPr w:rsidR="00FC693F" w:rsidRPr="0006063C" w:rsidSect="00034616">
      <w:pgSz w:w="12240" w:h="15840"/>
      <w:pgMar w:top="960" w:right="1440" w:bottom="144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