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AB63" w14:textId="603A6005" w:rsidR="00AA77A1" w:rsidRDefault="00BA758D" w:rsidP="007B11D1">
      <w:pPr>
        <w:pStyle w:val="Heading1"/>
      </w:pPr>
      <w:r>
        <w:t>Q</w:t>
      </w:r>
      <w:r w:rsidR="007B11D1" w:rsidRPr="007B11D1">
        <w:t>uantify</w:t>
      </w:r>
      <w:r>
        <w:t>ing</w:t>
      </w:r>
      <w:r w:rsidR="007B11D1" w:rsidRPr="007B11D1">
        <w:t xml:space="preserve"> </w:t>
      </w:r>
      <w:r w:rsidR="00A36F8C">
        <w:t>both b</w:t>
      </w:r>
      <w:r w:rsidR="007B11D1" w:rsidRPr="007B11D1">
        <w:t xml:space="preserve">ehavioural and </w:t>
      </w:r>
      <w:r w:rsidR="00A36F8C">
        <w:t>t</w:t>
      </w:r>
      <w:r w:rsidR="007B11D1" w:rsidRPr="007B11D1">
        <w:t xml:space="preserve">rophic </w:t>
      </w:r>
      <w:r w:rsidR="00A36F8C">
        <w:t>v</w:t>
      </w:r>
      <w:r w:rsidR="007B11D1" w:rsidRPr="007B11D1">
        <w:t xml:space="preserve">ariation </w:t>
      </w:r>
      <w:r w:rsidR="00A36F8C">
        <w:t>a</w:t>
      </w:r>
      <w:r w:rsidR="007B11D1" w:rsidRPr="007B11D1">
        <w:t>mong-</w:t>
      </w:r>
      <w:r w:rsidR="00A36F8C">
        <w:t>i</w:t>
      </w:r>
      <w:r w:rsidR="007B11D1" w:rsidRPr="007B11D1">
        <w:t>ndividuals: A case study of 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42C56470" w:rsidR="00EE7E83" w:rsidRPr="00715FB4" w:rsidRDefault="00D41E4E" w:rsidP="002371C8">
      <w:r>
        <w:t xml:space="preserve">An animal’s behavioural traits can influence how they interact with their environment and determine the outcome of </w:t>
      </w:r>
      <w:r w:rsidR="00A36F8C">
        <w:t>food web</w:t>
      </w:r>
      <w:r>
        <w:t xml:space="preserve"> interactions,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By using non-lethal methods to measure food web variation (e.g. stable isotope analysis using fin clips) and m</w:t>
      </w:r>
      <w:r w:rsidR="00A36F8C">
        <w:t xml:space="preserve">inimally invasive </w:t>
      </w:r>
      <w:r w:rsidR="000E6830">
        <w:t xml:space="preserve">individual </w:t>
      </w:r>
      <w:r w:rsidR="00A36F8C">
        <w:t>tagging (e.g. passive integrated transponder tags)</w:t>
      </w:r>
      <w:r w:rsidR="000E6830">
        <w:t>, we have the</w:t>
      </w:r>
      <w:r w:rsidR="00A36F8C">
        <w:t xml:space="preserve"> opportunity to analyse </w:t>
      </w:r>
      <w:r w:rsidR="000E6830">
        <w:t xml:space="preserve">behavioural and trophic variation simultaneously and directly test if behavioural variation translates to functional variation in the wild. </w:t>
      </w:r>
      <w:r>
        <w:t xml:space="preserve">For </w:t>
      </w:r>
      <w:r w:rsidR="008B303A">
        <w:t>invasive species such as the round goby (</w:t>
      </w:r>
      <w:proofErr w:type="spellStart"/>
      <w:r w:rsidR="008B303A" w:rsidRPr="00AB1589">
        <w:rPr>
          <w:i/>
        </w:rPr>
        <w:t>Neogobius</w:t>
      </w:r>
      <w:proofErr w:type="spellEnd"/>
      <w:r w:rsidR="008B303A" w:rsidRPr="00AB1589">
        <w:rPr>
          <w:i/>
        </w:rPr>
        <w:t xml:space="preserve"> </w:t>
      </w:r>
      <w:proofErr w:type="spellStart"/>
      <w:r w:rsidR="008B303A" w:rsidRPr="00AB1589">
        <w:rPr>
          <w:i/>
        </w:rPr>
        <w:t>melanostomus</w:t>
      </w:r>
      <w:proofErr w:type="spellEnd"/>
      <w:r>
        <w:t>), populations in invaded ecosystems are often found to have strong among-individual variation in behavioural traits (e.g. bold-exploratory traits) that can differ between populations across their invasion front. T</w:t>
      </w:r>
      <w:r w:rsidR="00AB1589">
        <w:t>her</w:t>
      </w:r>
      <w:r w:rsidR="000E6830">
        <w:t xml:space="preserve">efore an individual approach is </w:t>
      </w:r>
      <w:r w:rsidR="00B253D2">
        <w:t xml:space="preserve">likely to be </w:t>
      </w:r>
      <w:r w:rsidR="000E6830">
        <w:t>useful to understand how they are impacting</w:t>
      </w:r>
      <w:r>
        <w:t xml:space="preserve"> recipient ecosystems.</w:t>
      </w:r>
      <w:r w:rsidR="00AB1589">
        <w:t xml:space="preserve"> </w:t>
      </w:r>
      <w:r w:rsidR="000E6830">
        <w:t>Combining</w:t>
      </w:r>
      <w:r w:rsidR="00AB1589">
        <w:t xml:space="preserve"> </w:t>
      </w:r>
      <w:r>
        <w:t xml:space="preserve">laboratory-based </w:t>
      </w:r>
      <w:r w:rsidR="003D3727">
        <w:t xml:space="preserve">behavioural tests </w:t>
      </w:r>
      <w:r>
        <w:t xml:space="preserve">with </w:t>
      </w:r>
      <w:r w:rsidR="00AB1589">
        <w:t>field-based stable isotope analysis of food web interactions</w:t>
      </w:r>
      <w:r w:rsidR="003D3727">
        <w:t xml:space="preserve">, </w:t>
      </w:r>
      <w:r w:rsidR="000E6830">
        <w:t>this study focuses</w:t>
      </w:r>
      <w:r w:rsidR="003D3727">
        <w:t xml:space="preserve"> on</w:t>
      </w:r>
      <w:r w:rsidR="00463E81">
        <w:t xml:space="preserve"> an established </w:t>
      </w:r>
      <w:r w:rsidR="00B253D2">
        <w:t xml:space="preserve">high-density </w:t>
      </w:r>
      <w:r w:rsidR="00463E81">
        <w:t xml:space="preserve">invasive population of round gobies in </w:t>
      </w:r>
      <w:proofErr w:type="spellStart"/>
      <w:r w:rsidR="000E6830">
        <w:t>Guldborgsund</w:t>
      </w:r>
      <w:proofErr w:type="spellEnd"/>
      <w:r w:rsidR="000E6830">
        <w:t xml:space="preserve"> sound </w:t>
      </w:r>
      <w:r w:rsidR="00B253D2">
        <w:t xml:space="preserve">in </w:t>
      </w:r>
      <w:r w:rsidR="00463E81">
        <w:t xml:space="preserve">the </w:t>
      </w:r>
      <w:r w:rsidR="00B253D2">
        <w:t>s</w:t>
      </w:r>
      <w:r w:rsidR="00463E81" w:rsidRPr="00463E81">
        <w:t xml:space="preserve">outhwest </w:t>
      </w:r>
      <w:r w:rsidR="00463E81">
        <w:t xml:space="preserve">Baltic Sea. </w:t>
      </w:r>
      <w:r w:rsidR="000E6830">
        <w:t>W</w:t>
      </w:r>
      <w:r w:rsidR="00B253D2">
        <w:t>e found</w:t>
      </w:r>
      <w:r w:rsidR="000E6830">
        <w:t xml:space="preserve"> stable </w:t>
      </w:r>
      <w:r w:rsidR="00B253D2">
        <w:t xml:space="preserve">among-individual </w:t>
      </w:r>
      <w:r w:rsidR="000E6830">
        <w:t>behavioural variation in this population in activity, boldness and exploration traits in novel environment and refuge</w:t>
      </w:r>
      <w:r w:rsidR="00B253D2">
        <w:t xml:space="preserve"> emergence assays</w:t>
      </w:r>
      <w:r w:rsidR="000E6830">
        <w:t xml:space="preserve">. We further </w:t>
      </w:r>
      <w:r w:rsidR="00B253D2">
        <w:t xml:space="preserve">found </w:t>
      </w:r>
      <w:r w:rsidR="000E6830">
        <w:t xml:space="preserve">among-individual </w:t>
      </w:r>
      <w:r w:rsidR="00B253D2">
        <w:t xml:space="preserve">isotopic </w:t>
      </w:r>
      <w:r w:rsidR="000E6830">
        <w:t xml:space="preserve">variation, with particularly high variation in </w:t>
      </w:r>
      <w:r w:rsidR="00B253D2">
        <w:t>carbon-12 – c</w:t>
      </w:r>
      <w:r w:rsidR="00B253D2" w:rsidRPr="00567FC4">
        <w:t>arbon-13</w:t>
      </w:r>
      <w:r w:rsidR="00B253D2">
        <w:t xml:space="preserve"> (</w:t>
      </w:r>
      <w:r w:rsidR="000E6830" w:rsidRPr="00567FC4">
        <w:t>δ13C</w:t>
      </w:r>
      <w:r w:rsidR="00B253D2">
        <w:t>) values</w:t>
      </w:r>
      <w:r w:rsidR="000E6830">
        <w:t xml:space="preserve"> </w:t>
      </w:r>
      <w:r w:rsidR="00B253D2">
        <w:t xml:space="preserve">showing that </w:t>
      </w:r>
      <w:r w:rsidR="000E6830">
        <w:t xml:space="preserve">gobies differ </w:t>
      </w:r>
      <w:r w:rsidR="00B253D2">
        <w:t>in what are feeding on and/or where they forage, implying individual variation in how they impact benthic fauna/prey communities.</w:t>
      </w:r>
      <w:r w:rsidR="000E6830">
        <w:t xml:space="preserve"> </w:t>
      </w:r>
      <w:r w:rsidR="00B253D2">
        <w:t>Although we found few direct links between behavioural and trophic variation</w:t>
      </w:r>
      <w:r w:rsidR="003D3727">
        <w:t>, this</w:t>
      </w:r>
      <w:r w:rsidR="00B253D2">
        <w:t xml:space="preserve"> study</w:t>
      </w:r>
      <w:r w:rsidR="003D3727">
        <w:t xml:space="preserve"> </w:t>
      </w:r>
      <w:r w:rsidR="00B7229D">
        <w:t>shows</w:t>
      </w:r>
      <w:r w:rsidR="003D3727">
        <w:t xml:space="preserve"> that </w:t>
      </w:r>
      <w:r w:rsidR="00463E81">
        <w:t xml:space="preserve">quantifying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01A2360F" w:rsidR="004113A1" w:rsidRPr="00715FB4" w:rsidRDefault="00C20BE5" w:rsidP="002371C8">
      <w:pPr>
        <w:rPr>
          <w:b/>
        </w:rPr>
      </w:pPr>
      <w:r>
        <w:rPr>
          <w:b/>
        </w:rPr>
        <w:t xml:space="preserve">Keywords </w:t>
      </w:r>
      <w:r w:rsidRPr="00C20BE5">
        <w:t>individualized niche</w:t>
      </w:r>
      <w:r>
        <w:t xml:space="preserve">, invasion, personality, boldness, exploration, </w:t>
      </w:r>
      <w:proofErr w:type="spellStart"/>
      <w:r>
        <w:t>Gobiidae</w:t>
      </w:r>
      <w:proofErr w:type="spellEnd"/>
    </w:p>
    <w:p w14:paraId="58F974E3" w14:textId="7C17F7AF" w:rsidR="00715FB4" w:rsidRPr="00715FB4" w:rsidRDefault="00B87FB7" w:rsidP="00F47B6B">
      <w:pPr>
        <w:pStyle w:val="Heading2"/>
      </w:pPr>
      <w:commentRangeStart w:id="0"/>
      <w:r w:rsidRPr="002371C8">
        <w:lastRenderedPageBreak/>
        <w:t>I</w:t>
      </w:r>
      <w:r w:rsidR="00715FB4" w:rsidRPr="002371C8">
        <w:t>ntroduction</w:t>
      </w:r>
      <w:commentRangeEnd w:id="0"/>
      <w:r w:rsidR="004B21F8">
        <w:rPr>
          <w:rStyle w:val="CommentReference"/>
          <w:b w:val="0"/>
          <w:bCs w:val="0"/>
        </w:rPr>
        <w:commentReference w:id="0"/>
      </w:r>
    </w:p>
    <w:p w14:paraId="31C8AE49" w14:textId="526B3564" w:rsidR="00D07087"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F110AC">
        <w:instrText xml:space="preserve"> ADDIN ZOTERO_ITEM CSL_CITATION {"citationID":"bvXYnLLV","properties":{"formattedCitation":"(R\\uc0\\u233{}ale et al., 2007; Wolf and Weissing, 2012)","plainCitation":"(Réale et al., 2007; Wolf and Weissing, 2012)","noteIndex":0},"citationItems":[{"id":873,"uris":["http://zotero.org/users/5224473/items/VDIVNIZ5"],"uri":["http://zotero.org/users/5224473/items/VDIVNIZ5"],"itemData":{"id":873,"type":"article-journal","abstract":"Temperament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F110AC">
        <w:instrText xml:space="preserve"> ADDIN ZOTERO_ITEM CSL_CITATION {"citationID":"GZ8Xyv3K","properties":{"formattedCitation":"(Nussey et al., 2007; Dingemanse et al., 2010)","plainCitation":"(Nussey et al., 2007; Dingemanse et al., 2010)","noteIndex":0},"citationItems":[{"id":5736,"uris":["http://zotero.org/users/5224473/items/XI7Y735T"],"uri":["http://zotero.org/users/5224473/items/XI7Y735T"],"itemData":{"id":5736,"type":"article-journal","abstract":"The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E."}],"issued":{"date-parts":[["2007"]]}}},{"id":5735,"uris":["http://zotero.org/users/5224473/items/KFISJBTU"],"uri":["http://zotero.org/users/5224473/items/KFISJBTU"],"itemData":{"id":5735,"type":"article-journal","abstract":"Recent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is commonly expressed across a wide range of taxa </w:t>
      </w:r>
      <w:r w:rsidR="0044465E">
        <w:fldChar w:fldCharType="begin"/>
      </w:r>
      <w:r w:rsidR="00F110AC">
        <w:instrText xml:space="preserve"> ADDIN ZOTERO_ITEM CSL_CITATION {"citationID":"5OlEt2fD","properties":{"formattedCitation":"(Gosling, 2008)","plainCitation":"(Gosling, 2008)","noteIndex":0},"citationItems":[{"id":1670,"uris":["http://zotero.org/users/5224473/items/2YXPJ7UD"],"uri":["http://zotero.org/users/5224473/items/2YXPJ7UD"],"itemData":{"id":1670,"type":"article-journal","abstract":"Over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 xml:space="preserve">risk-taking behaviour is </w:t>
      </w:r>
      <w:r w:rsidR="00186509">
        <w:t>common</w:t>
      </w:r>
      <w:r w:rsidR="008512ED">
        <w:t>, where the term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F110AC">
        <w:instrText xml:space="preserve"> ADDIN ZOTERO_ITEM CSL_CITATION {"citationID":"97Efj5r6","properties":{"formattedCitation":"(White et al., 2013)","plainCitation":"(White et al., 2013)","dontUpdate":true,"noteIndex":0},"citationItems":[{"id":243,"uris":["http://zotero.org/users/5224473/items/WVUQ99FK"],"uri":["http://zotero.org/users/5224473/items/WVUQ99FK"],"itemData":{"id":243,"type":"article-journal","abstract":"Boldness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w:t>
      </w:r>
      <w:r w:rsidR="00186509">
        <w:t xml:space="preserve"> direct or indirect</w:t>
      </w:r>
      <w:r w:rsidR="008512ED">
        <w:t xml:space="preserve"> predation risk </w:t>
      </w:r>
      <w:r w:rsidR="008512ED">
        <w:fldChar w:fldCharType="begin"/>
      </w:r>
      <w:r w:rsidR="00F110AC">
        <w:instrText xml:space="preserve"> ADDIN ZOTERO_ITEM CSL_CITATION {"citationID":"9ql6IMBK","properties":{"formattedCitation":"(R\\uc0\\u233{}ale et al., 2007)","plainCitation":"(Réale et al., 2007)","noteIndex":0},"citationItems":[{"id":873,"uris":["http://zotero.org/users/5224473/items/VDIVNIZ5"],"uri":["http://zotero.org/users/5224473/items/VDIVNIZ5"],"itemData":{"id":873,"type":"article-journal","abstract":"Temperament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F110AC">
        <w:instrText xml:space="preserve"> ADDIN ZOTERO_ITEM CSL_CITATION {"citationID":"BntnOVbl","properties":{"formattedCitation":"(Moran et al., 2020)","plainCitation":"(Moran et al., 2020)","noteIndex":0},"citationItems":[{"id":5924,"uris":["http://zotero.org/users/5224473/items/26W6N8H4"],"uri":["http://zotero.org/users/5224473/items/26W6N8H4"],"itemData":{"id":5924,"type":"article-journal","abstract":"Animal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D07087">
        <w:t xml:space="preserve">Intraspecific behavioural variation can influence the strength and outcome of ecological </w:t>
      </w:r>
      <w:commentRangeStart w:id="1"/>
      <w:r w:rsidR="00D07087">
        <w:t xml:space="preserve">interactions </w:t>
      </w:r>
      <w:commentRangeEnd w:id="1"/>
      <w:r w:rsidR="00D07087">
        <w:rPr>
          <w:rStyle w:val="CommentReference"/>
        </w:rPr>
        <w:commentReference w:id="1"/>
      </w:r>
      <w:r w:rsidR="00D07087">
        <w:t xml:space="preserve">, and </w:t>
      </w:r>
      <w:r w:rsidR="00F31610">
        <w:t xml:space="preserve">in risk-taking </w:t>
      </w:r>
      <w:r w:rsidR="00D07087">
        <w:t xml:space="preserve">has been linked </w:t>
      </w:r>
      <w:r w:rsidR="007335D1">
        <w:t xml:space="preserve">differences </w:t>
      </w:r>
      <w:r w:rsidR="00F31610">
        <w:t xml:space="preserve">in </w:t>
      </w:r>
      <w:r w:rsidR="007335D1">
        <w:t>feeding behaviour</w:t>
      </w:r>
      <w:r w:rsidR="00F31610">
        <w:t xml:space="preserve"> and vulnerability</w:t>
      </w:r>
      <w:r w:rsidR="007335D1">
        <w:t xml:space="preserve"> to predation </w:t>
      </w:r>
      <w:r w:rsidR="00D07087">
        <w:t xml:space="preserve">in some specific cases </w:t>
      </w:r>
      <w:commentRangeStart w:id="2"/>
      <w:r w:rsidR="007335D1">
        <w:fldChar w:fldCharType="begin"/>
      </w:r>
      <w:r w:rsidR="00F110AC">
        <w:instrText xml:space="preserve"> ADDIN ZOTERO_ITEM CSL_CITATION {"citationID":"NVnmxS58","properties":{"formattedCitation":"(Jolles et al., 2013, 2016; White et al., 2013)","plainCitation":"(Jolles et al., 2013, 2016; White et al., 2013)","noteIndex":0},"citationItems":[{"id":3049,"uris":["http://zotero.org/groups/2241010/items/2C6GC9HH"],"uri":["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S."}],"issued":{"date-parts":[["2013"]]}}},{"id":5967,"uris":["http://zotero.org/users/5224473/items/8FN2BINH"],"uri":["http://zotero.org/users/5224473/items/8FN2BINH"],"itemData":{"id":5967,"type":"article-journal","abstract":"To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commentRangeEnd w:id="2"/>
      <w:r w:rsidR="00D07087">
        <w:rPr>
          <w:rStyle w:val="CommentReference"/>
        </w:rPr>
        <w:commentReference w:id="2"/>
      </w:r>
      <w:r w:rsidR="00D07087">
        <w:t xml:space="preserve">. </w:t>
      </w:r>
      <w:r w:rsidR="007335D1">
        <w:t>Therefore</w:t>
      </w:r>
      <w:r w:rsidR="00D07087">
        <w:t xml:space="preserve">, there are potential links between behavioural </w:t>
      </w:r>
    </w:p>
    <w:p w14:paraId="4B8659A8" w14:textId="12611754" w:rsidR="0044465E" w:rsidRDefault="007335D1" w:rsidP="002371C8">
      <w:r>
        <w:t xml:space="preserve"> quantifying links between behavioural variation and ecological interactions may be critical to understanding how an individual </w:t>
      </w:r>
      <w:r w:rsidR="00CC2F21">
        <w:t>and their population</w:t>
      </w:r>
      <w:r>
        <w:t xml:space="preserve"> </w:t>
      </w:r>
      <w:r w:rsidR="00CC2F21">
        <w:t>affect</w:t>
      </w:r>
      <w:r>
        <w:t xml:space="preserve"> their environment. </w:t>
      </w:r>
    </w:p>
    <w:p w14:paraId="5B0DC378" w14:textId="0958D30D" w:rsidR="00CC2F21" w:rsidRDefault="00CC2F21" w:rsidP="002371C8">
      <w:pPr>
        <w:pStyle w:val="NormalWeb"/>
      </w:pPr>
    </w:p>
    <w:p w14:paraId="2DCC4A28" w14:textId="1C41FBF2"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3"/>
      <w:r w:rsidR="009E69E2">
        <w:t>communities</w:t>
      </w:r>
      <w:commentRangeEnd w:id="3"/>
      <w:r>
        <w:rPr>
          <w:rStyle w:val="CommentReference"/>
          <w:rFonts w:asciiTheme="minorHAnsi" w:eastAsiaTheme="minorHAnsi" w:hAnsiTheme="minorHAnsi" w:cstheme="minorBidi"/>
          <w:lang w:eastAsia="en-US"/>
        </w:rPr>
        <w:commentReference w:id="3"/>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F110AC">
        <w:instrText xml:space="preserve"> ADDIN ZOTERO_ITEM CSL_CITATION {"citationID":"RDs8N1Bo","properties":{"formattedCitation":"(Juette et al., 2014)","plainCitation":"(Juette et al., 2014)","noteIndex":0},"citationItems":[{"id":4238,"uris":["http://zotero.org/users/5224473/items/GW8WQL77"],"uri":["http://zotero.org/users/5224473/items/GW8WQL77"],"itemData":{"id":4238,"type":"article-journal","abstract":"Abstract.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4FBBA0D0" w:rsidR="00727028" w:rsidRDefault="009C1DE4" w:rsidP="00AA17DD">
      <w:r w:rsidRPr="009C1DE4">
        <w:lastRenderedPageBreak/>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content analysis, </w:t>
      </w:r>
      <w:r w:rsidR="00AA17DD">
        <w:t xml:space="preserve">or tissue sampling for isotope analysis. Stable isotope analysis is tool that allows for diet reconstruction and the description of trophic relationships </w:t>
      </w:r>
      <w:r w:rsidR="00AA17DD">
        <w:fldChar w:fldCharType="begin"/>
      </w:r>
      <w:r w:rsidR="00F110AC">
        <w:instrText xml:space="preserve"> ADDIN ZOTERO_ITEM CSL_CITATION {"citationID":"e9cdPtrY","properties":{"formattedCitation":"(Post, 2002; Boecklen et al., 2011)","plainCitation":"(Post, 2002; Boecklen et al., 2011)","noteIndex":0},"citationItems":[{"id":7446,"uris":["http://zotero.org/users/5224473/items/6FD6PUA3"],"uri":["http://zotero.org/users/5224473/items/6FD6PUA3"],"itemData":{"id":7446,"type":"article-journal","abstract":"The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M."}],"issued":{"date-parts":[["2002"]]}}},{"id":7447,"uris":["http://zotero.org/users/5224473/items/DK9FPTQM"],"uri":["http://zotero.org/users/5224473/items/DK9FPTQM"],"itemData":{"id":7447,"type":"article-journal","abstract":"Stable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F110AC">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2018)","noteIndex":0},"citationItems":[{"id":4882,"uris":["http://zotero.org/users/5224473/items/KADU5USX"],"uri":["http://zotero.org/users/5224473/items/KADU5USX"],"itemData":{"id":4882,"type":"article-journal","abstract":"1. The use of stable isotopic techniques to study animal diets and trophic levels requires a priori estimates of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(n = 290)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but not for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significant differences among tissues for both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We found a significant negative relationship between both,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with their corresponding diet isotopic ratios. This relationship was found also within taxonomic classes for mammals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birds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fishes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and invertebrates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values and more than 33% used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The Effect of Diet Isotopic Values and Applications for Diet Reconstruction","title-short":"Variation in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13C)","volume":"46","author":[{"family":"Caut","given":"St</w:instrText>
      </w:r>
      <w:r w:rsidR="00F110AC">
        <w:rPr>
          <w:rFonts w:ascii="icomoon" w:hAnsi="icomoon" w:hint="eastAsia"/>
          <w:color w:val="1C1D1E"/>
          <w:shd w:val="clear" w:color="auto" w:fill="FFFFFF"/>
        </w:rPr>
        <w:instrText>é</w:instrText>
      </w:r>
      <w:r w:rsidR="00F110AC">
        <w:rPr>
          <w:rFonts w:ascii="icomoon" w:hAnsi="icomoon"/>
          <w:color w:val="1C1D1E"/>
          <w:shd w:val="clear" w:color="auto" w:fill="FFFFFF"/>
        </w:rPr>
        <w:instrText>phane"},{"family":"Angulo","given":"Elena"},{"family":"Courchamp","given":"Franck"}],"issued":{"date-parts":[["2009"]]}}},{"id":4889,"uris":["http://zotero.org/users/5224473/items/CQNJQ825"],"uri":["http://zotero.org/users/5224473/items/CQNJQ825"],"itemData":{"id":4889,"type":"article-journal","abstract":"Application of stable isotope data to trophic studies requires understanding of factors influencing the isotopic discrimination factor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The effects of temperature, diet (including formulated feeds) and tissue type on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thus tested experimentally. A temperature experiment exposed three species to identical diets at 18 and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whereas a diet experiment exposed one species to four diets at 18</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At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C, C:N ratios,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generally elevated versus 18</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After lipid correction, tissue/species-specific differences at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C in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up to 0.73 and 0.54</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higher, respectively. Across the four diets, there were also significant differences in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between a natural diet and diets based on formulated feeds.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of muscle were 1.51 to 2.76</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and 3.13 to 5.44</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respectively. Highest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w:t>
      </w:r>
      <w:proofErr w:type="spellStart"/>
      <w:r w:rsidR="00633AAE">
        <w:t>algaes</w:t>
      </w:r>
      <w:proofErr w:type="spellEnd"/>
      <w:r w:rsidR="00633AAE">
        <w:t>, aquatic vegetation etc.)</w:t>
      </w:r>
      <w:r w:rsidR="00727028">
        <w:t xml:space="preserve"> </w:t>
      </w:r>
      <w:r w:rsidR="00727028">
        <w:fldChar w:fldCharType="begin"/>
      </w:r>
      <w:r w:rsidR="00F110AC">
        <w:instrText xml:space="preserve"> ADDIN ZOTERO_ITEM CSL_CITATION {"citationID":"Dj9ojCbe","properties":{"formattedCitation":"(Layman et al., 2012)","plainCitation":"(Layman et al., 2012)","noteIndex":0},"citationItems":[{"id":4278,"uris":["http://zotero.org/users/5224473/items/5YELDQQP"],"uri":["http://zotero.org/users/5224473/items/5YELDQQP"],"itemData":{"id":4278,"type":"article-journal","abstract":"Stable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F110AC">
        <w:instrText xml:space="preserve"> ADDIN ZOTERO_ITEM CSL_CITATION {"citationID":"nL8WTffl","properties":{"formattedCitation":"(Thomas and Crowther, 2015; Britton and Busst, 2018)","plainCitation":"(Thomas and Crowther, 2015; Britton and Busst, 2018)","noteIndex":0},"citationItems":[{"id":4907,"uris":["http://zotero.org/users/5224473/items/2R25IH5U"],"uri":["http://zotero.org/users/5224473/items/2R25IH5U"],"itemData":{"id":4907,"type":"article-journal","abstract":"The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W."}],"issued":{"date-parts":[["2015"]]}}},{"id":4889,"uris":["http://zotero.org/users/5224473/items/CQNJQ825"],"uri":["http://zotero.org/users/5224473/items/CQNJQ825"],"itemData":{"id":4889,"type":"article-journal","abstract":"Application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F110AC">
        <w:instrText xml:space="preserve"> ADDIN ZOTERO_ITEM CSL_CITATION {"citationID":"Kdy2ktII","properties":{"formattedCitation":"(Jardine et al., 2011; Hayden et al., 2015)","plainCitation":"(Jardine et al., 2011; Hayden et al., 2015)","noteIndex":0},"citationItems":[{"id":7444,"uris":["http://zotero.org/users/5224473/items/5MKUSTKJ"],"uri":["http://zotero.org/users/5224473/items/5MKUSTKJ"],"itemData":{"id":7444,"type":"article-journal","abstract":"Despite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E."}],"issued":{"date-parts":[["2011",1,18]]}}},{"id":4106,"uris":["http://zotero.org/users/5224473/items/WNSAZQ8U"],"uri":["http://zotero.org/users/5224473/items/WNSAZQ8U"],"itemData":{"id":4106,"type":"article-journal","abstract":"BACKGROUND: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4"/>
      <w:r w:rsidR="00B300D7">
        <w:t>goby</w:t>
      </w:r>
      <w:commentRangeEnd w:id="4"/>
      <w:r w:rsidR="009F7DD8">
        <w:rPr>
          <w:rStyle w:val="CommentReference"/>
        </w:rPr>
        <w:commentReference w:id="4"/>
      </w:r>
      <w:r w:rsidR="00B300D7">
        <w:t xml:space="preserve"> (</w:t>
      </w:r>
      <w:r>
        <w:t xml:space="preserve"> to describe the interactions between invasive populations and the food webs they have invaded.</w:t>
      </w:r>
    </w:p>
    <w:p w14:paraId="41C987D2" w14:textId="0529E221" w:rsidR="00AC2CA0" w:rsidRDefault="00690426" w:rsidP="002371C8">
      <w:hyperlink r:id="rId12" w:history="1">
        <w:r w:rsidRPr="00630905">
          <w:rPr>
            <w:rStyle w:val="Hyperlink"/>
          </w:rPr>
          <w:t>https://www.sciencedirect.com/science/article/pii/S0075951122000500</w:t>
        </w:r>
      </w:hyperlink>
      <w:r>
        <w:t xml:space="preserve"> </w:t>
      </w:r>
    </w:p>
    <w:p w14:paraId="37AAEDB4" w14:textId="77777777" w:rsidR="003A32F8" w:rsidRDefault="003A32F8" w:rsidP="002371C8"/>
    <w:p w14:paraId="124A4973" w14:textId="3FD4B6BF" w:rsidR="00A706DA" w:rsidRDefault="00A706DA" w:rsidP="002371C8">
      <w:r>
        <w:lastRenderedPageBreak/>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may be especially important for understanding how invasive animal populations impact the communities that they invade</w:t>
      </w:r>
      <w:r w:rsidR="007335D1">
        <w:t xml:space="preserve">. </w:t>
      </w:r>
      <w:commentRangeStart w:id="5"/>
      <w:r w:rsidR="007335D1" w:rsidRPr="00833A98">
        <w:rPr>
          <w:shd w:val="clear" w:color="auto" w:fill="FFE599" w:themeFill="accent4" w:themeFillTint="66"/>
        </w:rPr>
        <w:t>Therefore</w:t>
      </w:r>
      <w:commentRangeEnd w:id="5"/>
      <w:r w:rsidR="00833A98">
        <w:rPr>
          <w:rStyle w:val="CommentReference"/>
        </w:rPr>
        <w:commentReference w:id="5"/>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1B113C41"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an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two exploratory analysis</w:t>
      </w:r>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Second, we 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diets, and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r w:rsidR="009C02FC">
        <w:rPr>
          <w:shd w:val="clear" w:color="auto" w:fill="D9D9D9" w:themeFill="background1" w:themeFillShade="D9"/>
        </w:rPr>
        <w:tab/>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35B416B5" w14:textId="37A37604" w:rsidR="00903E64" w:rsidRPr="007F2BE6" w:rsidRDefault="00A706DA" w:rsidP="00903E64">
      <w:r>
        <w:t>R</w:t>
      </w:r>
      <w:r w:rsidR="00F70C37" w:rsidRPr="00F70C37">
        <w:t xml:space="preserve">ound gobies and their potential prey </w:t>
      </w:r>
      <w:r w:rsidR="00BA758D">
        <w:t>items</w:t>
      </w:r>
      <w:r w:rsidR="00F70C37" w:rsidRPr="00F70C37">
        <w:t xml:space="preserve"> were sampled from a shallow brackish estuary (</w:t>
      </w:r>
      <w:proofErr w:type="spellStart"/>
      <w:r w:rsidR="00F70C37" w:rsidRPr="00F70C37">
        <w:t>Guldborgsund</w:t>
      </w:r>
      <w:proofErr w:type="spellEnd"/>
      <w:r w:rsidR="00F70C37" w:rsidRPr="00F70C37">
        <w:t>, 54.69645°, 11.84067</w:t>
      </w:r>
      <w:r w:rsidR="00955D57">
        <w:t>°</w:t>
      </w:r>
      <w:r w:rsidR="00BA758D">
        <w:t>, from</w:t>
      </w:r>
      <w:r w:rsidR="00BA758D" w:rsidRPr="00F70C37">
        <w:t xml:space="preserve"> 16-17</w:t>
      </w:r>
      <w:r w:rsidR="00BA758D">
        <w:t>th</w:t>
      </w:r>
      <w:r w:rsidR="00BA758D" w:rsidRPr="00F70C37">
        <w:t xml:space="preserve"> June 2020</w:t>
      </w:r>
      <w:r w:rsidR="00F70C37" w:rsidRPr="00F70C37">
        <w:t xml:space="preserve">). </w:t>
      </w:r>
      <w:proofErr w:type="spellStart"/>
      <w:r w:rsidR="00F70C37" w:rsidRPr="00F70C37">
        <w:t>Guldborgsund</w:t>
      </w:r>
      <w:proofErr w:type="spellEnd"/>
      <w:r w:rsidR="00F70C37" w:rsidRPr="00F70C37">
        <w:t xml:space="preserve"> is one of the first Danish marine areas</w:t>
      </w:r>
      <w:r w:rsidR="00BA758D">
        <w:t xml:space="preserve"> to be</w:t>
      </w:r>
      <w:r w:rsidR="00F70C37" w:rsidRPr="00F70C37">
        <w:t xml:space="preserve"> invaded by the round g</w:t>
      </w:r>
      <w:r>
        <w:t>oby, first being observed ~2009</w:t>
      </w:r>
      <w:r w:rsidR="00BA758D">
        <w:t xml:space="preserve">. </w:t>
      </w:r>
      <w:r w:rsidR="00BA758D">
        <w:lastRenderedPageBreak/>
        <w:t>Therefore can be considered</w:t>
      </w:r>
      <w:r>
        <w:t xml:space="preserve"> a</w:t>
      </w:r>
      <w:r w:rsidR="00F70C37" w:rsidRPr="00F70C37">
        <w:t xml:space="preserve"> well-established</w:t>
      </w:r>
      <w:r>
        <w:t xml:space="preserve"> </w:t>
      </w:r>
      <w:r w:rsidR="00BA0A78">
        <w:t xml:space="preserve">self-sustaining </w:t>
      </w:r>
      <w:r>
        <w:t>population</w:t>
      </w:r>
      <w:r w:rsidR="00BA758D">
        <w:t>,</w:t>
      </w:r>
      <w:r w:rsidR="00AA7FF0">
        <w:t xml:space="preserve"> which </w:t>
      </w:r>
      <w:r w:rsidR="00BA758D">
        <w:t>are</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 competition</w:t>
      </w:r>
      <w:r w:rsidR="00F70C37">
        <w:t xml:space="preserve"> </w:t>
      </w:r>
      <w:r w:rsidR="00F70C37" w:rsidRPr="00F70C37">
        <w:fldChar w:fldCharType="begin"/>
      </w:r>
      <w:r w:rsidR="00F110AC">
        <w:instrText xml:space="preserve"> ADDIN ZOTERO_ITEM CSL_CITATION {"citationID":"9L33KxOe","properties":{"formattedCitation":"(Azour et al., 2015)","plainCitation":"(Azour et al., 2015)","noteIndex":0},"citationItems":[{"id":4273,"uris":["http://zotero.org/users/5224473/items/DEAFPSYB"],"uri":["http://zotero.org/users/5224473/items/DEAFPSYB"],"itemData":{"id":4273,"type":"article-journal","abstract":"Round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361CAF">
        <w:rPr>
          <w:iCs/>
        </w:rPr>
        <w:t xml:space="preserve">over a </w:t>
      </w:r>
      <w:r w:rsidR="00361CAF">
        <w:t>2 ha</w:t>
      </w:r>
      <w:r w:rsidR="00BA758D">
        <w:t xml:space="preserve"> area of coastal habitat</w:t>
      </w:r>
      <w:r w:rsidR="00361CAF">
        <w:t xml:space="preserve"> (100 x 200 m, depth &lt; 2.0 m</w:t>
      </w:r>
      <w:r w:rsidR="00BA758D">
        <w:t xml:space="preserve">, </w:t>
      </w:r>
      <w:r w:rsidR="003058F9">
        <w:t>sandy and scattered-boulder substrate,</w:t>
      </w:r>
      <w:r w:rsidR="003058F9" w:rsidRPr="007F3FA1">
        <w:rPr>
          <w:highlight w:val="magenta"/>
        </w:rPr>
        <w:t xml:space="preserve"> </w:t>
      </w:r>
      <w:r w:rsidR="00BA758D" w:rsidRPr="007F3FA1">
        <w:rPr>
          <w:highlight w:val="magenta"/>
        </w:rPr>
        <w:t>see supplementary materials S1</w:t>
      </w:r>
      <w:r w:rsidR="00BA758D">
        <w:t>)</w:t>
      </w:r>
      <w:r w:rsidR="00F110AC">
        <w:t xml:space="preserve">. </w:t>
      </w:r>
      <w:r w:rsidR="001B1A0D">
        <w:t xml:space="preserve">This area is an ideal habitat for this species due to both the </w:t>
      </w:r>
      <w:r w:rsidR="003058F9">
        <w:t xml:space="preserve">abundance of </w:t>
      </w:r>
      <w:r w:rsidR="00F110AC">
        <w:t xml:space="preserve">their </w:t>
      </w:r>
      <w:r w:rsidR="003058F9">
        <w:t xml:space="preserve">preferred </w:t>
      </w:r>
      <w:r w:rsidR="00F110AC">
        <w:t>prey</w:t>
      </w:r>
      <w:r w:rsidR="003058F9">
        <w:t xml:space="preserve"> items (e.g. gastropods and </w:t>
      </w:r>
      <w:proofErr w:type="spellStart"/>
      <w:r w:rsidR="003058F9">
        <w:t>bivavles</w:t>
      </w:r>
      <w:proofErr w:type="spellEnd"/>
      <w:r w:rsidR="00F110AC">
        <w:t xml:space="preserve">; </w:t>
      </w:r>
      <w:r w:rsidR="00F110AC">
        <w:fldChar w:fldCharType="begin"/>
      </w:r>
      <w:r w:rsidR="00F110AC">
        <w:instrText xml:space="preserve"> ADDIN ZOTERO_ITEM CSL_CITATION {"citationID":"jW4NJ1Ag","properties":{"formattedCitation":"(van Deurs et al., 2021)","plainCitation":"(van Deurs et al., 2021)","noteIndex":0},"citationItems":[{"id":8395,"uris":["http://zotero.org/groups/4675759/items/5F4PQDBG"],"uri":["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F110AC">
        <w:rPr>
          <w:rFonts w:ascii="Cambria Math" w:hAnsi="Cambria Math" w:cs="Cambria Math"/>
        </w:rPr>
        <w:instrText>⊘</w:instrText>
      </w:r>
      <w:r w:rsidR="00F110AC">
        <w:instrText xml:space="preserve">ller","given":"P.R."},{"family":"Behrens","given":"J.W."}],"issued":{"date-parts":[["2021"]]}}}],"schema":"https://github.com/citation-style-language/schema/raw/master/csl-citation.json"} </w:instrText>
      </w:r>
      <w:r w:rsidR="00F110AC">
        <w:fldChar w:fldCharType="separate"/>
      </w:r>
      <w:r w:rsidR="00F110AC" w:rsidRPr="00F110AC">
        <w:t>van Deurs et al., 2021)</w:t>
      </w:r>
      <w:r w:rsidR="00F110AC">
        <w:fldChar w:fldCharType="end"/>
      </w:r>
      <w:r w:rsidR="00F110AC">
        <w:t xml:space="preserve">, and because they show </w:t>
      </w:r>
      <w:r w:rsidR="001B1A0D">
        <w:t xml:space="preserve">can </w:t>
      </w:r>
      <w:r w:rsidR="00F110AC">
        <w:t>high site affinity around rocky structures</w:t>
      </w:r>
      <w:r w:rsidR="001B1A0D">
        <w:t xml:space="preserve"> as a source of shelter, food and nesting sites</w:t>
      </w:r>
      <w:r w:rsidR="00F110AC">
        <w:t xml:space="preserve"> </w:t>
      </w:r>
      <w:r w:rsidR="00F110AC">
        <w:fldChar w:fldCharType="begin"/>
      </w:r>
      <w:r w:rsidR="00F110AC">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2019)","noteIndex":0},"citationItems":[{"id":5975,"uris":["http://zotero.org/users/5224473/items/IRZL4FW4"],"uri":["http://zotero.org/users/5224473/items/IRZL4FW4"],"itemData":{"id":5975,"type":"article-journal","abstract":"–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F."}],"issued":{"date-parts":[["2012"]]}}},{"id":4271,"uris":["http://zotero.org/users/5224473/items/TUQ7Y262"],"uri":["http://zotero.org/users/5224473/items/TUQ7Y262"],"itemData":{"id":4271,"type":"article-journal","abstract":"In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F110AC">
        <w:fldChar w:fldCharType="separate"/>
      </w:r>
      <w:r w:rsidR="00F110AC" w:rsidRPr="00B930AF">
        <w:t>(Lynch and Mensinger, 2012; Christoffersen et al., 2019)</w:t>
      </w:r>
      <w:r w:rsidR="00F110AC">
        <w:fldChar w:fldCharType="end"/>
      </w:r>
      <w:r w:rsidR="00F110AC">
        <w:t xml:space="preserve">. Round gobies </w:t>
      </w:r>
      <w:r w:rsidR="001B1A0D">
        <w:t>are most active in coastal and inlet areas</w:t>
      </w:r>
      <w:r w:rsidR="00BA758D">
        <w:t xml:space="preserve"> </w:t>
      </w:r>
      <w:r w:rsidR="003473D9">
        <w:t>over the Spring-Summer breeding period</w:t>
      </w:r>
      <w:r w:rsidR="001B1A0D">
        <w:t>, and particularly from April to June in the south-eastern Baltic region</w:t>
      </w:r>
      <w:r w:rsidR="003473D9">
        <w:t xml:space="preserve"> </w:t>
      </w:r>
      <w:r w:rsidR="003473D9">
        <w:fldChar w:fldCharType="begin"/>
      </w:r>
      <w:r w:rsidR="001B1A0D">
        <w:instrText xml:space="preserve"> ADDIN ZOTERO_ITEM CSL_CITATION {"citationID":"1DTY21JG","properties":{"formattedCitation":"(Marentette et al., 2011; Brauer et al., 2020)","plainCitation":"(Marentette et al., 2011; Brauer et al., 2020)","noteIndex":0},"citationItems":[{"id":4265,"uris":["http://zotero.org/users/5224473/items/U5X5B4XK"],"uri":["http://zotero.org/users/5224473/items/U5X5B4XK"],"itemData":{"id":4265,"type":"article-journal","abstract":"Activity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A."},{"family":"Balshine","given":"Sigal"}],"issued":{"date-parts":[["2011",12,1]]}}},{"id":3977,"uris":["http://zotero.org/users/5224473/items/CJPEFTC3"],"uri":["http://zotero.org/users/5224473/items/CJPEFTC3"],"itemData":{"id":3977,"type":"article-journal","abstract":"The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473D9">
        <w:fldChar w:fldCharType="separate"/>
      </w:r>
      <w:r w:rsidR="001B1A0D" w:rsidRPr="001B1A0D">
        <w:t>(Marentette et al., 2011; Brauer et al., 2020)</w:t>
      </w:r>
      <w:r w:rsidR="003473D9">
        <w:fldChar w:fldCharType="end"/>
      </w:r>
      <w:r w:rsidR="001B1A0D">
        <w:t xml:space="preserve">. </w:t>
      </w:r>
      <w:r w:rsidR="00903E64">
        <w:t xml:space="preserve">As isotopic variation in soft tissues </w:t>
      </w:r>
      <w:r w:rsidR="005761BA">
        <w:t xml:space="preserve">generally </w:t>
      </w:r>
      <w:r w:rsidR="00903E64">
        <w:t xml:space="preserve">reflects diet over several weeks up to months </w:t>
      </w:r>
      <w:r w:rsidR="00903E64">
        <w:fldChar w:fldCharType="begin"/>
      </w:r>
      <w:r w:rsidR="00903E64">
        <w:instrText xml:space="preserve"> ADDIN ZOTERO_ITEM CSL_CITATION {"citationID":"SHkc3ebx","properties":{"formattedCitation":"(Thomas and Crowther, 2015)","plainCitation":"(Thomas and Crowther, 2015)","noteIndex":0},"citationItems":[{"id":4907,"uris":["http://zotero.org/users/5224473/items/2R25IH5U"],"uri":["http://zotero.org/users/5224473/items/2R25IH5U"],"itemData":{"id":4907,"type":"article-journal","abstract":"The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903E64">
        <w:fldChar w:fldCharType="separate"/>
      </w:r>
      <w:r w:rsidR="00903E64" w:rsidRPr="00903E64">
        <w:t>(Thomas and Crowther, 2015)</w:t>
      </w:r>
      <w:r w:rsidR="00903E64">
        <w:fldChar w:fldCharType="end"/>
      </w:r>
      <w:r w:rsidR="00903E64">
        <w:t>, we</w:t>
      </w:r>
      <w:r w:rsidR="00903E64" w:rsidRPr="00223CBF">
        <w:t xml:space="preserve"> assume</w:t>
      </w:r>
      <w:r w:rsidR="005761BA">
        <w:t xml:space="preserve"> here</w:t>
      </w:r>
      <w:r w:rsidR="00903E64" w:rsidRPr="00223CBF">
        <w:t xml:space="preserve"> that variation </w:t>
      </w:r>
      <w:r w:rsidR="00903E64">
        <w:t>in round goby tissue collected in June will be primarily linked to</w:t>
      </w:r>
      <w:r w:rsidR="00903E64" w:rsidRPr="00223CBF">
        <w:t xml:space="preserve"> their</w:t>
      </w:r>
      <w:r w:rsidR="00903E64">
        <w:t xml:space="preserve"> local</w:t>
      </w:r>
      <w:r w:rsidR="00903E64" w:rsidRPr="00223CBF">
        <w:t xml:space="preserve"> diet within </w:t>
      </w:r>
      <w:r w:rsidR="00903E64">
        <w:t>the estuary.</w:t>
      </w:r>
    </w:p>
    <w:p w14:paraId="02D21BEF" w14:textId="5D6E1309" w:rsidR="00361CAF" w:rsidRDefault="00361CAF" w:rsidP="002371C8"/>
    <w:p w14:paraId="62DD1E9A" w14:textId="3B3E6E35" w:rsidR="00361CAF" w:rsidRDefault="00BA0A78" w:rsidP="002371C8">
      <w:r>
        <w:t>Round gobies</w:t>
      </w:r>
      <w:r w:rsidR="00E05137">
        <w:t xml:space="preserve"> were collected using a combination of </w:t>
      </w:r>
      <w:r w:rsidR="003E6FCC">
        <w:t xml:space="preserve">fyke nets, </w:t>
      </w:r>
      <w:r w:rsidR="00F45A19">
        <w:t xml:space="preserve">and </w:t>
      </w:r>
      <w:commentRangeStart w:id="6"/>
      <w:r w:rsidR="003E6FCC">
        <w:t xml:space="preserve">baited </w:t>
      </w:r>
      <w:commentRangeEnd w:id="6"/>
      <w:r w:rsidR="00920F98">
        <w:rPr>
          <w:rStyle w:val="CommentReference"/>
        </w:rPr>
        <w:commentReference w:id="6"/>
      </w:r>
      <w:r w:rsidR="005761BA">
        <w:t xml:space="preserve">box </w:t>
      </w:r>
      <w:r w:rsidR="00F45A19">
        <w:t xml:space="preserve">and cylinder </w:t>
      </w:r>
      <w:r w:rsidR="003E6FCC">
        <w:t>traps</w:t>
      </w:r>
      <w:r w:rsidR="00F45A19">
        <w:t xml:space="preserve">, which were deployed in eight replicate </w:t>
      </w:r>
      <w:r w:rsidR="00095E41">
        <w:t>sets of nets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xml:space="preserve">). Multiple </w:t>
      </w:r>
      <w:r w:rsidR="00F45A19">
        <w:t>net types</w:t>
      </w:r>
      <w:r w:rsidR="00095E41">
        <w:t xml:space="preserve"> methods were used</w:t>
      </w:r>
      <w:r w:rsidR="003E6FCC">
        <w:t xml:space="preserve"> to minimise personality biased sampling </w:t>
      </w:r>
      <w:r w:rsidR="003E6FCC">
        <w:fldChar w:fldCharType="begin"/>
      </w:r>
      <w:r w:rsidR="00F110AC">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2016)","noteIndex":0},"citationItems":[{"id":5981,"uris":["http://zotero.org/users/5224473/items/JJ7UYF9J"],"uri":["http://zotero.org/users/5224473/items/JJ7UYF9J"],"itemData":{"id":5981,"type":"article-journal","container-title":"Trends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J."}],"issued":{"date-parts":[["2009",2,1]]}}},{"id":5978,"uris":["http://zotero.org/users/5224473/items/ZALX9F4E"],"uri":["http://zotero.org/users/5224473/items/ZALX9F4E"],"itemData":{"id":5978,"type":"article-journal","abstract":"Within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F45A19">
        <w:t>, and</w:t>
      </w:r>
      <w:r w:rsidR="003E6FCC">
        <w:t xml:space="preserve"> </w:t>
      </w:r>
      <w:r w:rsidR="00F45A19">
        <w:t>a</w:t>
      </w:r>
      <w:r w:rsidR="003E6FCC">
        <w:t xml:space="preserve">ctive sampling via push nets </w:t>
      </w:r>
      <w:r w:rsidR="00A85CBA">
        <w:t>and large dip nets</w:t>
      </w:r>
      <w:r w:rsidR="003E6FCC">
        <w:t xml:space="preserve"> was also attempted </w:t>
      </w:r>
      <w:r w:rsidR="008952AB">
        <w:t>unsuccessful</w:t>
      </w:r>
      <w:r w:rsidR="00F45A19">
        <w:t>ly. Nonetheless</w:t>
      </w:r>
      <w:r w:rsidR="008952AB">
        <w:t xml:space="preserve"> passive sampling alone has previously performed well at capturing unbiased samples in round gobies </w:t>
      </w:r>
      <w:r>
        <w:t xml:space="preserve">(e.g. </w:t>
      </w:r>
      <w:r w:rsidR="008952AB">
        <w:fldChar w:fldCharType="begin"/>
      </w:r>
      <w:r w:rsidR="00F110AC">
        <w:instrText xml:space="preserve"> ADDIN ZOTERO_ITEM CSL_CITATION {"citationID":"GW9tXbDK","properties":{"formattedCitation":"(Thorlacius et al., 2015)","plainCitation":"(Thorlacius et al., 2015)","noteIndex":0},"citationItems":[{"id":4243,"uris":["http://zotero.org/users/5224473/items/HZXQNCHD"],"uri":["http://zotero.org/users/5224473/items/HZXQNCHD"],"itemData":{"id":4243,"type":"article-journal","abstract":"Abstract.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w:t>
      </w:r>
      <w:r w:rsidR="00F45A19">
        <w:t>above</w:t>
      </w:r>
      <w:r w:rsidR="00C635B8">
        <w:t xml:space="preserve"> 80 mm total length (TL) were targeted, as round gobies above this size have developed the </w:t>
      </w:r>
      <w:r w:rsidR="00F66907">
        <w:t xml:space="preserve">adult </w:t>
      </w:r>
      <w:r w:rsidR="00C635B8">
        <w:t>morphological features required for feeding on</w:t>
      </w:r>
      <w:r w:rsidR="00F45A19">
        <w:t xml:space="preserve"> </w:t>
      </w:r>
      <w:proofErr w:type="spellStart"/>
      <w:r w:rsidR="00C635B8">
        <w:t>hardbodied</w:t>
      </w:r>
      <w:proofErr w:type="spellEnd"/>
      <w:r w:rsidR="00C635B8">
        <w:t xml:space="preserve"> prey </w:t>
      </w:r>
      <w:r w:rsidR="00095E41">
        <w:t>items</w:t>
      </w:r>
      <w:r w:rsidR="00F45A19">
        <w:t>, which comprise a large part of their adult diet</w:t>
      </w:r>
      <w:r w:rsidR="00095E41">
        <w:t xml:space="preserve"> </w:t>
      </w:r>
      <w:r w:rsidR="00C635B8">
        <w:fldChar w:fldCharType="begin"/>
      </w:r>
      <w:r w:rsidR="00F110AC">
        <w:instrText xml:space="preserve"> ADDIN ZOTERO_ITEM CSL_CITATION {"citationID":"obPQbTWx","properties":{"formattedCitation":"(Andraso et al., 2011)","plainCitation":"(Andraso et al., 2011)","noteIndex":0},"citationItems":[{"id":4850,"uris":["http://zotero.org/users/5224473/items/FJ28J7UL"],"uri":["http://zotero.org/users/5224473/items/FJ28J7UL"],"itemData":{"id":4850,"type":"article-journal","abstract":"The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F45A19">
        <w:t>. Therefore</w:t>
      </w:r>
      <w:r w:rsidR="00095E41">
        <w:t xml:space="preserve"> so that any trophic variation </w:t>
      </w:r>
      <w:r w:rsidR="00F45A19">
        <w:t xml:space="preserve">observed here </w:t>
      </w:r>
      <w:r w:rsidR="00095E41">
        <w:t xml:space="preserve">is </w:t>
      </w:r>
      <w:r w:rsidR="00F45A19">
        <w:t>unlikely to be</w:t>
      </w:r>
      <w:r w:rsidR="00095E41">
        <w:t xml:space="preserve"> linked to this ontogenetic </w:t>
      </w:r>
      <w:r w:rsidR="00AF2FA8">
        <w:t>transition.</w:t>
      </w:r>
    </w:p>
    <w:p w14:paraId="3526FE01" w14:textId="77777777" w:rsidR="00625A40" w:rsidRPr="007F2BE6" w:rsidRDefault="00625A40" w:rsidP="002371C8"/>
    <w:p w14:paraId="33EB4F6B" w14:textId="64CDC7AE"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proofErr w:type="spellStart"/>
      <w:r w:rsidR="008952AB">
        <w:t>light</w:t>
      </w:r>
      <w:r w:rsidRPr="007F2BE6">
        <w:t>:</w:t>
      </w:r>
      <w:r w:rsidR="008952AB">
        <w:t>dark</w:t>
      </w:r>
      <w:proofErr w:type="spellEnd"/>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F110AC">
        <w:instrText xml:space="preserve"> ADDIN ZOTERO_ITEM CSL_CITATION {"citationID":"d0W1TFL9","properties":{"formattedCitation":"(Feistel et al., 2010)","plainCitation":"(Feistel et al., 2010)","noteIndex":0},"citationItems":[{"id":5207,"uris":["http://zotero.org/users/5224473/items/DSV9W8QI"],"uri":["http://zotero.org/users/5224473/items/DSV9W8QI"],"itemData":{"id":5207,"type":"article-journal","abstract":"&lt;p&gt;&lt;strong&gt;Abstract.&lt;/strong&gt;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F110AC">
        <w:instrText xml:space="preserve"> ADDIN ZOTERO_ITEM CSL_CITATION {"citationID":"tEN6OHK8","properties":{"formattedCitation":"(Behrens et al., 2017; Puntila-Dodd et al., 2021)","plainCitation":"(Behrens et al., 2017; Puntila-Dodd et al., 2021)","noteIndex":0},"citationItems":[{"id":4249,"uris":["http://zotero.org/users/5224473/items/8D3XS293"],"uri":["http://zotero.org/users/5224473/items/8D3XS293"],"itemData":{"id":4249,"type":"article-journal","abstract":"Non-indigenous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F."}],"issued":{"date-parts":[["2017",4,19]]}}},{"id":5987,"uris":["http://zotero.org/users/5224473/items/Y93VPDWX"],"uri":["http://zotero.org/users/5224473/items/Y93VPDWX"],"itemData":{"id":5987,"type":"article-journal","abstract":"Species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3B6A3C4C"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xml:space="preserve">. Coarse </w:t>
      </w:r>
      <w:r w:rsidR="007715F6">
        <w:t xml:space="preserve">particular </w:t>
      </w:r>
      <w:r w:rsidR="000564EC">
        <w:t xml:space="preserve">organic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 xml:space="preserve">using water </w:t>
      </w:r>
      <w:r w:rsidR="00F36761">
        <w:lastRenderedPageBreak/>
        <w:t>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7"/>
      <w:r w:rsidR="00F36761">
        <w:t>vacuum</w:t>
      </w:r>
      <w:r w:rsidR="00F36761" w:rsidRPr="00F36761">
        <w:t xml:space="preserve"> </w:t>
      </w:r>
      <w:r w:rsidR="00D74E62">
        <w:t xml:space="preserve">filtered </w:t>
      </w:r>
      <w:commentRangeEnd w:id="7"/>
      <w:r w:rsidR="007715F6">
        <w:rPr>
          <w:rStyle w:val="CommentReference"/>
        </w:rPr>
        <w:commentReference w:id="7"/>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4F8E7D0" w14:textId="016DE970" w:rsidR="00903E64" w:rsidRPr="007F2BE6" w:rsidRDefault="0069369E" w:rsidP="00903E64">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xml:space="preserve">.) were injected into abdominal cavities with a syringe implanter (MK25, </w:t>
      </w:r>
      <w:proofErr w:type="spellStart"/>
      <w:r w:rsidR="00FC6180">
        <w:t>Biomark</w:t>
      </w:r>
      <w:proofErr w:type="spellEnd"/>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sidRPr="00903E64">
        <w:t xml:space="preserve">MS-222, </w:t>
      </w:r>
      <w:proofErr w:type="spellStart"/>
      <w:r w:rsidR="00300DE6" w:rsidRPr="00903E64">
        <w:t>Acros</w:t>
      </w:r>
      <w:proofErr w:type="spellEnd"/>
      <w:r w:rsidR="00300DE6" w:rsidRPr="00903E64">
        <w:t xml:space="preserve"> Organics</w:t>
      </w:r>
      <w:r w:rsidR="00CA13E0" w:rsidRPr="00903E64">
        <w:t>, UK;</w:t>
      </w:r>
      <w:r w:rsidR="00300DE6">
        <w:rPr>
          <w:rFonts w:ascii="Lato" w:hAnsi="Lato"/>
          <w:sz w:val="23"/>
          <w:szCs w:val="23"/>
          <w:shd w:val="clear" w:color="auto" w:fill="FFFFFF"/>
        </w:rPr>
        <w:t xml:space="preserve"> </w:t>
      </w:r>
      <w:r w:rsidR="001B003E">
        <w:fldChar w:fldCharType="begin"/>
      </w:r>
      <w:r w:rsidR="00F110AC">
        <w:instrText xml:space="preserve"> ADDIN ZOTERO_ITEM CSL_CITATION {"citationID":"ATBQcdjt","properties":{"formattedCitation":"(J\\uc0\\u248{}rgensen et al., 2017)","plainCitation":"(Jørgensen et al., 2017)","noteIndex":0},"citationItems":[{"id":4863,"uris":["http://zotero.org/users/5224473/items/XRSL4QK2"],"uri":["http://zotero.org/users/5224473/items/XRSL4QK2"],"itemData":{"id":4863,"type":"article-journal","container-title":"Fisheries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w:t>
      </w:r>
      <w:proofErr w:type="spellStart"/>
      <w:r w:rsidR="001B003E" w:rsidRPr="001B003E">
        <w:t>Jørgensen</w:t>
      </w:r>
      <w:proofErr w:type="spellEnd"/>
      <w:r w:rsidR="001B003E" w:rsidRPr="001B003E">
        <w:t xml:space="preserve">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F110AC">
        <w:instrText xml:space="preserve"> ADDIN ZOTERO_ITEM CSL_CITATION {"citationID":"VQcRIwrt","properties":{"formattedCitation":"(Ruetz et al., 2006; Cookingham and Ruetz III, 2008)","plainCitation":"(Ruetz et al., 2006; Cookingham and Ruetz III, 2008)","noteIndex":0},"citationItems":[{"id":4609,"uris":["http://zotero.org/users/5224473/items/ID9J7LF4"],"uri":["http://zotero.org/users/5224473/items/ID9J7LF4"],"itemData":{"id":4609,"type":"article-journal","abstract":"We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L."}],"issued":{"date-parts":[["2006"]]}}},{"id":4613,"uris":["http://zotero.org/users/5224473/items/765GD9QV"],"uri":["http://zotero.org/users/5224473/items/765GD9QV"],"itemData":{"id":4613,"type":"article-journal","abstract":"–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 xml:space="preserve">and stored individually at -40°C before analysis. </w:t>
      </w:r>
    </w:p>
    <w:p w14:paraId="73DCA143" w14:textId="77777777" w:rsidR="00903E64" w:rsidRDefault="00903E64" w:rsidP="00A72A80"/>
    <w:p w14:paraId="166E2C73" w14:textId="3B16C6FD" w:rsidR="0069369E" w:rsidRDefault="009456E7" w:rsidP="00A72A80">
      <w:r>
        <w:t>T</w:t>
      </w:r>
      <w:r w:rsidR="003F1343">
        <w:t xml:space="preserve">he extreme outer edge </w:t>
      </w:r>
      <w:r w:rsidR="00872CEF">
        <w:t xml:space="preserve">(&lt;5 mm) </w:t>
      </w:r>
      <w:r w:rsidR="003F1343">
        <w:t>of fins</w:t>
      </w:r>
      <w:r w:rsidRPr="009456E7">
        <w:t xml:space="preserve"> </w:t>
      </w:r>
      <w:r>
        <w:t>was sampled to standardise sampling between individuals, which were separated into three replicate samples per individual to account for within-fin variation</w:t>
      </w:r>
      <w:r w:rsidR="00074315">
        <w:t xml:space="preserve"> </w:t>
      </w:r>
      <w:r w:rsidR="008B1465">
        <w:fldChar w:fldCharType="begin"/>
      </w:r>
      <w:r w:rsidR="00F110AC">
        <w:instrText xml:space="preserve"> ADDIN ZOTERO_ITEM CSL_CITATION {"citationID":"nTgy69uX","properties":{"formattedCitation":"(Hayden et al., 2015; Britton and Busst, 2018)","plainCitation":"(Hayden et al., 2015; Britton and Busst, 2018)","noteIndex":0},"citationItems":[{"id":4106,"uris":["http://zotero.org/users/5224473/items/WNSAZQ8U"],"uri":["http://zotero.org/users/5224473/items/WNSAZQ8U"],"itemData":{"id":4106,"type":"article-journal","abstract":"BACKGROUND: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4889,"uris":["http://zotero.org/users/5224473/items/CQNJQ825"],"uri":["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69369E">
        <w:t xml:space="preserve">Although </w:t>
      </w:r>
      <w:r w:rsidR="00CA13E0">
        <w:t>n</w:t>
      </w:r>
      <w:r w:rsidR="0069369E">
        <w:t xml:space="preserve">either </w:t>
      </w:r>
      <w:r w:rsidR="00CA13E0">
        <w:t>tagging nor tissue sampling is</w:t>
      </w:r>
      <w:r w:rsidR="0069369E">
        <w:t xml:space="preserve"> expected to influence of behaviour, the combination of </w:t>
      </w:r>
      <w:r w:rsidR="00CA13E0">
        <w:t>both</w:t>
      </w:r>
      <w:r w:rsidR="0069369E">
        <w:t xml:space="preserve"> may caus</w:t>
      </w:r>
      <w:r w:rsidR="00CA13E0">
        <w:t>e additional stress. T</w:t>
      </w:r>
      <w:r w:rsidR="0069369E">
        <w:t xml:space="preserve">herefore we conducted </w:t>
      </w:r>
      <w:r w:rsidR="00CA13E0">
        <w:t xml:space="preserve">an </w:t>
      </w:r>
      <w:r w:rsidR="0069369E">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rsidR="0069369E">
        <w:t xml:space="preserve"> (</w:t>
      </w:r>
      <w:r w:rsidR="0069369E" w:rsidRPr="007F3FA1">
        <w:rPr>
          <w:highlight w:val="magenta"/>
        </w:rPr>
        <w:t xml:space="preserve">see supplementary materials </w:t>
      </w:r>
      <w:r w:rsidR="0069369E">
        <w:rPr>
          <w:highlight w:val="magenta"/>
        </w:rPr>
        <w:t>S2</w:t>
      </w:r>
      <w:r w:rsidR="0069369E">
        <w:t xml:space="preserve">). Fish were </w:t>
      </w:r>
      <w:r w:rsidR="003F1343">
        <w:t xml:space="preserve">also </w:t>
      </w:r>
      <w:r w:rsidR="0069369E">
        <w:t xml:space="preserve">sexed, weighed, measured (total length, ‘TL’) </w:t>
      </w:r>
      <w:r w:rsidR="00CA13E0">
        <w:t>just before</w:t>
      </w:r>
      <w:r w:rsidR="0069369E">
        <w:t xml:space="preserve"> tissue sampling and tagging, as well as being </w:t>
      </w:r>
      <w:r w:rsidR="0069369E">
        <w:lastRenderedPageBreak/>
        <w:t>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4C2B1353"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F110AC">
        <w:instrText xml:space="preserve"> ADDIN ZOTERO_ITEM CSL_CITATION {"citationID":"jXLEyy0x","properties":{"formattedCitation":"(Jardine et al., 2003)","plainCitation":"(Jardine et al., 2003)","noteIndex":0},"citationItems":[{"id":6033,"uris":["http://zotero.org/users/5224473/items/G8TNQ8I3"],"uri":["http://zotero.org/users/5224473/items/G8TNQ8I3"],"itemData":{"id":6033,"type":"article-journal","container-title":"Canadian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8"/>
      <w:r w:rsidR="00A46E92" w:rsidRPr="007F2BE6">
        <w:t>F</w:t>
      </w:r>
      <w:r w:rsidR="00A46E92">
        <w:t>ish</w:t>
      </w:r>
      <w:r w:rsidR="00A46E92" w:rsidRPr="007F2BE6">
        <w:t xml:space="preserve"> </w:t>
      </w:r>
      <w:commentRangeEnd w:id="8"/>
      <w:r w:rsidR="00A46E92" w:rsidRPr="007E64AE">
        <w:rPr>
          <w:rStyle w:val="CommentReference"/>
          <w:sz w:val="24"/>
          <w:szCs w:val="24"/>
        </w:rPr>
        <w:commentReference w:id="8"/>
      </w:r>
      <w:r w:rsidR="002F491B">
        <w:t>fin</w:t>
      </w:r>
      <w:r w:rsidR="00A46E92">
        <w:t xml:space="preserve"> </w:t>
      </w:r>
      <w:r w:rsidR="003C32B4">
        <w:t xml:space="preserve">samples were thoroughly </w:t>
      </w:r>
      <w:r w:rsidR="00AB7E26">
        <w:t>rinsed</w:t>
      </w:r>
      <w:r w:rsidR="00A46E92">
        <w:t xml:space="preserve"> with</w:t>
      </w:r>
      <w:r w:rsidR="002F491B">
        <w:t xml:space="preserve"> 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 infections</w:t>
      </w:r>
      <w:r w:rsidR="00A46E92">
        <w:t>/nodules/</w:t>
      </w:r>
      <w:r w:rsidR="00872CEF">
        <w:t xml:space="preserve">fungal </w:t>
      </w:r>
      <w:r w:rsidR="00A46E92">
        <w:t>spots</w:t>
      </w:r>
      <w:r w:rsidR="00AB7E26">
        <w:t xml:space="preserve"> were removed.</w:t>
      </w:r>
      <w:r w:rsidR="00903E64">
        <w:t xml:space="preserve"> </w:t>
      </w:r>
    </w:p>
    <w:p w14:paraId="6D18007A" w14:textId="77777777" w:rsidR="003C32B4" w:rsidRDefault="003C32B4" w:rsidP="004F555F"/>
    <w:p w14:paraId="5E322143" w14:textId="48E4AD52"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F110AC">
        <w:instrText xml:space="preserve"> ADDIN ZOTERO_ITEM CSL_CITATION {"citationID":"Hpn5juFG","properties":{"formattedCitation":"(Post, 2002)","plainCitation":"(Post, 2002)","noteIndex":0},"citationItems":[{"id":7446,"uris":["http://zotero.org/users/5224473/items/6FD6PUA3"],"uri":["http://zotero.org/users/5224473/items/6FD6PUA3"],"itemData":{"id":7446,"type":"article-journal","abstract":"The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F110AC">
        <w:instrText xml:space="preserve"> ADDIN ZOTERO_ITEM CSL_CITATION {"citationID":"Ks9mt7y6","properties":{"formattedCitation":"(Curtis et al., 2017)","plainCitation":"(Curtis et al., 2017)","noteIndex":0},"citationItems":[{"id":4922,"uris":["http://zotero.org/users/5224473/items/UTHYRMXY"],"uri":["http://zotero.org/users/5224473/items/UTHYRMXY"],"itemData":{"id":4922,"type":"article-journal","abstract":"The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r w:rsidR="00AB7E26">
        <w:t>rinsed</w:t>
      </w:r>
      <w:r w:rsidR="007715F6">
        <w:t xml:space="preserve"> and any i</w:t>
      </w:r>
      <w:r w:rsidR="00B731F8">
        <w:t xml:space="preserve">nvertebrates </w:t>
      </w:r>
      <w:r w:rsidR="00917B89">
        <w:t>removed,</w:t>
      </w:r>
      <w:r w:rsidR="00B731F8">
        <w:t xml:space="preserve"> </w:t>
      </w:r>
      <w:r w:rsidR="00917B89">
        <w:t>including</w:t>
      </w:r>
      <w:r w:rsidR="00B731F8">
        <w:t xml:space="preserve"> </w:t>
      </w:r>
      <w:proofErr w:type="spellStart"/>
      <w:r w:rsidR="007715F6">
        <w:t>macroalgaes</w:t>
      </w:r>
      <w:proofErr w:type="spellEnd"/>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lastRenderedPageBreak/>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Elemental 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commentRangeStart w:id="9"/>
      <w:commentRangeEnd w:id="9"/>
      <w:r>
        <w:rPr>
          <w:rStyle w:val="CommentReference"/>
        </w:rPr>
        <w:commentReference w:id="9"/>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proofErr w:type="spellStart"/>
      <w:r w:rsidR="00305FBA" w:rsidRPr="008B5394">
        <w:t>ConFlo</w:t>
      </w:r>
      <w:proofErr w:type="spellEnd"/>
      <w:r w:rsidR="00305FBA" w:rsidRPr="008B5394">
        <w:t xml:space="preserve">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meter (</w:t>
      </w:r>
      <w:proofErr w:type="spellStart"/>
      <w:r w:rsidR="00305FBA" w:rsidRPr="00DA3D22">
        <w:t>Thermo</w:t>
      </w:r>
      <w:proofErr w:type="spellEnd"/>
      <w:r w:rsidR="00305FBA" w:rsidRPr="00DA3D22">
        <w:t xml:space="preserve">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commentRangeStart w:id="10"/>
      <w:commentRangeEnd w:id="10"/>
      <w:r w:rsidR="00305FBA" w:rsidRPr="00DA3D22">
        <w:rPr>
          <w:rStyle w:val="CommentReference"/>
        </w:rPr>
        <w:commentReference w:id="10"/>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r w:rsidR="00305FBA" w:rsidRPr="00DA3D22">
        <w:rPr>
          <w:lang w:val="en-US"/>
        </w:rPr>
        <w:t xml:space="preserve"> and </w:t>
      </w:r>
      <w:r w:rsidR="00305FBA">
        <w:rPr>
          <w:lang w:val="en-US"/>
        </w:rPr>
        <w:t xml:space="preserve">are </w:t>
      </w:r>
      <w:r w:rsidR="00305FBA" w:rsidRPr="00DA3D22">
        <w:rPr>
          <w:lang w:val="en-US"/>
        </w:rPr>
        <w:t xml:space="preserve">expressed in </w:t>
      </w:r>
      <w:r w:rsidR="00305FBA" w:rsidRPr="00DA3D22">
        <w:t xml:space="preserve">per </w:t>
      </w:r>
      <w:proofErr w:type="spellStart"/>
      <w:r w:rsidR="00305FBA" w:rsidRPr="00DA3D22">
        <w:t>mille</w:t>
      </w:r>
      <w:proofErr w:type="spellEnd"/>
      <w:r w:rsidR="00305FBA" w:rsidRPr="00DA3D22">
        <w:t xml:space="preserv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w:t>
      </w:r>
      <w:proofErr w:type="spellStart"/>
      <w:r w:rsidR="00305FBA" w:rsidRPr="00DA3D22">
        <w:t>R</w:t>
      </w:r>
      <w:r w:rsidR="00305FBA" w:rsidRPr="00DA3D22">
        <w:rPr>
          <w:vertAlign w:val="subscript"/>
        </w:rPr>
        <w:t>Air</w:t>
      </w:r>
      <w:proofErr w:type="spellEnd"/>
      <w:r w:rsidR="00305FBA" w:rsidRPr="00DA3D22">
        <w:t xml:space="preserve"> = 0.0036765) for </w:t>
      </w:r>
      <w:commentRangeStart w:id="11"/>
      <w:r w:rsidR="00305FBA" w:rsidRPr="00DA3D22">
        <w:t>nitrogen</w:t>
      </w:r>
      <w:commentRangeEnd w:id="11"/>
      <w:r w:rsidR="00305FBA" w:rsidRPr="00DA3D22">
        <w:rPr>
          <w:rStyle w:val="CommentReference"/>
        </w:rPr>
        <w:commentReference w:id="11"/>
      </w:r>
      <w:r w:rsidR="00305FBA" w:rsidRPr="00DA3D22">
        <w:t xml:space="preserve">. </w:t>
      </w:r>
    </w:p>
    <w:p w14:paraId="627C621E" w14:textId="695F434A" w:rsidR="00C23846" w:rsidRDefault="00C23846"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one week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12"/>
      <w:commentRangeEnd w:id="12"/>
      <w:r w:rsidR="00B87FB7">
        <w:rPr>
          <w:rStyle w:val="CommentReference"/>
        </w:rPr>
        <w:commentReference w:id="12"/>
      </w:r>
      <w:r w:rsidR="009D5023">
        <w:t xml:space="preserve">re </w:t>
      </w:r>
      <w:r w:rsidR="005D01F0">
        <w:t>split</w:t>
      </w:r>
      <w:r w:rsidR="009D5023">
        <w:t xml:space="preserve"> </w:t>
      </w:r>
      <w:r w:rsidR="005D01F0">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w:t>
      </w:r>
      <w:r w:rsidR="00992FE3">
        <w:lastRenderedPageBreak/>
        <w:t>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30 day experimental period from sampling. </w:t>
      </w:r>
      <w:r w:rsidR="00BE6111">
        <w:t>Given this</w:t>
      </w:r>
      <w:r w:rsidR="00A72A80">
        <w:t xml:space="preserve"> attrition rate</w:t>
      </w:r>
      <w:r w:rsidR="00BE6111">
        <w:t xml:space="preserve"> is relatively high</w:t>
      </w:r>
      <w:r w:rsidR="00A72A80">
        <w:t xml:space="preserve">, the impacts </w:t>
      </w:r>
      <w:r w:rsidR="00BE6111">
        <w:t>of this</w:t>
      </w:r>
      <w:r w:rsidR="00A72A80">
        <w:t xml:space="preserve"> our results has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5F6B71B2"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F110AC">
        <w:instrText xml:space="preserve"> ADDIN ZOTERO_ITEM CSL_CITATION {"citationID":"VVeiUCiE","properties":{"formattedCitation":"(Toms et al., 2010)","plainCitation":"(Toms et al., 2010)","noteIndex":0},"citationItems":[{"id":240,"uris":["http://zotero.org/users/5224473/items/SK8SIIB7"],"uri":["http://zotero.org/users/5224473/items/SK8SIIB7"],"itemData":{"id":240,"type":"article-journal","abstract":"Personality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so arenas has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r w:rsidR="00D76465">
        <w:t>5</w:t>
      </w:r>
      <w:r w:rsidR="007418DE">
        <w:t xml:space="preserve"> minute acclimation period </w:t>
      </w:r>
      <w:r w:rsidR="00D76465">
        <w:t>that is intended</w:t>
      </w:r>
      <w:r w:rsidR="007418DE">
        <w:t xml:space="preserve"> to limit any 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2CACD072" w:rsidR="003920AB" w:rsidRPr="003920AB" w:rsidRDefault="003920AB" w:rsidP="003920AB">
      <w:r w:rsidRPr="003920AB">
        <w:lastRenderedPageBreak/>
        <w:t xml:space="preserve">Fish movement </w:t>
      </w:r>
      <w:r w:rsidR="00D76465">
        <w:t xml:space="preserve">in the </w:t>
      </w:r>
      <w:r w:rsidR="00D76465" w:rsidRPr="00D76465">
        <w:rPr>
          <w:i/>
        </w:rPr>
        <w:t>Activity</w:t>
      </w:r>
      <w:r w:rsidR="00D76465">
        <w:t xml:space="preserve"> assay </w:t>
      </w:r>
      <w:r>
        <w:t xml:space="preserve">was tracked using </w:t>
      </w:r>
      <w:proofErr w:type="spellStart"/>
      <w:r>
        <w:t>Toxtrac</w:t>
      </w:r>
      <w:proofErr w:type="spellEnd"/>
      <w:r>
        <w:t xml:space="preserve"> v2.90</w:t>
      </w:r>
      <w:r w:rsidRPr="003920AB">
        <w:t xml:space="preserve"> </w:t>
      </w:r>
      <w:r>
        <w:fldChar w:fldCharType="begin"/>
      </w:r>
      <w:r w:rsidR="00F110AC">
        <w:instrText xml:space="preserve"> ADDIN ZOTERO_ITEM CSL_CITATION {"citationID":"VJ8cMyF2","properties":{"formattedCitation":"(Rodriguez et al., 2018)","plainCitation":"(Rodriguez et al., 2018)","noteIndex":0},"citationItems":[{"id":5741,"uris":["http://zotero.org/users/5224473/items/ZU96BULT"],"uri":["http://zotero.org/users/5224473/items/ZU96BULT"],"itemData":{"id":5741,"type":"article-journal","abstract":"Behavioural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rsidR="00F110AC">
        <w:instrText xml:space="preserve"> ADDIN ZOTERO_ITEM CSL_CITATION {"citationID":"dtj0ASiG","properties":{"formattedCitation":"(Schneider et al., 2012)","plainCitation":"(Schneider et al., 2012)","noteIndex":0},"citationItems":[{"id":6738,"uris":["http://zotero.org/users/5224473/items/7BUGZDIF"],"uri":["http://zotero.org/users/5224473/items/7BUGZDIF"],"itemData":{"id":6738,"type":"article-journal","container-title":"Nature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110AC">
        <w:instrText xml:space="preserve"> ADDIN ZOTERO_ITEM CSL_CITATION {"citationID":"A4VHq0qN","properties":{"formattedCitation":"(Moran et al., 2016, 2021)","plainCitation":"(Moran et al., 2016, 2021)","noteIndex":0},"citationItems":[{"id":4282,"uris":["http://zotero.org/users/5224473/items/PFJIBXQM"],"uri":["http://zotero.org/users/5224473/items/PFJIBXQM"],"itemData":{"id":4282,"type":"article-journal","abstract":"Investigating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M."}],"issued":{"date-parts":[["2016"]]}}},{"id":5940,"uris":["http://zotero.org/users/5224473/items/Y3R6KHTV"],"uri":["http://zotero.org/users/5224473/items/Y3R6KHTV"],"itemData":{"id":5940,"type":"article-journal","abstract":"Animal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717022FA"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F110AC">
        <w:instrText xml:space="preserve"> ADDIN ZOTERO_ITEM CSL_CITATION {"citationID":"cmfIqqIF","properties":{"formattedCitation":"(Toms et al., 2010)","plainCitation":"(Toms et al., 2010)","noteIndex":0},"citationItems":[{"id":240,"uris":["http://zotero.org/users/5224473/items/SK8SIIB7"],"uri":["http://zotero.org/users/5224473/items/SK8SIIB7"],"itemData":{"id":240,"type":"article-journal","abstract":"Personality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After an extended 10 minute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16D5DC35"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w:t>
      </w:r>
      <w:r w:rsidR="00520FC1" w:rsidRPr="00520FC1">
        <w:lastRenderedPageBreak/>
        <w:t xml:space="preserve">behaviours </w:t>
      </w:r>
      <w:r>
        <w:fldChar w:fldCharType="begin"/>
      </w:r>
      <w:r w:rsidR="00F110AC">
        <w:instrText xml:space="preserve"> ADDIN ZOTERO_ITEM CSL_CITATION {"citationID":"ZE7LM3It","properties":{"formattedCitation":"(Moran et al., 2016, 2021)","plainCitation":"(Moran et al., 2016, 2021)","noteIndex":0},"citationItems":[{"id":4282,"uris":["http://zotero.org/users/5224473/items/PFJIBXQM"],"uri":["http://zotero.org/users/5224473/items/PFJIBXQM"],"itemData":{"id":4282,"type":"article-journal","abstract":"Investigating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M."}],"issued":{"date-parts":[["2016"]]}}},{"id":5940,"uris":["http://zotero.org/users/5224473/items/Y3R6KHTV"],"uri":["http://zotero.org/users/5224473/items/Y3R6KHTV"],"itemData":{"id":5940,"type":"article-journal","abstract":"Animal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identity, and were inspected for any physical 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F110AC">
        <w:instrText xml:space="preserve"> ADDIN ZOTERO_ITEM CSL_CITATION {"citationID":"ggOQ0aOi","properties":{"formattedCitation":"(Bell, 2013)","plainCitation":"(Bell, 2013)","noteIndex":0},"citationItems":[{"id":6733,"uris":["http://zotero.org/users/5224473/items/D544EXCI"],"uri":["http://zotero.org/users/5224473/items/D544EXCI"],"itemData":{"id":6733,"type":"article-journal","abstract":"There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3"/>
      <w:r>
        <w:t>analysis</w:t>
      </w:r>
      <w:commentRangeEnd w:id="13"/>
      <w:r w:rsidR="007B136C">
        <w:rPr>
          <w:rStyle w:val="CommentReference"/>
          <w:i w:val="0"/>
          <w:iCs w:val="0"/>
        </w:rPr>
        <w:commentReference w:id="13"/>
      </w:r>
      <w:commentRangeStart w:id="14"/>
      <w:commentRangeEnd w:id="14"/>
      <w:r w:rsidR="007B136C">
        <w:rPr>
          <w:rStyle w:val="CommentReference"/>
          <w:i w:val="0"/>
          <w:iCs w:val="0"/>
        </w:rPr>
        <w:commentReference w:id="14"/>
      </w:r>
    </w:p>
    <w:p w14:paraId="24DCB74B" w14:textId="585F6A05" w:rsidR="007B136C" w:rsidRDefault="007B136C" w:rsidP="002371C8">
      <w:r>
        <w:t xml:space="preserve">Behavioural </w:t>
      </w:r>
      <w:commentRangeStart w:id="15"/>
      <w:r>
        <w:t>repeatability</w:t>
      </w:r>
      <w:commentRangeEnd w:id="15"/>
      <w:r w:rsidR="008E042F">
        <w:rPr>
          <w:rStyle w:val="CommentReference"/>
        </w:rPr>
        <w:commentReference w:id="15"/>
      </w:r>
      <w:r>
        <w:t xml:space="preserve">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6"/>
      <w:r>
        <w:t>)</w:t>
      </w:r>
      <w:commentRangeEnd w:id="16"/>
      <w:r w:rsidR="00DC00B2">
        <w:rPr>
          <w:rStyle w:val="CommentReference"/>
        </w:rPr>
        <w:commentReference w:id="16"/>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 xml:space="preserve">This project has received funding from the European Union’s Horizon 2020 research and innovation programme under the Marie </w:t>
      </w:r>
      <w:proofErr w:type="spellStart"/>
      <w:r w:rsidRPr="00A93F91">
        <w:rPr>
          <w:lang w:val="en"/>
        </w:rPr>
        <w:t>Sklodowska</w:t>
      </w:r>
      <w:proofErr w:type="spellEnd"/>
      <w:r w:rsidRPr="00A93F91">
        <w:rPr>
          <w:lang w:val="en"/>
        </w:rPr>
        <w:t xml:space="preserve">-Curie grant agreement No 836937. The </w:t>
      </w:r>
      <w:r w:rsidRPr="00A93F91">
        <w:rPr>
          <w:lang w:val="en"/>
        </w:rPr>
        <w:lastRenderedPageBreak/>
        <w:t xml:space="preserve">Centre for Ocean Life is a VKR center of excellence supported by the </w:t>
      </w:r>
      <w:proofErr w:type="spellStart"/>
      <w:r w:rsidRPr="00A93F91">
        <w:rPr>
          <w:lang w:val="en"/>
        </w:rPr>
        <w:t>Villum</w:t>
      </w:r>
      <w:proofErr w:type="spellEnd"/>
      <w:r w:rsidRPr="00A93F91">
        <w:rPr>
          <w:lang w:val="en"/>
        </w:rPr>
        <w:t xml:space="preserve"> foundation.</w:t>
      </w:r>
      <w:r>
        <w:t xml:space="preserve"> </w:t>
      </w:r>
      <w:r w:rsidR="00450A4D">
        <w:t xml:space="preserve">All laboratory experiments were authorized by the </w:t>
      </w:r>
      <w:r w:rsidR="00450A4D" w:rsidRPr="00A93F91">
        <w:rPr>
          <w:lang w:val="en-US"/>
        </w:rPr>
        <w:t>Danish Animal Experiments Inspectorate (</w:t>
      </w:r>
      <w:proofErr w:type="spellStart"/>
      <w:r w:rsidR="00450A4D" w:rsidRPr="00A93F91">
        <w:rPr>
          <w:lang w:val="en-US"/>
        </w:rPr>
        <w:t>Dyreforsøgstilsynet</w:t>
      </w:r>
      <w:proofErr w:type="spellEnd"/>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496281D9" w:rsidR="00C0669B" w:rsidRPr="00A93F91" w:rsidRDefault="00C0669B" w:rsidP="002371C8">
      <w:r>
        <w:rPr>
          <w:lang w:val="en-US"/>
        </w:rPr>
        <w:t>Sarah Wexler</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w:t>
      </w:r>
      <w:proofErr w:type="spellStart"/>
      <w:r w:rsidR="008B303A">
        <w:t>CRediT</w:t>
      </w:r>
      <w:proofErr w:type="spellEnd"/>
      <w:r w:rsidR="008B303A">
        <w:t xml:space="preserve">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3" w:history="1"/>
      <w:r w:rsidR="00110979" w:rsidRPr="00110979">
        <w:t>https://osf.io/rnz7q/</w:t>
      </w:r>
      <w:r w:rsidRPr="00110979">
        <w:t>,</w:t>
      </w:r>
      <w:r w:rsidRPr="00FE28C9">
        <w:t xml:space="preserve"> </w:t>
      </w:r>
      <w:proofErr w:type="spellStart"/>
      <w:r w:rsidRPr="00FE28C9">
        <w:t>doi</w:t>
      </w:r>
      <w:proofErr w:type="spellEnd"/>
      <w:r w:rsidRPr="00FE28C9">
        <w:t>:</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517EFF17" w14:textId="77777777" w:rsidR="00903E64" w:rsidRPr="00903E64" w:rsidRDefault="008117A2" w:rsidP="00903E64">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903E64" w:rsidRPr="00903E64">
        <w:t xml:space="preserve">Andraso, G., Cowles, J., Colt, R., Patel, J., and Campbell, M. (2011). Ontogenetic changes in pharyngeal morphology correlate with a diet shift from arthropods to dreissenid mussels in round gobies (Neogobius melanostomus). </w:t>
      </w:r>
      <w:r w:rsidR="00903E64" w:rsidRPr="00903E64">
        <w:rPr>
          <w:i/>
          <w:iCs/>
        </w:rPr>
        <w:t>Journal of Great Lakes Research</w:t>
      </w:r>
      <w:r w:rsidR="00903E64" w:rsidRPr="00903E64">
        <w:t xml:space="preserve"> 37, 738–743. doi: 10.1016/j.jglr.2011.07.011.</w:t>
      </w:r>
    </w:p>
    <w:p w14:paraId="100CE60E" w14:textId="77777777" w:rsidR="00903E64" w:rsidRPr="00903E64" w:rsidRDefault="00903E64" w:rsidP="00903E64">
      <w:pPr>
        <w:pStyle w:val="Bibliography"/>
      </w:pPr>
      <w:r w:rsidRPr="00903E64">
        <w:t xml:space="preserve">Azour, F., Deurs, M. van, Behrens, J., Carl, H., Hüssy, K., Greisen, K., et al. (2015). Invasion rate and population characteristics of the round goby Neogobius melanostomus: </w:t>
      </w:r>
      <w:r w:rsidRPr="00903E64">
        <w:lastRenderedPageBreak/>
        <w:t xml:space="preserve">effects of density and invasion history. </w:t>
      </w:r>
      <w:r w:rsidRPr="00903E64">
        <w:rPr>
          <w:i/>
          <w:iCs/>
        </w:rPr>
        <w:t>Aquatic Biology</w:t>
      </w:r>
      <w:r w:rsidRPr="00903E64">
        <w:t xml:space="preserve"> 24, 41–52. doi: 10.3354/ab00634.</w:t>
      </w:r>
    </w:p>
    <w:p w14:paraId="59E2729D" w14:textId="77777777" w:rsidR="00903E64" w:rsidRPr="00903E64" w:rsidRDefault="00903E64" w:rsidP="00903E64">
      <w:pPr>
        <w:pStyle w:val="Bibliography"/>
      </w:pPr>
      <w:r w:rsidRPr="00903E64">
        <w:t xml:space="preserve">Behrens, J. W., Deurs, M. van, and Christensen, E. A. F. (2017). Evaluating dispersal potential of an invasive fish by the use of aerobic scope and osmoregulation capacity. </w:t>
      </w:r>
      <w:r w:rsidRPr="00903E64">
        <w:rPr>
          <w:i/>
          <w:iCs/>
        </w:rPr>
        <w:t>PLOS ONE</w:t>
      </w:r>
      <w:r w:rsidRPr="00903E64">
        <w:t xml:space="preserve"> 12, e0176038. doi: 10.1371/journal.pone.0176038.</w:t>
      </w:r>
    </w:p>
    <w:p w14:paraId="5F53CE78" w14:textId="77777777" w:rsidR="00903E64" w:rsidRPr="00903E64" w:rsidRDefault="00903E64" w:rsidP="00903E64">
      <w:pPr>
        <w:pStyle w:val="Bibliography"/>
      </w:pPr>
      <w:r w:rsidRPr="00903E64">
        <w:t xml:space="preserve">Bell, A. (2013). Randomized or fixed order for studies of behavioral syndromes? </w:t>
      </w:r>
      <w:r w:rsidRPr="00903E64">
        <w:rPr>
          <w:i/>
          <w:iCs/>
        </w:rPr>
        <w:t>Behavioral Ecology</w:t>
      </w:r>
      <w:r w:rsidRPr="00903E64">
        <w:t xml:space="preserve"> 24, 16–20. doi: 10.1093/beheco/ars148.</w:t>
      </w:r>
    </w:p>
    <w:p w14:paraId="2D24BED7" w14:textId="77777777" w:rsidR="00903E64" w:rsidRPr="00903E64" w:rsidRDefault="00903E64" w:rsidP="00903E64">
      <w:pPr>
        <w:pStyle w:val="Bibliography"/>
      </w:pPr>
      <w:r w:rsidRPr="00903E64">
        <w:t xml:space="preserve">Biro, P. A., and Dingemanse, N. J. (2009). Sampling bias resulting from animal personality. </w:t>
      </w:r>
      <w:r w:rsidRPr="00903E64">
        <w:rPr>
          <w:i/>
          <w:iCs/>
        </w:rPr>
        <w:t>Trends in Ecology &amp; Evolution</w:t>
      </w:r>
      <w:r w:rsidRPr="00903E64">
        <w:t xml:space="preserve"> 24, 66–67. doi: 10.1016/j.tree.2008.11.001.</w:t>
      </w:r>
    </w:p>
    <w:p w14:paraId="75BA117F" w14:textId="77777777" w:rsidR="00903E64" w:rsidRPr="00903E64" w:rsidRDefault="00903E64" w:rsidP="00903E64">
      <w:pPr>
        <w:pStyle w:val="Bibliography"/>
      </w:pPr>
      <w:r w:rsidRPr="00903E64">
        <w:t xml:space="preserve">Boecklen, W. J., Yarnes, C. T., Cook, B. A., and James, A. C. (2011). On the Use of Stable Isotopes in Trophic Ecology. </w:t>
      </w:r>
      <w:r w:rsidRPr="00903E64">
        <w:rPr>
          <w:i/>
          <w:iCs/>
        </w:rPr>
        <w:t>Annual Review of Ecology, Evolution, and Systematics</w:t>
      </w:r>
      <w:r w:rsidRPr="00903E64">
        <w:t xml:space="preserve"> 42, 411–440. doi: 10.1146/annurev-ecolsys-102209-144726.</w:t>
      </w:r>
    </w:p>
    <w:p w14:paraId="7E3E3BB4" w14:textId="77777777" w:rsidR="00903E64" w:rsidRPr="00903E64" w:rsidRDefault="00903E64" w:rsidP="00903E64">
      <w:pPr>
        <w:pStyle w:val="Bibliography"/>
      </w:pPr>
      <w:r w:rsidRPr="00903E64">
        <w:t xml:space="preserve">Brauer, M., Behrens, J. W., Christoffersen, M., Hyldig, G., Jacobsen, C., Björnsdottir, K. H., et al. (2020). Seasonal patterns in round goby (Neogobius melanostromus) catch rates, catch composition, and dietary quality. </w:t>
      </w:r>
      <w:r w:rsidRPr="00903E64">
        <w:rPr>
          <w:i/>
          <w:iCs/>
        </w:rPr>
        <w:t>Fisheries Research</w:t>
      </w:r>
      <w:r w:rsidRPr="00903E64">
        <w:t xml:space="preserve"> 222, 105412. doi: 10.1016/j.fishres.2019.105412.</w:t>
      </w:r>
    </w:p>
    <w:p w14:paraId="34857149" w14:textId="77777777" w:rsidR="00903E64" w:rsidRPr="00903E64" w:rsidRDefault="00903E64" w:rsidP="00903E64">
      <w:pPr>
        <w:pStyle w:val="Bibliography"/>
      </w:pPr>
      <w:r w:rsidRPr="00903E64">
        <w:t xml:space="preserve">Britton, J. R., and Busst, G. M. A. (2018). Stable isotope discrimination factors of omnivorous fishes: influence of tissue type, temperature, diet composition and formulated feeds. </w:t>
      </w:r>
      <w:r w:rsidRPr="00903E64">
        <w:rPr>
          <w:i/>
          <w:iCs/>
        </w:rPr>
        <w:t>Hydrobiologia</w:t>
      </w:r>
      <w:r w:rsidRPr="00903E64">
        <w:t xml:space="preserve"> 808, 219–234. doi: 10.1007/s10750-017-3423-9.</w:t>
      </w:r>
    </w:p>
    <w:p w14:paraId="7E57D1F6" w14:textId="77777777" w:rsidR="00903E64" w:rsidRPr="00903E64" w:rsidRDefault="00903E64" w:rsidP="00903E64">
      <w:pPr>
        <w:pStyle w:val="Bibliography"/>
      </w:pPr>
      <w:r w:rsidRPr="00903E64">
        <w:t xml:space="preserve">Caut, S., Angulo, E., and Courchamp, F. (2009). Variation in Discrimination Factors (Δ15N and Δ13C): The Effect of Diet Isotopic Values and Applications for Diet Reconstruction. </w:t>
      </w:r>
      <w:r w:rsidRPr="00903E64">
        <w:rPr>
          <w:i/>
          <w:iCs/>
        </w:rPr>
        <w:t>Journal of Applied Ecology</w:t>
      </w:r>
      <w:r w:rsidRPr="00903E64">
        <w:t xml:space="preserve"> 46, 443–453.</w:t>
      </w:r>
    </w:p>
    <w:p w14:paraId="0A1EBF69" w14:textId="77777777" w:rsidR="00903E64" w:rsidRPr="00903E64" w:rsidRDefault="00903E64" w:rsidP="00903E64">
      <w:pPr>
        <w:pStyle w:val="Bibliography"/>
      </w:pPr>
      <w:r w:rsidRPr="00903E64">
        <w:t xml:space="preserve">Christoffersen, M., Svendsen, J. C., Behrens, J. W., Jepsen, N., and Deurs, M. van (2019). Using acoustic telemetry and snorkel surveys to study diel activity and seasonal migration of round goby (Neogobius melanostomus) in an estuary of the Western Baltic Sea. </w:t>
      </w:r>
      <w:r w:rsidRPr="00903E64">
        <w:rPr>
          <w:i/>
          <w:iCs/>
        </w:rPr>
        <w:t>Fisheries Management and Ecology</w:t>
      </w:r>
      <w:r w:rsidRPr="00903E64">
        <w:t xml:space="preserve"> 26, 172–182. doi: 10.1111/fme.12336.</w:t>
      </w:r>
    </w:p>
    <w:p w14:paraId="58A1C821" w14:textId="77777777" w:rsidR="00903E64" w:rsidRPr="00903E64" w:rsidRDefault="00903E64" w:rsidP="00903E64">
      <w:pPr>
        <w:pStyle w:val="Bibliography"/>
      </w:pPr>
      <w:r w:rsidRPr="00903E64">
        <w:t xml:space="preserve">Cookingham, M. N., and Ruetz III, C. R. (2008). Evaluating passive integrated transponder tags for tracking movements of round gobies. </w:t>
      </w:r>
      <w:r w:rsidRPr="00903E64">
        <w:rPr>
          <w:i/>
          <w:iCs/>
        </w:rPr>
        <w:t>Ecology of Freshwater Fish</w:t>
      </w:r>
      <w:r w:rsidRPr="00903E64">
        <w:t xml:space="preserve"> 17, 303–311. doi: 10.1111/j.1600-0633.2007.00282.x.</w:t>
      </w:r>
    </w:p>
    <w:p w14:paraId="5187818A" w14:textId="77777777" w:rsidR="00903E64" w:rsidRPr="00903E64" w:rsidRDefault="00903E64" w:rsidP="00903E64">
      <w:pPr>
        <w:pStyle w:val="Bibliography"/>
      </w:pPr>
      <w:r w:rsidRPr="00903E64">
        <w:t xml:space="preserve">Curtis, A. N., Bugge, D. M., Buckman, K. L., Feng, X., Faiia, A., and Chen, C. Y. (2017). Influence of sample preparation on estuarine macrofauna stable isotope signatures in the context of contaminant bioaccumulation studies. </w:t>
      </w:r>
      <w:r w:rsidRPr="00903E64">
        <w:rPr>
          <w:i/>
          <w:iCs/>
        </w:rPr>
        <w:t>J Exp Mar Bio Ecol</w:t>
      </w:r>
      <w:r w:rsidRPr="00903E64">
        <w:t xml:space="preserve"> 493, 1–6. doi: 10.1016/j.jembe.2017.03.010.</w:t>
      </w:r>
    </w:p>
    <w:p w14:paraId="56816605" w14:textId="77777777" w:rsidR="00903E64" w:rsidRPr="00903E64" w:rsidRDefault="00903E64" w:rsidP="00903E64">
      <w:pPr>
        <w:pStyle w:val="Bibliography"/>
      </w:pPr>
      <w:r w:rsidRPr="00903E64">
        <w:t xml:space="preserve">Dingemanse, N. J., Kazem, A. J. N., Réale, D., and Wright, J. (2010). Behavioural reaction norms: animal personality meets individual plasticity. </w:t>
      </w:r>
      <w:r w:rsidRPr="00903E64">
        <w:rPr>
          <w:i/>
          <w:iCs/>
        </w:rPr>
        <w:t>Trends in Ecology &amp; Evolution</w:t>
      </w:r>
      <w:r w:rsidRPr="00903E64">
        <w:t xml:space="preserve"> 25, 81–89. doi: 10.1016/j.tree.2009.07.013.</w:t>
      </w:r>
    </w:p>
    <w:p w14:paraId="3D33B452" w14:textId="77777777" w:rsidR="00903E64" w:rsidRPr="00903E64" w:rsidRDefault="00903E64" w:rsidP="00903E64">
      <w:pPr>
        <w:pStyle w:val="Bibliography"/>
      </w:pPr>
      <w:r w:rsidRPr="00903E64">
        <w:t xml:space="preserve">Feistel, R., Weinreben, S., Wolf, H., Seitz, S., Spitzer, P., Adel, B., et al. (2010). Density and Absolute Salinity of the Baltic Sea 2006–2009. </w:t>
      </w:r>
      <w:r w:rsidRPr="00903E64">
        <w:rPr>
          <w:i/>
          <w:iCs/>
        </w:rPr>
        <w:t>Ocean Science</w:t>
      </w:r>
      <w:r w:rsidRPr="00903E64">
        <w:t xml:space="preserve"> 6, 3–24. doi: https://doi.org/10.5194/os-6-3-2010.</w:t>
      </w:r>
    </w:p>
    <w:p w14:paraId="039973DA" w14:textId="77777777" w:rsidR="00903E64" w:rsidRPr="00903E64" w:rsidRDefault="00903E64" w:rsidP="00903E64">
      <w:pPr>
        <w:pStyle w:val="Bibliography"/>
      </w:pPr>
      <w:r w:rsidRPr="00903E64">
        <w:lastRenderedPageBreak/>
        <w:t xml:space="preserve">Gosling, S. D. (2008). Personality in Non-human Animals. </w:t>
      </w:r>
      <w:r w:rsidRPr="00903E64">
        <w:rPr>
          <w:i/>
          <w:iCs/>
        </w:rPr>
        <w:t>Social and Personality Psychology Compass</w:t>
      </w:r>
      <w:r w:rsidRPr="00903E64">
        <w:t xml:space="preserve"> 2, 985–1001. doi: 10.1111/j.1751-9004.2008.00087.x.</w:t>
      </w:r>
    </w:p>
    <w:p w14:paraId="30FE1F4E" w14:textId="77777777" w:rsidR="00903E64" w:rsidRPr="00903E64" w:rsidRDefault="00903E64" w:rsidP="00903E64">
      <w:pPr>
        <w:pStyle w:val="Bibliography"/>
      </w:pPr>
      <w:r w:rsidRPr="00903E64">
        <w:t xml:space="preserve">Hayden, B., Soto, D. X., Jardine, T. D., Graham, B. S., Cunjak, R. A., Romakkaniemi, A., et al. (2015). Small Tails Tell Tall Tales--Intra-Individual Variation in the Stable Isotope Values of Fish Fin. </w:t>
      </w:r>
      <w:r w:rsidRPr="00903E64">
        <w:rPr>
          <w:i/>
          <w:iCs/>
        </w:rPr>
        <w:t>PLoS ONE</w:t>
      </w:r>
      <w:r w:rsidRPr="00903E64">
        <w:t xml:space="preserve"> 10, e0145154. doi: 10.1371/journal.pone.0145154.</w:t>
      </w:r>
    </w:p>
    <w:p w14:paraId="2003B427" w14:textId="77777777" w:rsidR="00903E64" w:rsidRPr="00903E64" w:rsidRDefault="00903E64" w:rsidP="00903E64">
      <w:pPr>
        <w:pStyle w:val="Bibliography"/>
      </w:pPr>
      <w:r w:rsidRPr="00903E64">
        <w:t xml:space="preserve">Jardine, T. D., Hunt, R. J., Pusey, B. J., Bunn, S. E., Jardine, T. D., Hunt, R. J., et al. (2011). A non-lethal sampling method for stable carbon and nitrogen isotope studies of tropical fishes. </w:t>
      </w:r>
      <w:r w:rsidRPr="00903E64">
        <w:rPr>
          <w:i/>
          <w:iCs/>
        </w:rPr>
        <w:t>Mar. Freshwater Res.</w:t>
      </w:r>
      <w:r w:rsidRPr="00903E64">
        <w:t xml:space="preserve"> 62, 83–90. doi: 10.1071/MF10211.</w:t>
      </w:r>
    </w:p>
    <w:p w14:paraId="4922F437" w14:textId="77777777" w:rsidR="00903E64" w:rsidRPr="00903E64" w:rsidRDefault="00903E64" w:rsidP="00903E64">
      <w:pPr>
        <w:pStyle w:val="Bibliography"/>
      </w:pPr>
      <w:r w:rsidRPr="00903E64">
        <w:t xml:space="preserve">Jardine, T. D., McGeachy, S., Paton, C., Savoie, M., and Cunjak, R. (2003). Stable isotopes in aquatic systems: sample preparation, analysis and interpretation. </w:t>
      </w:r>
      <w:r w:rsidRPr="00903E64">
        <w:rPr>
          <w:i/>
          <w:iCs/>
        </w:rPr>
        <w:t>Canadian Manuscript Report of Fisheries and Aquatic Sciences</w:t>
      </w:r>
      <w:r w:rsidRPr="00903E64">
        <w:t xml:space="preserve"> 2656, 39.</w:t>
      </w:r>
    </w:p>
    <w:p w14:paraId="5CFFB6B9" w14:textId="77777777" w:rsidR="00903E64" w:rsidRPr="00903E64" w:rsidRDefault="00903E64" w:rsidP="00903E64">
      <w:pPr>
        <w:pStyle w:val="Bibliography"/>
      </w:pPr>
      <w:r w:rsidRPr="00903E64">
        <w:t xml:space="preserve">Jolles, J. W., Manica, A., and Boogert, N. J. (2016). Food intake rates of inactive fish are positively linked to boldness in three-spined sticklebacks Gasterosteus aculeatus. </w:t>
      </w:r>
      <w:r w:rsidRPr="00903E64">
        <w:rPr>
          <w:i/>
          <w:iCs/>
        </w:rPr>
        <w:t>J Fish Biol</w:t>
      </w:r>
      <w:r w:rsidRPr="00903E64">
        <w:t xml:space="preserve"> 88, 1661–1668. doi: 10.1111/jfb.12934.</w:t>
      </w:r>
    </w:p>
    <w:p w14:paraId="5911C1C1" w14:textId="77777777" w:rsidR="00903E64" w:rsidRPr="00903E64" w:rsidRDefault="00903E64" w:rsidP="00903E64">
      <w:pPr>
        <w:pStyle w:val="Bibliography"/>
      </w:pPr>
      <w:r w:rsidRPr="00903E64">
        <w:t>Jolles, J. W., Ostojic, L., and Clayton, N. S. (2013). Dominance, pair bonds and boldness determine social-foraging tactics in rooks, Corvus frugilegus. 85, 1261–1269. doi: 10.1016/j.anbehav.2013.03.013.</w:t>
      </w:r>
    </w:p>
    <w:p w14:paraId="1942EE32" w14:textId="77777777" w:rsidR="00903E64" w:rsidRPr="00903E64" w:rsidRDefault="00903E64" w:rsidP="00903E64">
      <w:pPr>
        <w:pStyle w:val="Bibliography"/>
      </w:pPr>
      <w:r w:rsidRPr="00903E64">
        <w:t xml:space="preserve">Jørgensen, M. G. P., Deurs, M. van, Butts, I., Jørgensen, K., and Behrens, J. W. (2017). PIT-tagging method for small fishes: A case study using sandeel ( Ammodytes tobianus ). </w:t>
      </w:r>
      <w:r w:rsidRPr="00903E64">
        <w:rPr>
          <w:i/>
          <w:iCs/>
        </w:rPr>
        <w:t>FISH RES</w:t>
      </w:r>
      <w:r w:rsidRPr="00903E64">
        <w:t xml:space="preserve"> 193, 95–103. doi: 10.1016/j.fishres.2017.04.002.</w:t>
      </w:r>
    </w:p>
    <w:p w14:paraId="37B8A8EA" w14:textId="77777777" w:rsidR="00903E64" w:rsidRPr="00903E64" w:rsidRDefault="00903E64" w:rsidP="00903E64">
      <w:pPr>
        <w:pStyle w:val="Bibliography"/>
      </w:pPr>
      <w:r w:rsidRPr="00903E64">
        <w:t xml:space="preserve">Juette, T., Cucherousset, J., and Cote, J. (2014). Animal personality and the ecological impacts of freshwater non-native species. </w:t>
      </w:r>
      <w:r w:rsidRPr="00903E64">
        <w:rPr>
          <w:i/>
          <w:iCs/>
        </w:rPr>
        <w:t>Curr Zool</w:t>
      </w:r>
      <w:r w:rsidRPr="00903E64">
        <w:t xml:space="preserve"> 60, 417–427. doi: 10.1093/czoolo/60.3.417.</w:t>
      </w:r>
    </w:p>
    <w:p w14:paraId="4234EE0D" w14:textId="77777777" w:rsidR="00903E64" w:rsidRPr="00903E64" w:rsidRDefault="00903E64" w:rsidP="00903E64">
      <w:pPr>
        <w:pStyle w:val="Bibliography"/>
      </w:pPr>
      <w:r w:rsidRPr="00903E64">
        <w:t xml:space="preserve">Layman, C. A., Araujo, M. S., Boucek, R., Hammerschlag‐Peyer, C. M., Harrison, E., Jud, Z. R., et al. (2012). Applying stable isotopes to examine food-web structure: an overview of analytical tools. </w:t>
      </w:r>
      <w:r w:rsidRPr="00903E64">
        <w:rPr>
          <w:i/>
          <w:iCs/>
        </w:rPr>
        <w:t>Biological Reviews</w:t>
      </w:r>
      <w:r w:rsidRPr="00903E64">
        <w:t xml:space="preserve"> 87, 545–562. doi: 10.1111/j.1469-185X.2011.00208.x.</w:t>
      </w:r>
    </w:p>
    <w:p w14:paraId="039D48C9" w14:textId="77777777" w:rsidR="00903E64" w:rsidRPr="00903E64" w:rsidRDefault="00903E64" w:rsidP="00903E64">
      <w:pPr>
        <w:pStyle w:val="Bibliography"/>
      </w:pPr>
      <w:r w:rsidRPr="00903E64">
        <w:t xml:space="preserve">Lynch, M. P., and Mensinger, A. F. (2012). Seasonal abundance and movement of the invasive round goby (Neogobius melanostomus) on rocky substrate in the Duluth–Superior Harbor of Lake Superior. </w:t>
      </w:r>
      <w:r w:rsidRPr="00903E64">
        <w:rPr>
          <w:i/>
          <w:iCs/>
        </w:rPr>
        <w:t>Ecology of Freshwater Fish</w:t>
      </w:r>
      <w:r w:rsidRPr="00903E64">
        <w:t xml:space="preserve"> 21, 64–74. doi: https://doi.org/10.1111/j.1600-0633.2011.00524.x.</w:t>
      </w:r>
    </w:p>
    <w:p w14:paraId="43FDF540" w14:textId="77777777" w:rsidR="00903E64" w:rsidRPr="00903E64" w:rsidRDefault="00903E64" w:rsidP="00903E64">
      <w:pPr>
        <w:pStyle w:val="Bibliography"/>
      </w:pPr>
      <w:r w:rsidRPr="00903E64">
        <w:t xml:space="preserve">Marentette, J. R., Wang, G., Tong, S., Sopinka, N. M., Taves, M. D., Koops, M. A., et al. (2011). Laboratory and field evidence of sex-biased movement in the invasive round goby. </w:t>
      </w:r>
      <w:r w:rsidRPr="00903E64">
        <w:rPr>
          <w:i/>
          <w:iCs/>
        </w:rPr>
        <w:t>Behav Ecol Sociobiol</w:t>
      </w:r>
      <w:r w:rsidRPr="00903E64">
        <w:t xml:space="preserve"> 65, 2239–2249. doi: 10.1007/s00265-011-1233-z.</w:t>
      </w:r>
    </w:p>
    <w:p w14:paraId="00B674DE" w14:textId="77777777" w:rsidR="00903E64" w:rsidRPr="00903E64" w:rsidRDefault="00903E64" w:rsidP="00903E64">
      <w:pPr>
        <w:pStyle w:val="Bibliography"/>
      </w:pPr>
      <w:r w:rsidRPr="00903E64">
        <w:t xml:space="preserve">Michelangeli, M., Wong, B. B. M., and Chapple, D. G. (2016). It’s a trap: sampling bias due to animal personality is not always inevitable. </w:t>
      </w:r>
      <w:r w:rsidRPr="00903E64">
        <w:rPr>
          <w:i/>
          <w:iCs/>
        </w:rPr>
        <w:t>Behavioral Ecology</w:t>
      </w:r>
      <w:r w:rsidRPr="00903E64">
        <w:t xml:space="preserve"> 27, 62–67. doi: 10.1093/beheco/arv123.</w:t>
      </w:r>
    </w:p>
    <w:p w14:paraId="72AE093D" w14:textId="77777777" w:rsidR="00903E64" w:rsidRPr="00903E64" w:rsidRDefault="00903E64" w:rsidP="00903E64">
      <w:pPr>
        <w:pStyle w:val="Bibliography"/>
      </w:pPr>
      <w:r w:rsidRPr="00903E64">
        <w:t xml:space="preserve">Moran, N. P., Mossop, K. D., Thompson, R. M., and Wong, B. B. M. (2016). Boldness in extreme environments: temperament divergence in a desert-dwelling fish. </w:t>
      </w:r>
      <w:r w:rsidRPr="00903E64">
        <w:rPr>
          <w:i/>
          <w:iCs/>
        </w:rPr>
        <w:t>Animal Behaviour</w:t>
      </w:r>
      <w:r w:rsidRPr="00903E64">
        <w:t xml:space="preserve"> 122, 125–133. doi: https://doi.org/10.1016/j.anbehav.2016.09.024.</w:t>
      </w:r>
    </w:p>
    <w:p w14:paraId="19A569E4" w14:textId="77777777" w:rsidR="00903E64" w:rsidRPr="00903E64" w:rsidRDefault="00903E64" w:rsidP="00903E64">
      <w:pPr>
        <w:pStyle w:val="Bibliography"/>
      </w:pPr>
      <w:r w:rsidRPr="00903E64">
        <w:lastRenderedPageBreak/>
        <w:t xml:space="preserve">Moran, N. P., Sánchez‐Tójar, A., Schielzeth, H., and Reinhold, K. (2020). Poor nutritional condition promotes high-risk behaviours: a systematic review and meta-analysis. </w:t>
      </w:r>
      <w:r w:rsidRPr="00903E64">
        <w:rPr>
          <w:i/>
          <w:iCs/>
        </w:rPr>
        <w:t>Biological Reviews</w:t>
      </w:r>
      <w:r w:rsidRPr="00903E64">
        <w:t xml:space="preserve"> n/a. doi: https://doi.org/10.1111/brv.12655.</w:t>
      </w:r>
    </w:p>
    <w:p w14:paraId="79DC1116" w14:textId="77777777" w:rsidR="00903E64" w:rsidRPr="00903E64" w:rsidRDefault="00903E64" w:rsidP="00903E64">
      <w:pPr>
        <w:pStyle w:val="Bibliography"/>
      </w:pPr>
      <w:r w:rsidRPr="00903E64">
        <w:t xml:space="preserve">Moran, N. P., Sánchez‐Tójar, A., Schielzeth, H., and Reinhold, K. (2021). Poor nutritional condition promotes high-risk behaviours: a systematic review and meta-analysis. </w:t>
      </w:r>
      <w:r w:rsidRPr="00903E64">
        <w:rPr>
          <w:i/>
          <w:iCs/>
        </w:rPr>
        <w:t>Biological Reviews</w:t>
      </w:r>
      <w:r w:rsidRPr="00903E64">
        <w:t xml:space="preserve"> 96, 269–288. doi: https://doi.org/10.1111/brv.12655.</w:t>
      </w:r>
    </w:p>
    <w:p w14:paraId="0A888137" w14:textId="77777777" w:rsidR="00903E64" w:rsidRPr="00903E64" w:rsidRDefault="00903E64" w:rsidP="00903E64">
      <w:pPr>
        <w:pStyle w:val="Bibliography"/>
      </w:pPr>
      <w:r w:rsidRPr="00903E64">
        <w:t xml:space="preserve">Nussey, D. H., Wilson, A. J., and Brommer, J. E. (2007). The evolutionary ecology of individual phenotypic plasticity in wild populations. </w:t>
      </w:r>
      <w:r w:rsidRPr="00903E64">
        <w:rPr>
          <w:i/>
          <w:iCs/>
        </w:rPr>
        <w:t>Journal of Evolutionary Biology</w:t>
      </w:r>
      <w:r w:rsidRPr="00903E64">
        <w:t xml:space="preserve"> 20, 831–844. doi: 10.1111/j.1420-9101.2007.01300.x.</w:t>
      </w:r>
    </w:p>
    <w:p w14:paraId="31D1D726" w14:textId="77777777" w:rsidR="00903E64" w:rsidRPr="00903E64" w:rsidRDefault="00903E64" w:rsidP="00903E64">
      <w:pPr>
        <w:pStyle w:val="Bibliography"/>
      </w:pPr>
      <w:r w:rsidRPr="00903E64">
        <w:t xml:space="preserve">Post, D. M. (2002). Using Stable Isotopes to Estimate Trophic Position: Models, Methods, and Assumptions. </w:t>
      </w:r>
      <w:r w:rsidRPr="00903E64">
        <w:rPr>
          <w:i/>
          <w:iCs/>
        </w:rPr>
        <w:t>Ecology</w:t>
      </w:r>
      <w:r w:rsidRPr="00903E64">
        <w:t xml:space="preserve"> 83, 703–718. doi: 10.1890/0012-9658(2002)083[0703:USITET]2.0.CO;2.</w:t>
      </w:r>
    </w:p>
    <w:p w14:paraId="5A37A12C" w14:textId="77777777" w:rsidR="00903E64" w:rsidRPr="00903E64" w:rsidRDefault="00903E64" w:rsidP="00903E64">
      <w:pPr>
        <w:pStyle w:val="Bibliography"/>
      </w:pPr>
      <w:r w:rsidRPr="00903E64">
        <w:t xml:space="preserve">Puntila-Dodd, R., Bekkevold, D., and Behrens, J. W. (2021). Estimating salinity stress via hsp70 expression in the invasive round goby (Neogobius melanostomus): implications for further range expansion. </w:t>
      </w:r>
      <w:r w:rsidRPr="00903E64">
        <w:rPr>
          <w:i/>
          <w:iCs/>
        </w:rPr>
        <w:t>Hydrobiologia</w:t>
      </w:r>
      <w:r w:rsidRPr="00903E64">
        <w:t xml:space="preserve"> 848, 421–429. doi: 10.1007/s10750-020-04449-x.</w:t>
      </w:r>
    </w:p>
    <w:p w14:paraId="232F030E" w14:textId="77777777" w:rsidR="00903E64" w:rsidRPr="00903E64" w:rsidRDefault="00903E64" w:rsidP="00903E64">
      <w:pPr>
        <w:pStyle w:val="Bibliography"/>
      </w:pPr>
      <w:r w:rsidRPr="00903E64">
        <w:t xml:space="preserve">Réale, D., Reader, S. M., Sol, D., McDougall, P. T., and Dingemanse, N. J. (2007). Integrating animal temperament within ecology and evolution. </w:t>
      </w:r>
      <w:r w:rsidRPr="00903E64">
        <w:rPr>
          <w:i/>
          <w:iCs/>
        </w:rPr>
        <w:t>Biological Reviews</w:t>
      </w:r>
      <w:r w:rsidRPr="00903E64">
        <w:t xml:space="preserve"> 82, 291–318. doi: 10.1111/j.1469-185X.2007.00010.x.</w:t>
      </w:r>
    </w:p>
    <w:p w14:paraId="5D950368" w14:textId="77777777" w:rsidR="00903E64" w:rsidRPr="00903E64" w:rsidRDefault="00903E64" w:rsidP="00903E64">
      <w:pPr>
        <w:pStyle w:val="Bibliography"/>
      </w:pPr>
      <w:r w:rsidRPr="00903E64">
        <w:t xml:space="preserve">Rodriguez, A., Zhang, H., Klaminder, J., Brodin, T., Andersson, P. L., and Andersson, M. (2018). ToxTrac: A fast and robust software for tracking organisms. </w:t>
      </w:r>
      <w:r w:rsidRPr="00903E64">
        <w:rPr>
          <w:i/>
          <w:iCs/>
        </w:rPr>
        <w:t>Methods in Ecology and Evolution</w:t>
      </w:r>
      <w:r w:rsidRPr="00903E64">
        <w:t xml:space="preserve"> 9, 460–464. doi: 10.1111/2041-210X.12874.</w:t>
      </w:r>
    </w:p>
    <w:p w14:paraId="38B08606" w14:textId="77777777" w:rsidR="00903E64" w:rsidRPr="00903E64" w:rsidRDefault="00903E64" w:rsidP="00903E64">
      <w:pPr>
        <w:pStyle w:val="Bibliography"/>
      </w:pPr>
      <w:r w:rsidRPr="00903E64">
        <w:t xml:space="preserve">Ruetz, C. R., Earl, B. M., and Kohler, S. L. (2006). Evaluating Passive Integrated Transponder Tags for Marking Mottled Sculpins: Effects on Growth and Mortality. </w:t>
      </w:r>
      <w:r w:rsidRPr="00903E64">
        <w:rPr>
          <w:i/>
          <w:iCs/>
        </w:rPr>
        <w:t>Transactions of the American Fisheries Society</w:t>
      </w:r>
      <w:r w:rsidRPr="00903E64">
        <w:t xml:space="preserve"> 135, 1456–1461. doi: 10.1577/T05-295.1.</w:t>
      </w:r>
    </w:p>
    <w:p w14:paraId="67125477" w14:textId="77777777" w:rsidR="00903E64" w:rsidRPr="00903E64" w:rsidRDefault="00903E64" w:rsidP="00903E64">
      <w:pPr>
        <w:pStyle w:val="Bibliography"/>
      </w:pPr>
      <w:r w:rsidRPr="00903E64">
        <w:t xml:space="preserve">Schneider, C. A., Rasband, W. S., and Eliceiri, K. W. (2012). NIH Image to ImageJ: 25 years of image analysis. </w:t>
      </w:r>
      <w:r w:rsidRPr="00903E64">
        <w:rPr>
          <w:i/>
          <w:iCs/>
        </w:rPr>
        <w:t>Nature methods</w:t>
      </w:r>
      <w:r w:rsidRPr="00903E64">
        <w:t xml:space="preserve"> 9, 671–675.</w:t>
      </w:r>
    </w:p>
    <w:p w14:paraId="453F5397" w14:textId="77777777" w:rsidR="00903E64" w:rsidRPr="00903E64" w:rsidRDefault="00903E64" w:rsidP="00903E64">
      <w:pPr>
        <w:pStyle w:val="Bibliography"/>
      </w:pPr>
      <w:r w:rsidRPr="00903E64">
        <w:t xml:space="preserve">Thomas, S. M., and Crowther, T. W. (2015). Predicting rates of isotopic turnover across the animal kingdom: a synthesis of existing data. </w:t>
      </w:r>
      <w:r w:rsidRPr="00903E64">
        <w:rPr>
          <w:i/>
          <w:iCs/>
        </w:rPr>
        <w:t>Journal of Animal Ecology</w:t>
      </w:r>
      <w:r w:rsidRPr="00903E64">
        <w:t xml:space="preserve"> 84, 861–870. doi: 10.1111/1365-2656.12326.</w:t>
      </w:r>
    </w:p>
    <w:p w14:paraId="29769316" w14:textId="77777777" w:rsidR="00903E64" w:rsidRPr="00903E64" w:rsidRDefault="00903E64" w:rsidP="00903E64">
      <w:pPr>
        <w:pStyle w:val="Bibliography"/>
      </w:pPr>
      <w:r w:rsidRPr="00903E64">
        <w:t xml:space="preserve">Thorlacius, M., Hellström, G., and Brodin, T. (2015). Behavioral dependent dispersal in the invasive round goby Neogobius melanostomus depends on population age. </w:t>
      </w:r>
      <w:r w:rsidRPr="00903E64">
        <w:rPr>
          <w:i/>
          <w:iCs/>
        </w:rPr>
        <w:t>Curr Zool</w:t>
      </w:r>
      <w:r w:rsidRPr="00903E64">
        <w:t xml:space="preserve"> 61, 529–542. doi: 10.1093/czoolo/61.3.529.</w:t>
      </w:r>
    </w:p>
    <w:p w14:paraId="44F5748E" w14:textId="77777777" w:rsidR="00903E64" w:rsidRPr="00903E64" w:rsidRDefault="00903E64" w:rsidP="00903E64">
      <w:pPr>
        <w:pStyle w:val="Bibliography"/>
      </w:pPr>
      <w:r w:rsidRPr="00903E64">
        <w:t xml:space="preserve">Toms, C. N., Echevarria, D. J., and Jouandot, D. J. (2010). A methodological review of personality-related studies in Fish: Focus on the shy-bold axis of behavior. </w:t>
      </w:r>
      <w:r w:rsidRPr="00903E64">
        <w:rPr>
          <w:i/>
          <w:iCs/>
        </w:rPr>
        <w:t>International Journal of Comparative Psychology</w:t>
      </w:r>
      <w:r w:rsidRPr="00903E64">
        <w:t xml:space="preserve"> 23, 1–25.</w:t>
      </w:r>
    </w:p>
    <w:p w14:paraId="178542F5" w14:textId="77777777" w:rsidR="00903E64" w:rsidRPr="00903E64" w:rsidRDefault="00903E64" w:rsidP="00903E64">
      <w:pPr>
        <w:pStyle w:val="Bibliography"/>
      </w:pPr>
      <w:r w:rsidRPr="00903E64">
        <w:t xml:space="preserve">van Deurs, M., Moran, N. P., Plet-Hansen, K. S., Dinesen, G. E., Azour, F., Carl, H., et al. (2021). Impacts of the invasive round goby (Neogobius melanostomus) on benthic </w:t>
      </w:r>
      <w:r w:rsidRPr="00903E64">
        <w:lastRenderedPageBreak/>
        <w:t xml:space="preserve">invertebrate fauna: a case study from the Baltic Sea. </w:t>
      </w:r>
      <w:r w:rsidRPr="00903E64">
        <w:rPr>
          <w:i/>
          <w:iCs/>
        </w:rPr>
        <w:t>NeoBiota</w:t>
      </w:r>
      <w:r w:rsidRPr="00903E64">
        <w:t xml:space="preserve"> 68, 19–30. doi: 10.3897/neobiota.68.67340.</w:t>
      </w:r>
    </w:p>
    <w:p w14:paraId="6E665C89" w14:textId="77777777" w:rsidR="00903E64" w:rsidRPr="00903E64" w:rsidRDefault="00903E64" w:rsidP="00903E64">
      <w:pPr>
        <w:pStyle w:val="Bibliography"/>
      </w:pPr>
      <w:r w:rsidRPr="00903E64">
        <w:t xml:space="preserve">White, J. R., Meekan, M. G., McCormick, M. I., and Ferrari, M. C. O. (2013). A Comparison of Measures of Boldness and Their Relationships to Survival in Young Fish. </w:t>
      </w:r>
      <w:r w:rsidRPr="00903E64">
        <w:rPr>
          <w:i/>
          <w:iCs/>
        </w:rPr>
        <w:t>PLoS One</w:t>
      </w:r>
      <w:r w:rsidRPr="00903E64">
        <w:t xml:space="preserve"> 8. doi: 10.1371/journal.pone.0068900.</w:t>
      </w:r>
    </w:p>
    <w:p w14:paraId="67F8E210" w14:textId="77777777" w:rsidR="00903E64" w:rsidRPr="00903E64" w:rsidRDefault="00903E64" w:rsidP="00903E64">
      <w:pPr>
        <w:pStyle w:val="Bibliography"/>
      </w:pPr>
      <w:r w:rsidRPr="00903E64">
        <w:t xml:space="preserve">Wolf, M., and Weissing, F. J. (2012). Animal personalities: consequences for ecology and evolution. </w:t>
      </w:r>
      <w:r w:rsidRPr="00903E64">
        <w:rPr>
          <w:i/>
          <w:iCs/>
        </w:rPr>
        <w:t>Trends in Ecology &amp; Evolution</w:t>
      </w:r>
      <w:r w:rsidRPr="00903E64">
        <w:t xml:space="preserve"> 27, 452–461. doi: 10.1016/j.tree.2012.05.001.</w:t>
      </w:r>
    </w:p>
    <w:p w14:paraId="6F2D2BE7" w14:textId="0AA0A701"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Patrick Moran" w:date="2022-08-15T13:43:00Z" w:initials="NPM">
    <w:p w14:paraId="5D8237F7" w14:textId="77777777" w:rsidR="004B21F8" w:rsidRDefault="004B21F8" w:rsidP="00D53A37">
      <w:pPr>
        <w:pStyle w:val="CommentText"/>
      </w:pPr>
      <w:r>
        <w:rPr>
          <w:rStyle w:val="CommentReference"/>
        </w:rPr>
        <w:annotationRef/>
      </w:r>
      <w:hyperlink r:id="rId1" w:history="1">
        <w:r w:rsidRPr="00D53A37">
          <w:rPr>
            <w:rStyle w:val="Hyperlink"/>
          </w:rPr>
          <w:t>https://doi.org/10.1146/annurev-ecolsys-102220-011451</w:t>
        </w:r>
      </w:hyperlink>
      <w:r>
        <w:t xml:space="preserve"> </w:t>
      </w:r>
    </w:p>
  </w:comment>
  <w:comment w:id="1" w:author="Nicholas Patrick Moran" w:date="2022-08-15T13:41:00Z" w:initials="NPM">
    <w:p w14:paraId="10FF47ED" w14:textId="2A5B3775" w:rsidR="00D07087" w:rsidRDefault="00D07087" w:rsidP="00940C00">
      <w:pPr>
        <w:pStyle w:val="CommentText"/>
      </w:pPr>
      <w:r>
        <w:rPr>
          <w:rStyle w:val="CommentReference"/>
        </w:rPr>
        <w:annotationRef/>
      </w:r>
      <w:r>
        <w:t xml:space="preserve">I can cite my own a bit. </w:t>
      </w:r>
    </w:p>
  </w:comment>
  <w:comment w:id="2" w:author="Nicholas Patrick Moran" w:date="2022-08-15T13:41:00Z" w:initials="NPM">
    <w:p w14:paraId="43A650C8" w14:textId="0E028628" w:rsidR="00D07087" w:rsidRDefault="00D07087" w:rsidP="00F1302B">
      <w:pPr>
        <w:pStyle w:val="CommentText"/>
      </w:pPr>
      <w:r>
        <w:rPr>
          <w:rStyle w:val="CommentReference"/>
        </w:rPr>
        <w:annotationRef/>
      </w:r>
      <w:r>
        <w:t xml:space="preserve">Consider adding the species, but it is probably too early. </w:t>
      </w:r>
    </w:p>
  </w:comment>
  <w:comment w:id="3" w:author="Nicholas Patrick Moran" w:date="2021-03-17T17:09:00Z" w:initials="NPM">
    <w:p w14:paraId="1F6A62D9" w14:textId="06F3DE7D"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4"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5" w:author="Nicholas Patrick Moran [2]"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6" w:author="Nicholas Patrick Moran [2]"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7" w:author="Nicholas Patrick Moran [2]" w:date="2022-05-24T16:24:00Z" w:initials="NPM">
    <w:p w14:paraId="2C295F53" w14:textId="1ECA4E0A" w:rsidR="00A44A2F" w:rsidRDefault="00A44A2F">
      <w:pPr>
        <w:pStyle w:val="CommentText"/>
      </w:pPr>
      <w:r>
        <w:rPr>
          <w:rStyle w:val="CommentReference"/>
        </w:rPr>
        <w:annotationRef/>
      </w:r>
      <w:r>
        <w:t>Not HCl washed and why</w:t>
      </w:r>
    </w:p>
  </w:comment>
  <w:comment w:id="8"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9" w:author="Nicholas Patrick Moran [2]"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0" w:author="Nicholas Patrick Moran [2]"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1" w:author="Nicholas Patrick Moran [2]"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2" w:author="Nicholas Patrick Moran" w:date="2020-12-10T17:44:00Z" w:initials="NPM">
    <w:p w14:paraId="7419B427" w14:textId="77777777" w:rsidR="00A44A2F" w:rsidRPr="007E64AE" w:rsidRDefault="00A44A2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A44A2F" w:rsidRDefault="00A44A2F" w:rsidP="002371C8">
      <w:pPr>
        <w:pStyle w:val="CommentText"/>
      </w:pPr>
    </w:p>
  </w:comment>
  <w:comment w:id="13" w:author="Nicholas Patrick Moran [2]" w:date="2022-05-18T15:33:00Z" w:initials="NPM">
    <w:p w14:paraId="7C07DDCF" w14:textId="54D549AE" w:rsidR="00A44A2F" w:rsidRDefault="00A44A2F">
      <w:pPr>
        <w:pStyle w:val="CommentText"/>
      </w:pPr>
      <w:r>
        <w:rPr>
          <w:rStyle w:val="CommentReference"/>
        </w:rPr>
        <w:annotationRef/>
      </w:r>
    </w:p>
  </w:comment>
  <w:comment w:id="14" w:author="Nicholas Patrick Moran [2]"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000000" w:rsidP="007B136C">
      <w:pPr>
        <w:shd w:val="clear" w:color="auto" w:fill="FFFFFF"/>
        <w:rPr>
          <w:rFonts w:ascii="icomoon" w:hAnsi="icomoon"/>
          <w:color w:val="8B8B8B"/>
          <w:sz w:val="21"/>
          <w:szCs w:val="21"/>
        </w:rPr>
      </w:pPr>
      <w:hyperlink r:id="rId3"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4"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000000" w:rsidP="007B136C">
      <w:pPr>
        <w:shd w:val="clear" w:color="auto" w:fill="FFFFFF"/>
        <w:rPr>
          <w:rFonts w:ascii="icomoon" w:hAnsi="icomoon"/>
          <w:color w:val="767676"/>
          <w:sz w:val="21"/>
          <w:szCs w:val="21"/>
        </w:rPr>
      </w:pPr>
      <w:hyperlink r:id="rId5"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6"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5"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6" w:author="Nicholas Patrick Moran [2]"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237F7" w15:done="0"/>
  <w15:commentEx w15:paraId="10FF47ED" w15:done="0"/>
  <w15:commentEx w15:paraId="43A650C8" w15:done="0"/>
  <w15:commentEx w15:paraId="59F7F6F6" w15:done="0"/>
  <w15:commentEx w15:paraId="17C22346" w15:done="0"/>
  <w15:commentEx w15:paraId="106C2CF6" w15:done="0"/>
  <w15:commentEx w15:paraId="10939184" w15:done="0"/>
  <w15:commentEx w15:paraId="2C295F53" w15:done="0"/>
  <w15:commentEx w15:paraId="6977EE7D" w15:done="0"/>
  <w15:commentEx w15:paraId="650F3BC0" w15:done="0"/>
  <w15:commentEx w15:paraId="47CBB0EB" w15:done="0"/>
  <w15:commentEx w15:paraId="6C4EFAB0" w15:done="0"/>
  <w15:commentEx w15:paraId="19212B7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CC00" w16cex:dateUtc="2022-08-15T11:43:00Z"/>
  <w16cex:commentExtensible w16cex:durableId="26A4CB7E" w16cex:dateUtc="2022-08-15T11:41:00Z"/>
  <w16cex:commentExtensible w16cex:durableId="26A4CB71" w16cex:dateUtc="2022-08-15T11:41:00Z"/>
  <w16cex:commentExtensible w16cex:durableId="24242C6E" w16cex:dateUtc="2021-04-16T13:31:00Z"/>
  <w16cex:commentExtensible w16cex:durableId="24242C5B"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237F7" w16cid:durableId="26A4CC00"/>
  <w16cid:commentId w16cid:paraId="10FF47ED" w16cid:durableId="26A4CB7E"/>
  <w16cid:commentId w16cid:paraId="43A650C8" w16cid:durableId="26A4CB71"/>
  <w16cid:commentId w16cid:paraId="59F7F6F6" w16cid:durableId="26A0A66A"/>
  <w16cid:commentId w16cid:paraId="17C22346" w16cid:durableId="24242C6E"/>
  <w16cid:commentId w16cid:paraId="106C2CF6" w16cid:durableId="26A0A66C"/>
  <w16cid:commentId w16cid:paraId="10939184" w16cid:durableId="26A0A66D"/>
  <w16cid:commentId w16cid:paraId="2C295F53" w16cid:durableId="26A0A66E"/>
  <w16cid:commentId w16cid:paraId="6977EE7D" w16cid:durableId="26A0A66F"/>
  <w16cid:commentId w16cid:paraId="650F3BC0" w16cid:durableId="26A0A670"/>
  <w16cid:commentId w16cid:paraId="47CBB0EB" w16cid:durableId="26A0A671"/>
  <w16cid:commentId w16cid:paraId="6C4EFAB0" w16cid:durableId="26A0A672"/>
  <w16cid:commentId w16cid:paraId="19212B70" w16cid:durableId="24242C5B"/>
  <w16cid:commentId w16cid:paraId="7C07DDCF" w16cid:durableId="26A0A674"/>
  <w16cid:commentId w16cid:paraId="56212A37" w16cid:durableId="26A0A675"/>
  <w16cid:commentId w16cid:paraId="2FBE4E51" w16cid:durableId="26A0A676"/>
  <w16cid:commentId w16cid:paraId="22F2F5A2" w16cid:durableId="26A0A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B4FC" w14:textId="77777777" w:rsidR="00B525EF" w:rsidRDefault="00B525EF" w:rsidP="002371C8">
      <w:r>
        <w:separator/>
      </w:r>
    </w:p>
  </w:endnote>
  <w:endnote w:type="continuationSeparator" w:id="0">
    <w:p w14:paraId="2FDEE1AB" w14:textId="77777777" w:rsidR="00B525EF" w:rsidRDefault="00B525EF"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3C9D" w14:textId="77777777" w:rsidR="00B525EF" w:rsidRDefault="00B525EF" w:rsidP="002371C8">
      <w:r>
        <w:separator/>
      </w:r>
    </w:p>
  </w:footnote>
  <w:footnote w:type="continuationSeparator" w:id="0">
    <w:p w14:paraId="0D083688" w14:textId="77777777" w:rsidR="00B525EF" w:rsidRDefault="00B525EF"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08788436">
    <w:abstractNumId w:val="12"/>
  </w:num>
  <w:num w:numId="2" w16cid:durableId="1188179781">
    <w:abstractNumId w:val="10"/>
    <w:lvlOverride w:ilvl="0">
      <w:lvl w:ilvl="0">
        <w:numFmt w:val="decimal"/>
        <w:lvlText w:val="%1."/>
        <w:lvlJc w:val="left"/>
      </w:lvl>
    </w:lvlOverride>
  </w:num>
  <w:num w:numId="3" w16cid:durableId="870534633">
    <w:abstractNumId w:val="4"/>
  </w:num>
  <w:num w:numId="4" w16cid:durableId="143204770">
    <w:abstractNumId w:val="2"/>
  </w:num>
  <w:num w:numId="5" w16cid:durableId="757360430">
    <w:abstractNumId w:val="17"/>
    <w:lvlOverride w:ilvl="0">
      <w:lvl w:ilvl="0">
        <w:numFmt w:val="decimal"/>
        <w:lvlText w:val="%1."/>
        <w:lvlJc w:val="left"/>
      </w:lvl>
    </w:lvlOverride>
  </w:num>
  <w:num w:numId="6" w16cid:durableId="1514608169">
    <w:abstractNumId w:val="16"/>
    <w:lvlOverride w:ilvl="0">
      <w:lvl w:ilvl="0">
        <w:numFmt w:val="decimal"/>
        <w:lvlText w:val="%1."/>
        <w:lvlJc w:val="left"/>
      </w:lvl>
    </w:lvlOverride>
  </w:num>
  <w:num w:numId="7" w16cid:durableId="1889409631">
    <w:abstractNumId w:val="7"/>
  </w:num>
  <w:num w:numId="8" w16cid:durableId="1464956126">
    <w:abstractNumId w:val="15"/>
  </w:num>
  <w:num w:numId="9" w16cid:durableId="219948095">
    <w:abstractNumId w:val="8"/>
  </w:num>
  <w:num w:numId="10" w16cid:durableId="734082146">
    <w:abstractNumId w:val="14"/>
  </w:num>
  <w:num w:numId="11" w16cid:durableId="579829258">
    <w:abstractNumId w:val="20"/>
  </w:num>
  <w:num w:numId="12" w16cid:durableId="930431289">
    <w:abstractNumId w:val="18"/>
  </w:num>
  <w:num w:numId="13" w16cid:durableId="1766222966">
    <w:abstractNumId w:val="6"/>
  </w:num>
  <w:num w:numId="14" w16cid:durableId="635530744">
    <w:abstractNumId w:val="13"/>
  </w:num>
  <w:num w:numId="15" w16cid:durableId="36243899">
    <w:abstractNumId w:val="9"/>
  </w:num>
  <w:num w:numId="16" w16cid:durableId="1629508329">
    <w:abstractNumId w:val="5"/>
  </w:num>
  <w:num w:numId="17" w16cid:durableId="1786458221">
    <w:abstractNumId w:val="0"/>
  </w:num>
  <w:num w:numId="18" w16cid:durableId="114105684">
    <w:abstractNumId w:val="11"/>
  </w:num>
  <w:num w:numId="19" w16cid:durableId="1906331330">
    <w:abstractNumId w:val="3"/>
  </w:num>
  <w:num w:numId="20" w16cid:durableId="1299412927">
    <w:abstractNumId w:val="19"/>
  </w:num>
  <w:num w:numId="21" w16cid:durableId="5885821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Patrick Moran">
    <w15:presenceInfo w15:providerId="None" w15:userId="Nicholas Patrick Moran"/>
  </w15:person>
  <w15:person w15:author="Nicholas Patrick Moran [2]">
    <w15:presenceInfo w15:providerId="AD" w15:userId="S-1-5-21-4207196655-1284807994-987816898-10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0513A"/>
    <w:rsid w:val="00010A58"/>
    <w:rsid w:val="0002722B"/>
    <w:rsid w:val="000564EC"/>
    <w:rsid w:val="00060257"/>
    <w:rsid w:val="0007197D"/>
    <w:rsid w:val="00074315"/>
    <w:rsid w:val="0007722A"/>
    <w:rsid w:val="00095E41"/>
    <w:rsid w:val="00096FC3"/>
    <w:rsid w:val="000A2AB5"/>
    <w:rsid w:val="000B01F0"/>
    <w:rsid w:val="000C2777"/>
    <w:rsid w:val="000E6830"/>
    <w:rsid w:val="000E704D"/>
    <w:rsid w:val="000F1A48"/>
    <w:rsid w:val="0010375A"/>
    <w:rsid w:val="001052B9"/>
    <w:rsid w:val="00110979"/>
    <w:rsid w:val="001139FA"/>
    <w:rsid w:val="00120133"/>
    <w:rsid w:val="00131294"/>
    <w:rsid w:val="0014313F"/>
    <w:rsid w:val="00147569"/>
    <w:rsid w:val="00170B6E"/>
    <w:rsid w:val="00171491"/>
    <w:rsid w:val="00175402"/>
    <w:rsid w:val="00186509"/>
    <w:rsid w:val="001B003E"/>
    <w:rsid w:val="001B1A0D"/>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F491B"/>
    <w:rsid w:val="002F5C14"/>
    <w:rsid w:val="00300DE6"/>
    <w:rsid w:val="003043C0"/>
    <w:rsid w:val="003058F9"/>
    <w:rsid w:val="00305FBA"/>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47F"/>
    <w:rsid w:val="0044465E"/>
    <w:rsid w:val="004472AB"/>
    <w:rsid w:val="00450A4D"/>
    <w:rsid w:val="00463E81"/>
    <w:rsid w:val="00467C3C"/>
    <w:rsid w:val="00471DD4"/>
    <w:rsid w:val="00473043"/>
    <w:rsid w:val="00496186"/>
    <w:rsid w:val="004A2031"/>
    <w:rsid w:val="004A5CE3"/>
    <w:rsid w:val="004B21F8"/>
    <w:rsid w:val="004B221B"/>
    <w:rsid w:val="004F42AD"/>
    <w:rsid w:val="004F555F"/>
    <w:rsid w:val="004F62AD"/>
    <w:rsid w:val="00510381"/>
    <w:rsid w:val="00520FC1"/>
    <w:rsid w:val="00535396"/>
    <w:rsid w:val="00552D36"/>
    <w:rsid w:val="00555D26"/>
    <w:rsid w:val="00567FC4"/>
    <w:rsid w:val="005761BA"/>
    <w:rsid w:val="00581E2E"/>
    <w:rsid w:val="00582D30"/>
    <w:rsid w:val="00585717"/>
    <w:rsid w:val="005A79FF"/>
    <w:rsid w:val="005D01F0"/>
    <w:rsid w:val="00600EA3"/>
    <w:rsid w:val="00607A47"/>
    <w:rsid w:val="00625A40"/>
    <w:rsid w:val="00633AAE"/>
    <w:rsid w:val="00636462"/>
    <w:rsid w:val="00645D17"/>
    <w:rsid w:val="006542A8"/>
    <w:rsid w:val="0066346D"/>
    <w:rsid w:val="0068403D"/>
    <w:rsid w:val="00690426"/>
    <w:rsid w:val="0069369E"/>
    <w:rsid w:val="006B35D9"/>
    <w:rsid w:val="006B4535"/>
    <w:rsid w:val="006B792E"/>
    <w:rsid w:val="006C6D94"/>
    <w:rsid w:val="006E0177"/>
    <w:rsid w:val="006E3BBF"/>
    <w:rsid w:val="007036F8"/>
    <w:rsid w:val="00715FB4"/>
    <w:rsid w:val="00717A2E"/>
    <w:rsid w:val="0072456D"/>
    <w:rsid w:val="00727028"/>
    <w:rsid w:val="00727819"/>
    <w:rsid w:val="0073050C"/>
    <w:rsid w:val="007335D1"/>
    <w:rsid w:val="0073697C"/>
    <w:rsid w:val="007418DE"/>
    <w:rsid w:val="007715F6"/>
    <w:rsid w:val="007848F7"/>
    <w:rsid w:val="00794032"/>
    <w:rsid w:val="00794E67"/>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63428"/>
    <w:rsid w:val="00872CEF"/>
    <w:rsid w:val="008952AB"/>
    <w:rsid w:val="008B1465"/>
    <w:rsid w:val="008B303A"/>
    <w:rsid w:val="008B40F4"/>
    <w:rsid w:val="008B5394"/>
    <w:rsid w:val="008C3BC3"/>
    <w:rsid w:val="008E042F"/>
    <w:rsid w:val="008F256B"/>
    <w:rsid w:val="008F627B"/>
    <w:rsid w:val="00903E64"/>
    <w:rsid w:val="0091009E"/>
    <w:rsid w:val="009153E7"/>
    <w:rsid w:val="00917B89"/>
    <w:rsid w:val="00920F98"/>
    <w:rsid w:val="0092334C"/>
    <w:rsid w:val="0092622B"/>
    <w:rsid w:val="00943545"/>
    <w:rsid w:val="009456E7"/>
    <w:rsid w:val="00955D57"/>
    <w:rsid w:val="00961A5D"/>
    <w:rsid w:val="00971EF7"/>
    <w:rsid w:val="009728E6"/>
    <w:rsid w:val="0097725F"/>
    <w:rsid w:val="00992FE3"/>
    <w:rsid w:val="009A15EC"/>
    <w:rsid w:val="009A66EC"/>
    <w:rsid w:val="009A6FD4"/>
    <w:rsid w:val="009B5110"/>
    <w:rsid w:val="009C0053"/>
    <w:rsid w:val="009C02FC"/>
    <w:rsid w:val="009C1DE4"/>
    <w:rsid w:val="009C6C12"/>
    <w:rsid w:val="009D5023"/>
    <w:rsid w:val="009D56BC"/>
    <w:rsid w:val="009D5FC0"/>
    <w:rsid w:val="009E2694"/>
    <w:rsid w:val="009E69E2"/>
    <w:rsid w:val="009F7DD8"/>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7E26"/>
    <w:rsid w:val="00AC2CA0"/>
    <w:rsid w:val="00AF2FA8"/>
    <w:rsid w:val="00AF3B61"/>
    <w:rsid w:val="00B253D2"/>
    <w:rsid w:val="00B300D7"/>
    <w:rsid w:val="00B44EE6"/>
    <w:rsid w:val="00B525EF"/>
    <w:rsid w:val="00B7229D"/>
    <w:rsid w:val="00B731F8"/>
    <w:rsid w:val="00B73D25"/>
    <w:rsid w:val="00B87FB7"/>
    <w:rsid w:val="00B930AF"/>
    <w:rsid w:val="00BA0A78"/>
    <w:rsid w:val="00BA1396"/>
    <w:rsid w:val="00BA758D"/>
    <w:rsid w:val="00BB1384"/>
    <w:rsid w:val="00BB246B"/>
    <w:rsid w:val="00BB4C53"/>
    <w:rsid w:val="00BE6111"/>
    <w:rsid w:val="00C0669B"/>
    <w:rsid w:val="00C20BE5"/>
    <w:rsid w:val="00C23846"/>
    <w:rsid w:val="00C25DE4"/>
    <w:rsid w:val="00C635B8"/>
    <w:rsid w:val="00C658CC"/>
    <w:rsid w:val="00C77D49"/>
    <w:rsid w:val="00C947F2"/>
    <w:rsid w:val="00CA007C"/>
    <w:rsid w:val="00CA13E0"/>
    <w:rsid w:val="00CB1D5D"/>
    <w:rsid w:val="00CB3616"/>
    <w:rsid w:val="00CB49EB"/>
    <w:rsid w:val="00CC27CD"/>
    <w:rsid w:val="00CC2F21"/>
    <w:rsid w:val="00CD426B"/>
    <w:rsid w:val="00CD5AB0"/>
    <w:rsid w:val="00CD7667"/>
    <w:rsid w:val="00D04675"/>
    <w:rsid w:val="00D07087"/>
    <w:rsid w:val="00D20661"/>
    <w:rsid w:val="00D36698"/>
    <w:rsid w:val="00D40DC4"/>
    <w:rsid w:val="00D41E4E"/>
    <w:rsid w:val="00D677A3"/>
    <w:rsid w:val="00D74E62"/>
    <w:rsid w:val="00D76465"/>
    <w:rsid w:val="00D81BD6"/>
    <w:rsid w:val="00D824D6"/>
    <w:rsid w:val="00D84F0D"/>
    <w:rsid w:val="00D86E72"/>
    <w:rsid w:val="00D92A56"/>
    <w:rsid w:val="00DA3C32"/>
    <w:rsid w:val="00DA3D22"/>
    <w:rsid w:val="00DA56BE"/>
    <w:rsid w:val="00DB6E4D"/>
    <w:rsid w:val="00DB73B0"/>
    <w:rsid w:val="00DC00B2"/>
    <w:rsid w:val="00E05137"/>
    <w:rsid w:val="00E069B7"/>
    <w:rsid w:val="00E1017C"/>
    <w:rsid w:val="00E112BA"/>
    <w:rsid w:val="00E71251"/>
    <w:rsid w:val="00E80ABB"/>
    <w:rsid w:val="00EB6F46"/>
    <w:rsid w:val="00EC300F"/>
    <w:rsid w:val="00EC4A7E"/>
    <w:rsid w:val="00EC57AC"/>
    <w:rsid w:val="00EE48A6"/>
    <w:rsid w:val="00EE7E83"/>
    <w:rsid w:val="00F110AC"/>
    <w:rsid w:val="00F21FAA"/>
    <w:rsid w:val="00F31610"/>
    <w:rsid w:val="00F36761"/>
    <w:rsid w:val="00F436D3"/>
    <w:rsid w:val="00F45A19"/>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 w:type="character" w:styleId="UnresolvedMention">
    <w:name w:val="Unresolved Mention"/>
    <w:basedOn w:val="DefaultParagraphFont"/>
    <w:uiPriority w:val="99"/>
    <w:semiHidden/>
    <w:unhideWhenUsed/>
    <w:rsid w:val="004B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Dingemanse%2C+Niels+J" TargetMode="External"/><Relationship Id="rId2" Type="http://schemas.openxmlformats.org/officeDocument/2006/relationships/image" Target="media/image1.png"/><Relationship Id="rId1" Type="http://schemas.openxmlformats.org/officeDocument/2006/relationships/hyperlink" Target="https://doi.org/10.1146/annurev-ecolsys-102220-011451" TargetMode="External"/><Relationship Id="rId6" Type="http://schemas.openxmlformats.org/officeDocument/2006/relationships/hyperlink" Target="https://onlinelibrary.wiley.com/doi/full/10.1111/eth.13082" TargetMode="External"/><Relationship Id="rId5" Type="http://schemas.openxmlformats.org/officeDocument/2006/relationships/hyperlink" Target="https://doi.org/10.1111/eth.13082" TargetMode="External"/><Relationship Id="rId4" Type="http://schemas.openxmlformats.org/officeDocument/2006/relationships/hyperlink" Target="https://onlinelibrary.wiley.com/action/doSearch?ContribAuthorRaw=Wright%2C+Jonath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3tph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0759511220005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5122F-EA3D-4D78-9704-F6C82BEF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9843</TotalTime>
  <Pages>21</Pages>
  <Words>22650</Words>
  <Characters>129105</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56</cp:revision>
  <dcterms:created xsi:type="dcterms:W3CDTF">2021-03-25T14:28:00Z</dcterms:created>
  <dcterms:modified xsi:type="dcterms:W3CDTF">2022-08-25T07:58:00Z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id="N4nrbMkI"/&gt;&lt;style id="http://www.zotero.org/styles/frontiers-in-ecology-and-evolution" hasBibliography="1" bibliographyStyleHasBeenSet="1"/&gt;&lt;prefs&gt;&lt;pref name="fieldType" value="Field"/&gt;&lt;/prefs&gt;</vt:lpwstr>
  </property>
  <property fmtid="{D5CDD505-2E9C-101B-9397-08002B2CF9AE}" pid="3" name="ZOTERO_PREF_2">
    <vt:lpwstr>&lt;/data&gt;</vt:lpwstr>
  </property>
</Properties>
</file>