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45" w:rsidRDefault="00E135AA" w:rsidP="00E135AA">
      <w:pPr>
        <w:jc w:val="center"/>
      </w:pPr>
      <w:r>
        <w:t>OpenGL Notes</w:t>
      </w:r>
    </w:p>
    <w:p w:rsidR="002827EF" w:rsidRDefault="002827EF" w:rsidP="00E135AA">
      <w:pPr>
        <w:jc w:val="center"/>
      </w:pPr>
    </w:p>
    <w:p w:rsidR="002827EF" w:rsidRPr="002827EF" w:rsidRDefault="002827EF" w:rsidP="002827EF">
      <w:pPr>
        <w:jc w:val="center"/>
        <w:rPr>
          <w:sz w:val="40"/>
          <w:szCs w:val="40"/>
        </w:rPr>
      </w:pPr>
    </w:p>
    <w:p w:rsid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sz w:val="40"/>
          <w:szCs w:val="40"/>
          <w:lang w:eastAsia="en-GB"/>
        </w:rPr>
      </w:pPr>
      <w:r w:rsidRPr="002827EF">
        <w:rPr>
          <w:rFonts w:ascii="Arial" w:eastAsia="Times New Roman" w:hAnsi="Arial" w:cs="Arial"/>
          <w:bCs/>
          <w:color w:val="303236"/>
          <w:kern w:val="36"/>
          <w:sz w:val="40"/>
          <w:szCs w:val="40"/>
          <w:lang w:eastAsia="en-GB"/>
        </w:rPr>
        <w:t>Depth testing</w:t>
      </w:r>
    </w:p>
    <w:p w:rsid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sz w:val="40"/>
          <w:szCs w:val="40"/>
          <w:lang w:eastAsia="en-GB"/>
        </w:rPr>
      </w:pPr>
    </w:p>
    <w:p w:rsid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lang w:eastAsia="en-GB"/>
        </w:rPr>
      </w:pPr>
      <w:r>
        <w:rPr>
          <w:rFonts w:ascii="Arial" w:eastAsia="Times New Roman" w:hAnsi="Arial" w:cs="Arial"/>
          <w:bCs/>
          <w:color w:val="303236"/>
          <w:kern w:val="36"/>
          <w:lang w:eastAsia="en-GB"/>
        </w:rPr>
        <w:t>The depth buffer is automatically created by the windowing system and stores depth values as 16,24 or 32 bits with the default in most systems being 24 bits.</w:t>
      </w:r>
    </w:p>
    <w:p w:rsid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lang w:eastAsia="en-GB"/>
        </w:rPr>
      </w:pPr>
    </w:p>
    <w:p w:rsidR="002827EF" w:rsidRPr="002827EF" w:rsidRDefault="002827EF" w:rsidP="002827EF">
      <w:pPr>
        <w:spacing w:before="100" w:beforeAutospacing="1" w:after="0" w:line="240" w:lineRule="auto"/>
        <w:outlineLvl w:val="0"/>
        <w:rPr>
          <w:rFonts w:ascii="Arial" w:eastAsia="Times New Roman" w:hAnsi="Arial" w:cs="Arial"/>
          <w:bCs/>
          <w:color w:val="303236"/>
          <w:kern w:val="36"/>
          <w:lang w:eastAsia="en-GB"/>
        </w:rPr>
      </w:pPr>
      <w:r>
        <w:rPr>
          <w:rFonts w:ascii="Arial" w:eastAsia="Times New Roman" w:hAnsi="Arial" w:cs="Arial"/>
          <w:bCs/>
          <w:color w:val="303236"/>
          <w:kern w:val="36"/>
          <w:lang w:eastAsia="en-GB"/>
        </w:rPr>
        <w:t xml:space="preserve">Done in screen space. </w:t>
      </w:r>
    </w:p>
    <w:p w:rsidR="002827EF" w:rsidRDefault="002827EF" w:rsidP="002827EF">
      <w:pPr>
        <w:shd w:val="clear" w:color="auto" w:fill="FFFFFF" w:themeFill="background1"/>
        <w:rPr>
          <w:rFonts w:ascii="Arial" w:hAnsi="Arial" w:cs="Arial"/>
          <w:color w:val="111111"/>
          <w:shd w:val="clear" w:color="auto" w:fill="EEEEEE"/>
        </w:rPr>
      </w:pPr>
      <w:r>
        <w:rPr>
          <w:noProof/>
        </w:rPr>
        <w:drawing>
          <wp:inline distT="0" distB="0" distL="0" distR="0">
            <wp:extent cx="5731510" cy="2822575"/>
            <wp:effectExtent l="0" t="0" r="0" b="0"/>
            <wp:docPr id="1" name="Picture 1" descr="https://learnopengl.com/img/getting-started/coordinate_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opengl.com/img/getting-started/coordinate_syste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7EF" w:rsidRDefault="002827EF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The Screen space coordinates relate directly to the </w:t>
      </w:r>
      <w:proofErr w:type="spellStart"/>
      <w:r>
        <w:rPr>
          <w:rFonts w:ascii="Arial" w:hAnsi="Arial" w:cs="Arial"/>
        </w:rPr>
        <w:t>Opengl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glViewport</w:t>
      </w:r>
      <w:proofErr w:type="spellEnd"/>
      <w:r>
        <w:rPr>
          <w:rFonts w:ascii="Arial" w:hAnsi="Arial" w:cs="Arial"/>
        </w:rPr>
        <w:t xml:space="preserve"> function and can be accessed via GLSL’s built-in </w:t>
      </w:r>
      <w:proofErr w:type="spellStart"/>
      <w:r>
        <w:rPr>
          <w:rFonts w:ascii="Arial" w:hAnsi="Arial" w:cs="Arial"/>
        </w:rPr>
        <w:t>gl_FragCoords</w:t>
      </w:r>
      <w:proofErr w:type="spellEnd"/>
      <w:r>
        <w:rPr>
          <w:rFonts w:ascii="Arial" w:hAnsi="Arial" w:cs="Arial"/>
        </w:rPr>
        <w:t xml:space="preserve"> variable in the fragment shader.</w:t>
      </w:r>
    </w:p>
    <w:p w:rsidR="002827EF" w:rsidRDefault="002827EF" w:rsidP="002827EF">
      <w:pPr>
        <w:shd w:val="clear" w:color="auto" w:fill="FFFFFF" w:themeFill="background1"/>
        <w:rPr>
          <w:rFonts w:ascii="Arial" w:hAnsi="Arial" w:cs="Arial"/>
        </w:rPr>
      </w:pPr>
    </w:p>
    <w:p w:rsidR="002827EF" w:rsidRDefault="002827EF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Early depth testing allows the depth test to run before the fragment shader. Due to fragment shading being expensive, so they should be avoided when possible.</w:t>
      </w:r>
      <w:r w:rsidR="004F5EAA">
        <w:rPr>
          <w:rFonts w:ascii="Arial" w:hAnsi="Arial" w:cs="Arial"/>
        </w:rPr>
        <w:t xml:space="preserve"> If a fragment shader would write to its depth value, early depth testing is impossible, </w:t>
      </w:r>
      <w:proofErr w:type="spellStart"/>
      <w:r w:rsidR="004F5EAA">
        <w:rPr>
          <w:rFonts w:ascii="Arial" w:hAnsi="Arial" w:cs="Arial"/>
        </w:rPr>
        <w:t>OpenGl</w:t>
      </w:r>
      <w:proofErr w:type="spellEnd"/>
      <w:r w:rsidR="004F5EAA">
        <w:rPr>
          <w:rFonts w:ascii="Arial" w:hAnsi="Arial" w:cs="Arial"/>
        </w:rPr>
        <w:t xml:space="preserve"> </w:t>
      </w:r>
      <w:proofErr w:type="spellStart"/>
      <w:proofErr w:type="gramStart"/>
      <w:r w:rsidR="004F5EAA">
        <w:rPr>
          <w:rFonts w:ascii="Arial" w:hAnsi="Arial" w:cs="Arial"/>
        </w:rPr>
        <w:t>cant</w:t>
      </w:r>
      <w:proofErr w:type="spellEnd"/>
      <w:proofErr w:type="gramEnd"/>
      <w:r w:rsidR="004F5EAA">
        <w:rPr>
          <w:rFonts w:ascii="Arial" w:hAnsi="Arial" w:cs="Arial"/>
        </w:rPr>
        <w:t xml:space="preserve"> figure out the depth value beforehand.</w:t>
      </w: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Default depth value precision is very linear</w:t>
      </w: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000625" cy="2990850"/>
            <wp:effectExtent l="0" t="0" r="9525" b="0"/>
            <wp:docPr id="2" name="Picture 2" descr="Graph of depth values in OpenGL as a 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of depth values in OpenGL as a linear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</w:p>
    <w:p w:rsidR="004F5EAA" w:rsidRDefault="004F5EAA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FA0F12">
        <w:rPr>
          <w:rFonts w:ascii="Arial" w:hAnsi="Arial" w:cs="Arial"/>
        </w:rPr>
        <w:t>practice</w:t>
      </w:r>
      <w:r>
        <w:rPr>
          <w:rFonts w:ascii="Arial" w:hAnsi="Arial" w:cs="Arial"/>
        </w:rPr>
        <w:t xml:space="preserve"> a linear depth buffer would never be used as it would give enormous precision to objects that are far away</w:t>
      </w:r>
      <w:r w:rsidR="00402BBA">
        <w:rPr>
          <w:rFonts w:ascii="Arial" w:hAnsi="Arial" w:cs="Arial"/>
        </w:rPr>
        <w:t xml:space="preserve">. A </w:t>
      </w:r>
      <w:proofErr w:type="gramStart"/>
      <w:r w:rsidR="00402BBA">
        <w:rPr>
          <w:rFonts w:ascii="Arial" w:hAnsi="Arial" w:cs="Arial"/>
        </w:rPr>
        <w:t>non Linear</w:t>
      </w:r>
      <w:proofErr w:type="gramEnd"/>
      <w:r w:rsidR="00402BBA">
        <w:rPr>
          <w:rFonts w:ascii="Arial" w:hAnsi="Arial" w:cs="Arial"/>
        </w:rPr>
        <w:t xml:space="preserve"> depth buffer would be way more suitable</w:t>
      </w:r>
      <w:r w:rsidR="00402BBA">
        <w:rPr>
          <w:noProof/>
        </w:rPr>
        <w:drawing>
          <wp:inline distT="0" distB="0" distL="0" distR="0">
            <wp:extent cx="5000625" cy="2962275"/>
            <wp:effectExtent l="0" t="0" r="9525" b="9525"/>
            <wp:docPr id="3" name="Picture 3" descr="Graph of depth values in OpenGL as a non-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 of depth values in OpenGL as a non-linear fun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BA" w:rsidRDefault="00402BBA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It would give great precision when z is close and much less when its not </w:t>
      </w:r>
    </w:p>
    <w:p w:rsidR="00FC06E8" w:rsidRDefault="00FC06E8" w:rsidP="002827EF">
      <w:pPr>
        <w:shd w:val="clear" w:color="auto" w:fill="FFFFFF" w:themeFill="background1"/>
        <w:rPr>
          <w:rFonts w:ascii="Arial" w:hAnsi="Arial" w:cs="Arial"/>
        </w:rPr>
      </w:pPr>
    </w:p>
    <w:p w:rsidR="00FC06E8" w:rsidRDefault="00FC06E8" w:rsidP="002827EF">
      <w:pPr>
        <w:shd w:val="clear" w:color="auto" w:fill="FFFFFF" w:themeFill="background1"/>
        <w:rPr>
          <w:rFonts w:ascii="Arial" w:hAnsi="Arial" w:cs="Arial"/>
        </w:rPr>
      </w:pPr>
    </w:p>
    <w:p w:rsidR="00FC06E8" w:rsidRDefault="00FC06E8" w:rsidP="002827EF">
      <w:pPr>
        <w:shd w:val="clear" w:color="auto" w:fill="FFFFFF" w:themeFill="background1"/>
        <w:rPr>
          <w:rFonts w:ascii="Arial" w:hAnsi="Arial" w:cs="Arial"/>
        </w:rPr>
      </w:pPr>
    </w:p>
    <w:p w:rsidR="00FC06E8" w:rsidRDefault="00FC06E8" w:rsidP="002827EF">
      <w:pPr>
        <w:shd w:val="clear" w:color="auto" w:fill="FFFFFF" w:themeFill="background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Cubemaps</w:t>
      </w:r>
      <w:proofErr w:type="spellEnd"/>
    </w:p>
    <w:p w:rsidR="00FC06E8" w:rsidRDefault="00FC06E8" w:rsidP="002827EF">
      <w:pPr>
        <w:shd w:val="clear" w:color="auto" w:fill="FFFFFF" w:themeFill="background1"/>
        <w:rPr>
          <w:rFonts w:ascii="Arial" w:hAnsi="Arial" w:cs="Arial"/>
        </w:rPr>
      </w:pPr>
    </w:p>
    <w:p w:rsidR="00FC06E8" w:rsidRDefault="00FC06E8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A texture that contains 6 individual 2D textures that each form </w:t>
      </w:r>
    </w:p>
    <w:p w:rsidR="00FC06E8" w:rsidRDefault="00FC06E8" w:rsidP="002827EF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one side of a cube.</w:t>
      </w:r>
    </w:p>
    <w:p w:rsidR="00FC06E8" w:rsidRDefault="00FC06E8" w:rsidP="002827EF">
      <w:pPr>
        <w:shd w:val="clear" w:color="auto" w:fill="FFFFFF" w:themeFill="background1"/>
        <w:rPr>
          <w:rFonts w:ascii="Arial" w:hAnsi="Arial" w:cs="Arial"/>
        </w:rPr>
      </w:pPr>
    </w:p>
    <w:p w:rsidR="00FC06E8" w:rsidRPr="00FC06E8" w:rsidRDefault="00FC06E8" w:rsidP="00FC06E8">
      <w:pPr>
        <w:shd w:val="clear" w:color="auto" w:fill="EEEEEE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Because a </w:t>
      </w:r>
      <w:proofErr w:type="spellStart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cubemap</w:t>
      </w:r>
      <w:proofErr w:type="spellEnd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consists of 6 textures, one for each face, we </w:t>
      </w:r>
      <w:proofErr w:type="gramStart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have to</w:t>
      </w:r>
      <w:proofErr w:type="gramEnd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call glTexImage2D six times with their parameters set to values similar to the previous tutorials. This time however, we </w:t>
      </w:r>
      <w:proofErr w:type="gramStart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have to</w:t>
      </w:r>
      <w:proofErr w:type="gramEnd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set the texture </w:t>
      </w:r>
      <w:r w:rsidRPr="00FC06E8">
        <w:rPr>
          <w:rFonts w:ascii="Arial" w:eastAsia="Times New Roman" w:hAnsi="Arial" w:cs="Arial"/>
          <w:i/>
          <w:iCs/>
          <w:color w:val="111111"/>
          <w:sz w:val="24"/>
          <w:szCs w:val="24"/>
          <w:lang w:eastAsia="en-GB"/>
        </w:rPr>
        <w:t>target</w:t>
      </w:r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 parameter to a specific face of the </w:t>
      </w:r>
      <w:proofErr w:type="spellStart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cubemap</w:t>
      </w:r>
      <w:proofErr w:type="spellEnd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, basically telling OpenGL which side of the </w:t>
      </w:r>
      <w:proofErr w:type="spellStart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cubemap</w:t>
      </w:r>
      <w:proofErr w:type="spellEnd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we're creating a texture for. This means we </w:t>
      </w:r>
      <w:proofErr w:type="gramStart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have to</w:t>
      </w:r>
      <w:proofErr w:type="gramEnd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call glTexImage2D once for each face of the </w:t>
      </w:r>
      <w:proofErr w:type="spellStart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cubemap</w:t>
      </w:r>
      <w:proofErr w:type="spellEnd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.</w:t>
      </w:r>
    </w:p>
    <w:p w:rsidR="00FC06E8" w:rsidRPr="00FC06E8" w:rsidRDefault="00FC06E8" w:rsidP="00FC06E8">
      <w:pPr>
        <w:shd w:val="clear" w:color="auto" w:fill="EEEEEE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Since we have 6 faces OpenGL provides us with 6 special texture targets specifically for targeting a face of the </w:t>
      </w:r>
      <w:proofErr w:type="spellStart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cubemap</w:t>
      </w:r>
      <w:proofErr w:type="spellEnd"/>
      <w:r w:rsidRPr="00FC06E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:</w:t>
      </w:r>
    </w:p>
    <w:tbl>
      <w:tblPr>
        <w:tblW w:w="0" w:type="auto"/>
        <w:tblBorders>
          <w:top w:val="single" w:sz="6" w:space="0" w:color="AAAAAA"/>
          <w:bottom w:val="single" w:sz="6" w:space="0" w:color="AAAAAA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461"/>
      </w:tblGrid>
      <w:tr w:rsidR="00FC06E8" w:rsidRPr="00FC06E8" w:rsidTr="00FC06E8">
        <w:tc>
          <w:tcPr>
            <w:tcW w:w="0" w:type="auto"/>
            <w:tcBorders>
              <w:bottom w:val="single" w:sz="12" w:space="0" w:color="888888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en-GB"/>
              </w:rPr>
              <w:t>Texture target</w:t>
            </w:r>
          </w:p>
        </w:tc>
        <w:tc>
          <w:tcPr>
            <w:tcW w:w="0" w:type="auto"/>
            <w:tcBorders>
              <w:bottom w:val="single" w:sz="12" w:space="0" w:color="888888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en-GB"/>
              </w:rPr>
              <w:t>Orientation</w:t>
            </w:r>
          </w:p>
        </w:tc>
      </w:tr>
      <w:tr w:rsidR="00FC06E8" w:rsidRPr="00FC06E8" w:rsidTr="00FC06E8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GB"/>
              </w:rPr>
              <w:t>GL_TEXTURE_CUBE_MAP_POSITIVE_X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  <w:t>Right</w:t>
            </w:r>
          </w:p>
        </w:tc>
      </w:tr>
      <w:tr w:rsidR="00FC06E8" w:rsidRPr="00FC06E8" w:rsidTr="00FC06E8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GB"/>
              </w:rPr>
              <w:t>GL_TEXTURE_CUBE_MAP_NEGATIVE_X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  <w:t>Left</w:t>
            </w:r>
          </w:p>
        </w:tc>
      </w:tr>
      <w:tr w:rsidR="00FC06E8" w:rsidRPr="00FC06E8" w:rsidTr="00FC06E8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GB"/>
              </w:rPr>
              <w:t>GL_TEXTURE_CUBE_MAP_POSITIVE_Y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  <w:t>Top</w:t>
            </w:r>
          </w:p>
        </w:tc>
      </w:tr>
      <w:tr w:rsidR="00FC06E8" w:rsidRPr="00FC06E8" w:rsidTr="00FC06E8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GB"/>
              </w:rPr>
              <w:t>GL_TEXTURE_CUBE_MAP_NEGATIVE_Y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  <w:t>Bottom</w:t>
            </w:r>
          </w:p>
        </w:tc>
      </w:tr>
      <w:tr w:rsidR="00FC06E8" w:rsidRPr="00FC06E8" w:rsidTr="00FC06E8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GB"/>
              </w:rPr>
              <w:t>GL_TEXTURE_CUBE_MAP_POSITIVE_Z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DDDDDD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  <w:t>Back</w:t>
            </w:r>
          </w:p>
        </w:tc>
      </w:tr>
      <w:tr w:rsidR="00FC06E8" w:rsidRPr="00FC06E8" w:rsidTr="00FC06E8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GB"/>
              </w:rPr>
            </w:pPr>
            <w:r w:rsidRPr="00FC06E8">
              <w:rPr>
                <w:rFonts w:ascii="Courier New" w:eastAsia="Times New Roman" w:hAnsi="Courier New" w:cs="Courier New"/>
                <w:color w:val="111111"/>
                <w:sz w:val="20"/>
                <w:szCs w:val="20"/>
                <w:lang w:eastAsia="en-GB"/>
              </w:rPr>
              <w:t>GL_TEXTURE_CUBE_MAP_NEGATIVE_Z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FC06E8" w:rsidRPr="00FC06E8" w:rsidRDefault="00FC06E8" w:rsidP="00FC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Front</w:t>
            </w:r>
            <w:bookmarkStart w:id="0" w:name="_GoBack"/>
            <w:bookmarkEnd w:id="0"/>
          </w:p>
        </w:tc>
      </w:tr>
    </w:tbl>
    <w:p w:rsidR="00FC06E8" w:rsidRPr="002827EF" w:rsidRDefault="00FC06E8" w:rsidP="002827EF">
      <w:pPr>
        <w:shd w:val="clear" w:color="auto" w:fill="FFFFFF" w:themeFill="background1"/>
        <w:rPr>
          <w:rFonts w:ascii="Arial" w:hAnsi="Arial" w:cs="Arial"/>
        </w:rPr>
      </w:pPr>
    </w:p>
    <w:sectPr w:rsidR="00FC06E8" w:rsidRPr="0028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AA"/>
    <w:rsid w:val="002827EF"/>
    <w:rsid w:val="00402BBA"/>
    <w:rsid w:val="004F5EAA"/>
    <w:rsid w:val="006B0049"/>
    <w:rsid w:val="00A75A8B"/>
    <w:rsid w:val="00E135AA"/>
    <w:rsid w:val="00F54F45"/>
    <w:rsid w:val="00FA0F12"/>
    <w:rsid w:val="00F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4B01"/>
  <w15:chartTrackingRefBased/>
  <w15:docId w15:val="{AC567064-19BB-40F5-A0DE-7BD527B4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827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E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C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C06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Penev (s5064371)</dc:creator>
  <cp:keywords/>
  <dc:description/>
  <cp:lastModifiedBy>Nikolay Penev (s5064371)</cp:lastModifiedBy>
  <cp:revision>4</cp:revision>
  <dcterms:created xsi:type="dcterms:W3CDTF">2019-11-15T12:04:00Z</dcterms:created>
  <dcterms:modified xsi:type="dcterms:W3CDTF">2019-11-25T10:45:00Z</dcterms:modified>
</cp:coreProperties>
</file>