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86"/>
      </w:tblGrid>
      <w:tr>
        <w:trPr>
          <w:cantSplit/>
        </w:trPr>
        <w:tc>
          <w:tcPr>
            <w:tcW w:type="dxa" w:w="9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B5C" w:color="auto" w:val="clear"/>
            <w:tcMar>
              <w:top w:type="dxa" w:w="220"/>
              <w:left w:type="dxa" w:w="360"/>
              <w:bottom w:type="dxa" w:w="220"/>
              <w:right w:type="dxa" w:w="360"/>
            </w:tcMar>
            <w:vAlign w:val="top"/>
          </w:tcPr>
          <w:p>
            <w:pPr>
              <w:spacing w:after="160" w:before="0" w:line="288"/>
            </w:pPr>
            <w:r>
              <w:rPr>
                <w:rFonts w:ascii="Arial" w:cs="Arial" w:eastAsia="Arial" w:hAnsi="Arial"/>
                <w:b/>
                <w:bCs/>
                <w:color w:val="FFC714"/>
                <w:spacing w:val="30"/>
                <w:sz w:val="17"/>
                <w:szCs w:val="17"/>
              </w:rPr>
              <w:t xml:space="preserve">MAKING SPACE TOOLKIT  ·  04</w:t>
            </w:r>
          </w:p>
          <w:p>
            <w:pPr>
              <w:spacing w:after="8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Workload Decision Guide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B5E4E8"/>
                <w:sz w:val="21"/>
                <w:szCs w:val="21"/>
              </w:rPr>
              <w:t xml:space="preserve">Choose the right intervention - including the option of no technology</w:t>
            </w:r>
          </w:p>
        </w:tc>
      </w:tr>
    </w:tbl>
    <w:p>
      <w:pPr>
        <w:spacing w:after="100" w:before="0" w:line="240"/>
      </w:pPr>
      <w:r>
        <w:rPr>
          <w:rFonts w:ascii="Arial" w:cs="Arial" w:eastAsia="Arial" w:hAnsi="Arial"/>
          <w:color w:val="1F2A33"/>
          <w:sz w:val="20"/>
          <w:szCs w:val="20"/>
        </w:rPr>
        <w:t xml:space="preserve"/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86"/>
      </w:tblGrid>
      <w:tr>
        <w:trPr>
          <w:cantSplit/>
        </w:trPr>
        <w:tc>
          <w:tcPr>
            <w:tcW w:type="dxa" w:w="9986"/>
            <w:tcBorders>
              <w:top w:val="none" w:color="FFFFFF" w:sz="0"/>
              <w:left w:val="single" w:color="2EBFC8" w:sz="36"/>
              <w:bottom w:val="none" w:color="FFFFFF" w:sz="0"/>
              <w:right w:val="none" w:color="FFFFFF" w:sz="0"/>
            </w:tcBorders>
            <w:shd w:fill="EFF7F9" w:color="auto" w:val="clear"/>
            <w:tcMar>
              <w:top w:type="dxa" w:w="180"/>
              <w:left w:type="dxa" w:w="260"/>
              <w:bottom w:type="dxa" w:w="180"/>
              <w:right w:type="dxa" w:w="260"/>
            </w:tcMar>
            <w:vAlign w:val="top"/>
          </w:tcPr>
          <w:p>
            <w:pPr>
              <w:spacing w:after="80" w:before="0" w:line="288"/>
            </w:pPr>
            <w:r>
              <w:rPr>
                <w:rFonts w:ascii="Arial" w:cs="Arial" w:eastAsia="Arial" w:hAnsi="Arial"/>
                <w:b/>
                <w:bCs/>
                <w:color w:val="00A0B0"/>
                <w:spacing w:val="20"/>
                <w:sz w:val="16"/>
                <w:szCs w:val="16"/>
              </w:rPr>
              <w:t xml:space="preserve">START WITH THE PURPOSE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21"/>
                <w:szCs w:val="21"/>
              </w:rPr>
              <w:t xml:space="preserve">What outcome is essential for pupils, staff, compliance or school improvement? Is the task itself necessary, or only its outcome?</w:t>
            </w:r>
          </w:p>
        </w:tc>
      </w:tr>
    </w:tbl>
    <w:p>
      <w:pPr>
        <w:keepNext/>
        <w:pBdr>
          <w:left w:val="single" w:color="FFC714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FIVE PATHWAYS</w:t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3700"/>
        <w:gridCol w:w="4186"/>
      </w:tblGrid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D6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6"/>
                <w:szCs w:val="16"/>
              </w:rPr>
              <w:t xml:space="preserve">PATHWAY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D6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6"/>
                <w:szCs w:val="16"/>
              </w:rPr>
              <w:t xml:space="preserve">CHOOSE IT WHEN…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D6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16"/>
                <w:szCs w:val="16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3B57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REMOVE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The task has little value, no clear requirement, or duplicates another process.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Stop it. Confirm dependencies and decision authority first.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71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8"/>
                <w:szCs w:val="18"/>
              </w:rPr>
              <w:t xml:space="preserve">REDESIGN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The outcome matters but the steps are cumbersome.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Simplify approvals, reduce fields, combine systems, clarify ownership or change frequency.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BFC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3B5C"/>
                <w:sz w:val="18"/>
                <w:szCs w:val="18"/>
              </w:rPr>
              <w:t xml:space="preserve">AUTOMATE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The process is stable, repetitive and rules-based.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Explore forms, routing, reminders, document generation or system integrations. Check exceptions and maintenance.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B5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AI-ASSIST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Drafting, synthesising, translating, ideation or technical problem-solving would help.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Use an approved AI tool with human checking and appropriate data controls.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0B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 ALONE / PROTECT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The task is inherently relational or professional, or a change would add risk or complexity.</w:t>
            </w:r>
          </w:p>
        </w:tc>
        <w:tc>
          <w:tcPr>
            <w:tcW w:type="dxa" w:w="4186"/>
            <w:tcBorders>
              <w:top w:val="none" w:color="FFFFFF" w:sz="0"/>
              <w:left w:val="none" w:color="FFFFFF" w:sz="0"/>
              <w:bottom w:val="single" w:color="C7DAE0" w:sz="4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Retain the human-led process and consider other support.</w:t>
            </w:r>
          </w:p>
        </w:tc>
      </w:tr>
    </w:tbl>
    <w:p>
      <w:pPr>
        <w:spacing w:after="0" w:before="40" w:line="288"/>
      </w:pPr>
      <w:r>
        <w:rPr>
          <w:rFonts w:ascii="Arial" w:cs="Arial" w:eastAsia="Arial" w:hAnsi="Arial"/>
          <w:i/>
          <w:iCs/>
          <w:color w:val="5C6571"/>
          <w:sz w:val="16"/>
          <w:szCs w:val="16"/>
        </w:rPr>
        <w:t xml:space="preserve">Several pathways can be combined.</w:t>
      </w:r>
    </w:p>
    <w:p>
      <w:pPr>
        <w:keepNext/>
        <w:pBdr>
          <w:left w:val="single" w:color="FF3B57" w:sz="36" w:space="8"/>
        </w:pBdr>
        <w:spacing w:after="110" w:before="260" w:line="288"/>
        <w:ind w:left="140"/>
      </w:pPr>
      <w:r>
        <w:rPr>
          <w:rFonts w:ascii="Arial" w:cs="Arial" w:eastAsia="Arial" w:hAnsi="Arial"/>
          <w:b/>
          <w:bCs/>
          <w:color w:val="003B5C"/>
          <w:spacing w:val="10"/>
          <w:sz w:val="22"/>
          <w:szCs w:val="22"/>
        </w:rPr>
        <w:t xml:space="preserve">DECISION CHECKS</w:t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93"/>
        <w:gridCol w:w="4993"/>
      </w:tblGrid>
      <w:tr>
        <w:trPr>
          <w:cantSplit/>
        </w:trPr>
        <w:tc>
          <w:tcPr>
            <w:tcW w:type="dxa" w:w="4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7F9" w:color="auto" w:val="clear"/>
            <w:tcMar>
              <w:top w:type="dxa" w:w="120"/>
              <w:left w:type="dxa" w:w="240"/>
              <w:bottom w:type="dxa" w:w="120"/>
              <w:right w:type="dxa" w:w="160"/>
            </w:tcMar>
            <w:vAlign w:val="top"/>
          </w:tcPr>
          <w:p>
            <w:pPr>
              <w:spacing w:after="80" w:before="0" w:line="288"/>
            </w:pPr>
            <w:r>
              <w:rPr>
                <w:rFonts w:ascii="Segoe UI Symbol" w:cs="Segoe UI Symbol" w:eastAsia="Segoe UI Symbol" w:hAnsi="Segoe UI Symbol"/>
                <w:color w:val="003B5C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Is the work genuinely necessary?</w:t>
            </w:r>
          </w:p>
          <w:p>
            <w:pPr>
              <w:spacing w:after="80" w:before="0" w:line="288"/>
            </w:pPr>
            <w:r>
              <w:rPr>
                <w:rFonts w:ascii="Segoe UI Symbol" w:cs="Segoe UI Symbol" w:eastAsia="Segoe UI Symbol" w:hAnsi="Segoe UI Symbol"/>
                <w:color w:val="003B5C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Who benefits?</w:t>
            </w:r>
          </w:p>
          <w:p>
            <w:pPr>
              <w:spacing w:after="80" w:before="0" w:line="288"/>
            </w:pPr>
            <w:r>
              <w:rPr>
                <w:rFonts w:ascii="Segoe UI Symbol" w:cs="Segoe UI Symbol" w:eastAsia="Segoe UI Symbol" w:hAnsi="Segoe UI Symbol"/>
                <w:color w:val="003B5C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What must stay human?</w:t>
            </w:r>
          </w:p>
          <w:p>
            <w:pPr>
              <w:spacing w:after="80" w:before="0" w:line="288"/>
            </w:pPr>
            <w:r>
              <w:rPr>
                <w:rFonts w:ascii="Segoe UI Symbol" w:cs="Segoe UI Symbol" w:eastAsia="Segoe UI Symbol" w:hAnsi="Segoe UI Symbol"/>
                <w:color w:val="003B5C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Does the fix shift workload elsewhere?</w:t>
            </w:r>
          </w:p>
        </w:tc>
        <w:tc>
          <w:tcPr>
            <w:tcW w:type="dxa" w:w="4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7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 w:line="288"/>
            </w:pPr>
            <w:r>
              <w:rPr>
                <w:rFonts w:ascii="Segoe UI Symbol" w:cs="Segoe UI Symbol" w:eastAsia="Segoe UI Symbol" w:hAnsi="Segoe UI Symbol"/>
                <w:color w:val="003B5C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Is it safe and compliant?</w:t>
            </w:r>
          </w:p>
          <w:p>
            <w:pPr>
              <w:spacing w:after="80" w:before="0" w:line="288"/>
            </w:pPr>
            <w:r>
              <w:rPr>
                <w:rFonts w:ascii="Segoe UI Symbol" w:cs="Segoe UI Symbol" w:eastAsia="Segoe UI Symbol" w:hAnsi="Segoe UI Symbol"/>
                <w:color w:val="003B5C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Who maintains it?</w:t>
            </w:r>
          </w:p>
          <w:p>
            <w:pPr>
              <w:spacing w:after="80" w:before="0" w:line="288"/>
            </w:pPr>
            <w:r>
              <w:rPr>
                <w:rFonts w:ascii="Segoe UI Symbol" w:cs="Segoe UI Symbol" w:eastAsia="Segoe UI Symbol" w:hAnsi="Segoe UI Symbol"/>
                <w:color w:val="003B5C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1F2A33"/>
                <w:sz w:val="19"/>
                <w:szCs w:val="19"/>
              </w:rPr>
              <w:t xml:space="preserve">How will we know it helped?</w:t>
            </w:r>
          </w:p>
        </w:tc>
      </w:tr>
    </w:tbl>
    <w:p>
      <w:pPr>
        <w:spacing w:after="20" w:before="0" w:line="240"/>
      </w:pPr>
      <w:r>
        <w:rPr>
          <w:rFonts w:ascii="Arial" w:cs="Arial" w:eastAsia="Arial" w:hAnsi="Arial"/>
          <w:color w:val="1F2A33"/>
          <w:sz w:val="20"/>
          <w:szCs w:val="20"/>
        </w:rPr>
        <w:t xml:space="preserve"/>
      </w:r>
    </w:p>
    <w:tbl>
      <w:tblPr>
        <w:tblW w:type="dxa" w:w="9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86"/>
      </w:tblGrid>
      <w:tr>
        <w:trPr>
          <w:cantSplit/>
        </w:trPr>
        <w:tc>
          <w:tcPr>
            <w:tcW w:type="dxa" w:w="9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B5C" w:color="auto" w:val="clear"/>
            <w:tcMar>
              <w:top w:type="dxa" w:w="200"/>
              <w:left w:type="dxa" w:w="360"/>
              <w:bottom w:type="dxa" w:w="200"/>
              <w:right w:type="dxa" w:w="360"/>
            </w:tcMar>
            <w:vAlign w:val="top"/>
          </w:tcPr>
          <w:p>
            <w:pPr>
              <w:spacing w:after="80" w:before="0" w:line="288"/>
            </w:pPr>
            <w:r>
              <w:rPr>
                <w:rFonts w:ascii="Arial" w:cs="Arial" w:eastAsia="Arial" w:hAnsi="Arial"/>
                <w:b/>
                <w:bCs/>
                <w:color w:val="FFC714"/>
                <w:spacing w:val="20"/>
                <w:sz w:val="16"/>
                <w:szCs w:val="16"/>
              </w:rPr>
              <w:t xml:space="preserve">KEY PRINCIPLE</w:t>
            </w:r>
          </w:p>
          <w:p>
            <w:pPr>
              <w:spacing w:after="2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PROTECT before RETHINK.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B5E4E8"/>
                <w:sz w:val="22"/>
                <w:szCs w:val="22"/>
              </w:rPr>
              <w:t xml:space="preserve">Technology is an option, not the objective.</w:t>
            </w:r>
          </w:p>
        </w:tc>
      </w:tr>
    </w:tbl>
    <w:p>
      <w:pPr>
        <w:pBdr>
          <w:top w:val="single" w:color="C7DAE0" w:sz="4" w:space="8"/>
        </w:pBdr>
        <w:spacing w:after="0" w:before="180" w:line="288"/>
      </w:pPr>
      <w:r>
        <w:rPr>
          <w:rFonts w:ascii="Arial" w:cs="Arial" w:eastAsia="Arial" w:hAnsi="Arial"/>
          <w:b/>
          <w:bCs/>
          <w:color w:val="003B5C"/>
          <w:sz w:val="17"/>
          <w:szCs w:val="17"/>
        </w:rPr>
        <w:t xml:space="preserve">Informed by:  </w:t>
      </w:r>
      <w:r>
        <w:rPr>
          <w:rFonts w:ascii="Arial" w:cs="Arial" w:eastAsia="Arial" w:hAnsi="Arial"/>
          <w:b/>
          <w:bCs/>
          <w:color w:val="003B5C"/>
          <w:sz w:val="17"/>
          <w:szCs w:val="17"/>
        </w:rPr>
        <w:t xml:space="preserve">EEF </w:t>
      </w:r>
      <w:hyperlink w:history="1" r:id="rId6lgq-ooodaep0xj76urci">
        <w:r>
          <w:rPr>
            <w:rFonts w:ascii="Arial" w:cs="Arial" w:eastAsia="Arial" w:hAnsi="Arial"/>
            <w:color w:val="00808C"/>
            <w:sz w:val="17"/>
            <w:szCs w:val="17"/>
            <w:u w:val="single"/>
          </w:rPr>
          <w:t xml:space="preserve">Workload Review</w:t>
        </w:r>
      </w:hyperlink>
      <w:r>
        <w:rPr>
          <w:rFonts w:ascii="Arial" w:cs="Arial" w:eastAsia="Arial" w:hAnsi="Arial"/>
          <w:color w:val="5C6571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003B5C"/>
          <w:sz w:val="17"/>
          <w:szCs w:val="17"/>
        </w:rPr>
        <w:t xml:space="preserve">DfE </w:t>
      </w:r>
      <w:hyperlink w:history="1" r:id="rId-nztapa2upqcrqky8u3-i">
        <w:r>
          <w:rPr>
            <w:rFonts w:ascii="Arial" w:cs="Arial" w:eastAsia="Arial" w:hAnsi="Arial"/>
            <w:color w:val="00808C"/>
            <w:sz w:val="17"/>
            <w:szCs w:val="17"/>
            <w:u w:val="single"/>
          </w:rPr>
          <w:t xml:space="preserve">Conversation Guide for Workload and Wellbeing</w:t>
        </w:r>
      </w:hyperlink>
      <w:r>
        <w:rPr>
          <w:rFonts w:ascii="Arial" w:cs="Arial" w:eastAsia="Arial" w:hAnsi="Arial"/>
          <w:color w:val="5C6571"/>
          <w:sz w:val="17"/>
          <w:szCs w:val="17"/>
        </w:rPr>
        <w:t xml:space="preserve">   ·   </w:t>
      </w:r>
      <w:r>
        <w:rPr>
          <w:rFonts w:ascii="Arial" w:cs="Arial" w:eastAsia="Arial" w:hAnsi="Arial"/>
          <w:b/>
          <w:bCs/>
          <w:color w:val="003B5C"/>
          <w:sz w:val="17"/>
          <w:szCs w:val="17"/>
        </w:rPr>
        <w:t xml:space="preserve">DfE </w:t>
      </w:r>
      <w:hyperlink w:history="1" r:id="rIdbzyvb_omggiaik5-xwgyr">
        <w:r>
          <w:rPr>
            <w:rFonts w:ascii="Arial" w:cs="Arial" w:eastAsia="Arial" w:hAnsi="Arial"/>
            <w:color w:val="00808C"/>
            <w:sz w:val="17"/>
            <w:szCs w:val="17"/>
            <w:u w:val="single"/>
          </w:rPr>
          <w:t xml:space="preserve">Staff Workload Survey</w:t>
        </w:r>
      </w:hyperlink>
    </w:p>
    <w:sectPr>
      <w:headerReference w:type="default" r:id="rId6"/>
      <w:footerReference w:type="default" r:id="rId7"/>
      <w:pgSz w:w="11906" w:h="16838" w:orient="portrait"/>
      <w:pgMar w:top="780" w:right="960" w:bottom="820" w:left="960" w:header="420" w:footer="3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AE0" w:sz="4" w:space="6"/>
      </w:pBdr>
      <w:tabs>
        <w:tab w:val="right" w:pos="9986"/>
      </w:tabs>
      <w:spacing w:after="20" w:before="0" w:line="288"/>
    </w:pPr>
    <w:r>
      <w:rPr>
        <w:rFonts w:ascii="Arial" w:cs="Arial" w:eastAsia="Arial" w:hAnsi="Arial"/>
        <w:color w:val="5C6571"/>
        <w:sz w:val="15"/>
        <w:szCs w:val="15"/>
      </w:rPr>
      <w:t xml:space="preserve">Nicole Sargeant  ·  nicole.sargeant@gmail.com  ·  AIFE Bangkok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C6571"/>
        <w:sz w:val="15"/>
        <w:szCs w:val="15"/>
      </w:rPr>
      <w:fldChar w:fldCharType="begin"/>
      <w:instrText xml:space="preserve">PAGE</w:instrText>
      <w:fldChar w:fldCharType="separate"/>
      <w:fldChar w:fldCharType="end"/>
    </w:r>
  </w:p>
  <w:p>
    <w:pPr>
      <w:spacing w:after="0" w:before="0" w:line="288"/>
    </w:pPr>
    <w:r>
      <w:rPr>
        <w:rFonts w:ascii="Arial" w:cs="Arial" w:eastAsia="Arial" w:hAnsi="Arial"/>
        <w:color w:val="8A949C"/>
        <w:sz w:val="13"/>
        <w:szCs w:val="13"/>
      </w:rPr>
      <w:t xml:space="preserve">© 2026 Nicole Sargeant · CC BY-NC 4.0 (free to adapt with credit, non-commercial) · MAKING SPACE is not an official EEF or DfE framework.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86"/>
      </w:tabs>
      <w:spacing w:after="0" w:before="0" w:line="288"/>
    </w:pPr>
    <w:r>
      <w:rPr>
        <w:rFonts w:ascii="Arial" w:cs="Arial" w:eastAsia="Arial" w:hAnsi="Arial"/>
        <w:b/>
        <w:bCs/>
        <w:color w:val="003B5C"/>
        <w:spacing w:val="20"/>
        <w:sz w:val="15"/>
        <w:szCs w:val="15"/>
      </w:rPr>
      <w:t xml:space="preserve">MAKING SPACE FOR THE HUMAN</w:t>
    </w:r>
    <w:r>
      <w:rPr>
        <w:rFonts w:ascii="Arial" w:cs="Arial" w:eastAsia="Arial" w:hAnsi="Arial"/>
      </w:rPr>
      <w:t xml:space="preserve">	</w:t>
    </w:r>
    <w:r>
      <w:drawing>
        <wp:inline distT="0" distB="0" distL="0" distR="0">
          <wp:extent cx="1000125" cy="238125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rFonts w:ascii="Arial" w:cs="Arial" w:eastAsia="Arial" w:hAnsi="Arial"/>
        <w:color w:val="2EBFC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rFonts w:ascii="Arial" w:cs="Arial" w:eastAsia="Arial" w:hAnsi="Arial"/>
        <w:b/>
        <w:bCs/>
        <w:color w:val="003B5C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rFonts w:ascii="Arial" w:cs="Arial" w:eastAsia="Arial" w:hAnsi="Arial"/>
        <w:b/>
        <w:bCs/>
        <w:color w:val="003B5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3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6lgq-ooodaep0xj76urci" Type="http://schemas.openxmlformats.org/officeDocument/2006/relationships/hyperlink" Target="https://educationendowmentfoundation.org.uk/education-evidence/evidence-reviews/workload-review" TargetMode="External"/><Relationship Id="rId-nztapa2upqcrqky8u3-i" Type="http://schemas.openxmlformats.org/officeDocument/2006/relationships/hyperlink" Target="https://www.gov.uk/government/publications/conversation-guide-for-workload-and-wellbeing-in-schools-and-academy-trusts/conversation-guide-for-workload-and-wellbeing-in-schools-and-academy-trusts" TargetMode="External"/><Relationship Id="rIdbzyvb_omggiaik5-xwgyr" Type="http://schemas.openxmlformats.org/officeDocument/2006/relationships/hyperlink" Target="https://improve-workload-and-wellbeing-for-school-staff.education.gov.uk/workload-reduction-toolkit/identify-workload-issues/staff-workload-survey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4f81daae3b535f18a9bb9fd27cadbde7183402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SPACE Toolkit</dc:title>
  <dc:creator>Nicole Sargeant</dc:creator>
  <cp:lastModifiedBy>Un-named</cp:lastModifiedBy>
  <cp:revision>1</cp:revision>
  <dcterms:created xsi:type="dcterms:W3CDTF">2026-10-29T07:53:08.890Z</dcterms:created>
  <dcterms:modified xsi:type="dcterms:W3CDTF">2026-10-29T07:53:08.890Z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