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86"/>
      </w:tblGrid>
      <w:tr>
        <w:trPr>
          <w:cantSplit/>
        </w:trPr>
        <w:tc>
          <w:tcPr>
            <w:tcW w:type="dxa" w:w="9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B5C" w:color="auto" w:val="clear"/>
            <w:tcMar>
              <w:top w:type="dxa" w:w="220"/>
              <w:left w:type="dxa" w:w="360"/>
              <w:bottom w:type="dxa" w:w="220"/>
              <w:right w:type="dxa" w:w="360"/>
            </w:tcMar>
            <w:vAlign w:val="top"/>
          </w:tcPr>
          <w:p>
            <w:pPr>
              <w:spacing w:after="160" w:before="0" w:line="288"/>
            </w:pPr>
            <w:r>
              <w:rPr>
                <w:rFonts w:ascii="Arial" w:cs="Arial" w:eastAsia="Arial" w:hAnsi="Arial"/>
                <w:b/>
                <w:bCs/>
                <w:color w:val="FFC714"/>
                <w:spacing w:val="30"/>
                <w:sz w:val="17"/>
                <w:szCs w:val="17"/>
              </w:rPr>
              <w:t xml:space="preserve">MAKING SPACE TOOLKIT  ·  01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Meeting-in-a-Box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B5E4E8"/>
                <w:sz w:val="21"/>
                <w:szCs w:val="21"/>
              </w:rPr>
              <w:t xml:space="preserve">A 20-minute, human-centred workload conversation for any team meeting</w:t>
            </w:r>
          </w:p>
        </w:tc>
      </w:tr>
    </w:tbl>
    <w:p>
      <w:pPr>
        <w:spacing w:after="100" w:before="0" w:line="240"/>
      </w:pPr>
      <w:r>
        <w:rPr>
          <w:rFonts w:ascii="Arial" w:cs="Arial" w:eastAsia="Arial" w:hAnsi="Arial"/>
          <w:color w:val="1F2A33"/>
          <w:sz w:val="20"/>
          <w:szCs w:val="20"/>
        </w:rPr>
        <w:t xml:space="preserve"/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86"/>
      </w:tblGrid>
      <w:tr>
        <w:trPr>
          <w:cantSplit/>
        </w:trPr>
        <w:tc>
          <w:tcPr>
            <w:tcW w:type="dxa" w:w="9986"/>
            <w:tcBorders>
              <w:top w:val="none" w:color="FFFFFF" w:sz="0"/>
              <w:left w:val="single" w:color="2EBFC8" w:sz="36"/>
              <w:bottom w:val="none" w:color="FFFFFF" w:sz="0"/>
              <w:right w:val="none" w:color="FFFFFF" w:sz="0"/>
            </w:tcBorders>
            <w:shd w:fill="EFF7F9" w:color="auto" w:val="clear"/>
            <w:tcMar>
              <w:top w:type="dxa" w:w="180"/>
              <w:left w:type="dxa" w:w="260"/>
              <w:bottom w:type="dxa" w:w="180"/>
              <w:right w:type="dxa" w:w="2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20"/>
                <w:szCs w:val="20"/>
              </w:rPr>
              <w:t xml:space="preserve">Purpose  </w:t>
            </w:r>
            <w:r>
              <w:rPr>
                <w:rFonts w:ascii="Arial" w:cs="Arial" w:eastAsia="Arial" w:hAnsi="Arial"/>
                <w:color w:val="1F2A33"/>
                <w:sz w:val="20"/>
                <w:szCs w:val="20"/>
              </w:rPr>
              <w:t xml:space="preserve">Identify one recurring workload pressure, protect professional judgement, and agree one small, testable improvement.</w:t>
            </w:r>
          </w:p>
        </w:tc>
      </w:tr>
    </w:tbl>
    <w:p>
      <w:pPr>
        <w:keepNext/>
        <w:pBdr>
          <w:left w:val="single" w:color="2EBFC8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BEFORE THE MEETING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Print one A3 MAKING SPACE Canvas (Toolkit 02) per group.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Bring pens and a timer. Choose a facilitator and a note-taker.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b/>
          <w:bCs/>
          <w:color w:val="1F2A33"/>
          <w:sz w:val="20"/>
          <w:szCs w:val="20"/>
        </w:rPr>
        <w:t xml:space="preserve">Do not enter identifiable pupil or staff information into AI tools.</w:t>
      </w:r>
    </w:p>
    <w:p>
      <w:pPr>
        <w:keepNext/>
        <w:pBdr>
          <w:left w:val="single" w:color="FFC714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20-MINUTE FACILITATION PLAN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1700"/>
        <w:gridCol w:w="698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 / OUTPUT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0-3 min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BFC8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pacing w:val="10"/>
                <w:sz w:val="18"/>
                <w:szCs w:val="18"/>
              </w:rPr>
              <w:t xml:space="preserve">SPOT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Each person names a recurring workload friction. Choose one specific issue to explore.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3-6 min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714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pacing w:val="10"/>
                <w:sz w:val="18"/>
                <w:szCs w:val="18"/>
              </w:rPr>
              <w:t xml:space="preserve">QUESTION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What outcome is this work meant to achieve? Who needs it? What happens if we stop?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6-9 min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3B57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8"/>
                <w:szCs w:val="18"/>
              </w:rPr>
              <w:t xml:space="preserve">PROTECT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What requires empathy, relationships, context, safeguarding or professional judgement?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9-15 min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B5C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8"/>
                <w:szCs w:val="18"/>
              </w:rPr>
              <w:t xml:space="preserve">RETHINK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Could we remove, simplify, redesign, automate, AI-assist - or leave it alone? Check risks and existing systems.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15-18 min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0B0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8"/>
                <w:szCs w:val="18"/>
              </w:rPr>
              <w:t xml:space="preserve">RECLAIM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If the change helps, what human work or wellbeing will the freed capacity support? How will we protect it?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9"/>
                <w:szCs w:val="19"/>
              </w:rPr>
              <w:t xml:space="preserve">18-20 min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8"/>
                <w:szCs w:val="18"/>
              </w:rPr>
              <w:t xml:space="preserve">COMMIT</w:t>
            </w:r>
          </w:p>
        </w:tc>
        <w:tc>
          <w:tcPr>
            <w:tcW w:type="dxa" w:w="69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Agree a small pilot, named owner, baseline, review date and success measures.</w:t>
            </w:r>
          </w:p>
        </w:tc>
      </w:tr>
    </w:tbl>
    <w:p>
      <w:pPr>
        <w:spacing w:after="60" w:before="0" w:line="240"/>
      </w:pPr>
      <w:r>
        <w:rPr>
          <w:rFonts w:ascii="Arial" w:cs="Arial" w:eastAsia="Arial" w:hAnsi="Arial"/>
          <w:color w:val="1F2A33"/>
          <w:sz w:val="20"/>
          <w:szCs w:val="20"/>
        </w:rPr>
        <w:t xml:space="preserve"/>
      </w:r>
    </w:p>
    <w:p>
      <w:pPr>
        <w:spacing w:after="100" w:before="80" w:line="288"/>
      </w:pPr>
      <w:r>
        <w:rPr>
          <w:rFonts w:ascii="Arial" w:cs="Arial" w:eastAsia="Arial" w:hAnsi="Arial"/>
          <w:b/>
          <w:bCs/>
          <w:color w:val="003B5C"/>
          <w:sz w:val="19"/>
          <w:szCs w:val="19"/>
        </w:rPr>
        <w:t xml:space="preserve">Required output: </w:t>
      </w:r>
      <w:r>
        <w:rPr>
          <w:rFonts w:ascii="Arial" w:cs="Arial" w:eastAsia="Arial" w:hAnsi="Arial"/>
          <w:color w:val="1F2A33"/>
          <w:sz w:val="19"/>
          <w:szCs w:val="19"/>
        </w:rPr>
        <w:t xml:space="preserve">one defined problem, a small pilot, a named owner, a review date and an intention for reclaimed capacity.</w:t>
      </w:r>
    </w:p>
    <w:p>
      <w:pPr>
        <w:keepNext/>
        <w:pBdr>
          <w:left w:val="single" w:color="FF3B57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FACILITATOR QUESTIONS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SPOT: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Who experiences this friction, and when?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QUESTION: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What outcome matters? Could the task stop?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PROTECT: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What requires human judgement, relationships or care?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RETHINK: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Remove, simplify, redesign, automate, AI-assist or leave alone?</w:t>
      </w:r>
    </w:p>
    <w:p>
      <w:pPr>
        <w:pStyle w:val="ListParagraph"/>
        <w:numPr>
          <w:ilvl w:val="0"/>
          <w:numId w:val="2"/>
        </w:numPr>
        <w:spacing w:after="50" w:before="0" w:line="288"/>
      </w:pPr>
      <w:r>
        <w:rPr>
          <w:rFonts w:ascii="Arial" w:cs="Arial" w:eastAsia="Arial" w:hAnsi="Arial"/>
          <w:b/>
          <w:bCs/>
          <w:color w:val="003B5C"/>
          <w:sz w:val="20"/>
          <w:szCs w:val="20"/>
        </w:rPr>
        <w:t xml:space="preserve">RECLAIM: </w:t>
      </w:r>
      <w:r>
        <w:rPr>
          <w:rFonts w:ascii="Arial" w:cs="Arial" w:eastAsia="Arial" w:hAnsi="Arial"/>
          <w:color w:val="1F2A33"/>
          <w:sz w:val="20"/>
          <w:szCs w:val="20"/>
        </w:rPr>
        <w:t xml:space="preserve">What will we intentionally make space for?</w:t>
      </w:r>
    </w:p>
    <w:p>
      <w:pPr>
        <w:keepNext/>
        <w:pBdr>
          <w:left w:val="single" w:color="003B5C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BEFORE PILOTING</w:t>
      </w:r>
    </w:p>
    <w:p>
      <w:pPr>
        <w:spacing w:after="100" w:before="0" w:line="288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Check necessity, privacy, safeguarding, accuracy, equity, human oversight, and whether workload simply shifts to another person.</w:t>
      </w:r>
    </w:p>
    <w:p>
      <w:pPr>
        <w:keepNext/>
        <w:pBdr>
          <w:left w:val="single" w:color="00A0B0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30-DAY FOLLOW-THROUGH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28"/>
        <w:gridCol w:w="3328"/>
        <w:gridCol w:w="3330"/>
      </w:tblGrid>
      <w:tr>
        <w:trPr>
          <w:cantSplit/>
        </w:trPr>
        <w:tc>
          <w:tcPr>
            <w:tcW w:type="dxa" w:w="33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7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7"/>
                <w:szCs w:val="17"/>
              </w:rPr>
              <w:t xml:space="preserve">WEEK 1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Baseline and owner agreed.</w:t>
            </w:r>
          </w:p>
        </w:tc>
        <w:tc>
          <w:tcPr>
            <w:tcW w:type="dxa" w:w="33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7"/>
                <w:szCs w:val="17"/>
              </w:rPr>
              <w:t xml:space="preserve">WEEKS 2-3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Small, safe test with a small group.</w:t>
            </w:r>
          </w:p>
        </w:tc>
        <w:tc>
          <w:tcPr>
            <w:tcW w:type="dxa" w:w="3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D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7"/>
                <w:szCs w:val="17"/>
              </w:rPr>
              <w:t xml:space="preserve">BY DAY 30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Review workload, quality and reclaimed capacity. Adopt, adjust or stop.</w:t>
            </w:r>
          </w:p>
        </w:tc>
      </w:tr>
    </w:tbl>
    <w:p>
      <w:pPr>
        <w:keepNext/>
        <w:pBdr>
          <w:left w:val="single" w:color="FFC714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THREE EVALUATION QUESTIONS</w:t>
      </w:r>
    </w:p>
    <w:p>
      <w:pPr>
        <w:pStyle w:val="ListParagraph"/>
        <w:numPr>
          <w:ilvl w:val="0"/>
          <w:numId w:val="3"/>
        </w:numPr>
        <w:spacing w:after="70" w:before="0" w:line="288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Did work or friction actually reduce?</w:t>
      </w:r>
    </w:p>
    <w:p>
      <w:pPr>
        <w:pStyle w:val="ListParagraph"/>
        <w:numPr>
          <w:ilvl w:val="0"/>
          <w:numId w:val="3"/>
        </w:numPr>
        <w:spacing w:after="70" w:before="0" w:line="288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Was quality and professional judgement protected?</w:t>
      </w:r>
    </w:p>
    <w:p>
      <w:pPr>
        <w:pStyle w:val="ListParagraph"/>
        <w:numPr>
          <w:ilvl w:val="0"/>
          <w:numId w:val="3"/>
        </w:numPr>
        <w:spacing w:after="70" w:before="0" w:line="288"/>
      </w:pPr>
      <w:r>
        <w:rPr>
          <w:rFonts w:ascii="Arial" w:cs="Arial" w:eastAsia="Arial" w:hAnsi="Arial"/>
          <w:color w:val="1F2A33"/>
          <w:sz w:val="20"/>
          <w:szCs w:val="20"/>
        </w:rPr>
        <w:t xml:space="preserve">Was reclaimed capacity protected, rather than filled with more work?</w:t>
      </w:r>
    </w:p>
    <w:p>
      <w:pPr>
        <w:pBdr>
          <w:top w:val="single" w:color="C7DAE0" w:sz="4" w:space="8"/>
        </w:pBdr>
        <w:spacing w:after="0" w:before="180" w:line="288"/>
      </w:pP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Informed by: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EEF </w:t>
      </w:r>
      <w:hyperlink w:history="1" r:id="rIddjqzzkj0kmzqiokjgvjki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Workload Review</w:t>
        </w:r>
      </w:hyperlink>
      <w:r>
        <w:rPr>
          <w:rFonts w:ascii="Arial" w:cs="Arial" w:eastAsia="Arial" w:hAnsi="Arial"/>
          <w:color w:val="5C6571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DfE </w:t>
      </w:r>
      <w:hyperlink w:history="1" r:id="rIdqjy2jyqdwbj4r4lu4hncj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Conversation Guide for Workload and Wellbeing</w:t>
        </w:r>
      </w:hyperlink>
      <w:r>
        <w:rPr>
          <w:rFonts w:ascii="Arial" w:cs="Arial" w:eastAsia="Arial" w:hAnsi="Arial"/>
          <w:color w:val="5C6571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DfE </w:t>
      </w:r>
      <w:hyperlink w:history="1" r:id="rIdahcjdma66wvgmnjsk6o0z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Staff Workload Survey</w:t>
        </w:r>
      </w:hyperlink>
    </w:p>
    <w:sectPr>
      <w:headerReference w:type="default" r:id="rId6"/>
      <w:footerReference w:type="default" r:id="rId7"/>
      <w:pgSz w:w="11906" w:h="16838" w:orient="portrait"/>
      <w:pgMar w:top="780" w:right="960" w:bottom="820" w:left="960" w:header="420" w:footer="3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AE0" w:sz="4" w:space="6"/>
      </w:pBdr>
      <w:tabs>
        <w:tab w:val="right" w:pos="9986"/>
      </w:tabs>
      <w:spacing w:after="20" w:before="0" w:line="288"/>
    </w:pPr>
    <w:r>
      <w:rPr>
        <w:rFonts w:ascii="Arial" w:cs="Arial" w:eastAsia="Arial" w:hAnsi="Arial"/>
        <w:color w:val="5C6571"/>
        <w:sz w:val="15"/>
        <w:szCs w:val="15"/>
      </w:rPr>
      <w:t xml:space="preserve">Nicole Sargeant  ·  nicole.sargeant@gmail.com  ·  AIFE Bangkok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6571"/>
        <w:sz w:val="15"/>
        <w:szCs w:val="15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288"/>
    </w:pPr>
    <w:r>
      <w:rPr>
        <w:rFonts w:ascii="Arial" w:cs="Arial" w:eastAsia="Arial" w:hAnsi="Arial"/>
        <w:color w:val="8A949C"/>
        <w:sz w:val="13"/>
        <w:szCs w:val="13"/>
      </w:rPr>
      <w:t xml:space="preserve">© 2026 Nicole Sargeant · CC BY-NC 4.0 (free to adapt with credit, non-commercial) · MAKING SPACE is not an official EEF or DfE framework.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86"/>
      </w:tabs>
      <w:spacing w:after="0" w:before="0" w:line="288"/>
    </w:pPr>
    <w:r>
      <w:rPr>
        <w:rFonts w:ascii="Arial" w:cs="Arial" w:eastAsia="Arial" w:hAnsi="Arial"/>
        <w:b/>
        <w:bCs/>
        <w:color w:val="003B5C"/>
        <w:spacing w:val="20"/>
        <w:sz w:val="15"/>
        <w:szCs w:val="15"/>
      </w:rPr>
      <w:t xml:space="preserve">MAKING SPACE FOR THE HUMAN</w:t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1000125" cy="238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rFonts w:ascii="Arial" w:cs="Arial" w:eastAsia="Arial" w:hAnsi="Arial"/>
        <w:color w:val="2EBFC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Arial" w:cs="Arial" w:eastAsia="Arial" w:hAnsi="Arial"/>
        <w:b/>
        <w:bCs/>
        <w:color w:val="003B5C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Arial" w:cs="Arial" w:eastAsia="Arial" w:hAnsi="Arial"/>
        <w:b/>
        <w:bCs/>
        <w:color w:val="003B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djqzzkj0kmzqiokjgvjki" Type="http://schemas.openxmlformats.org/officeDocument/2006/relationships/hyperlink" Target="https://educationendowmentfoundation.org.uk/education-evidence/evidence-reviews/workload-review" TargetMode="External"/><Relationship Id="rIdqjy2jyqdwbj4r4lu4hncj" Type="http://schemas.openxmlformats.org/officeDocument/2006/relationships/hyperlink" Target="https://www.gov.uk/government/publications/conversation-guide-for-workload-and-wellbeing-in-schools-and-academy-trusts/conversation-guide-for-workload-and-wellbeing-in-schools-and-academy-trusts" TargetMode="External"/><Relationship Id="rIdahcjdma66wvgmnjsk6o0z" Type="http://schemas.openxmlformats.org/officeDocument/2006/relationships/hyperlink" Target="https://improve-workload-and-wellbeing-for-school-staff.education.gov.uk/workload-reduction-toolkit/identify-workload-issues/staff-workload-survey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4f81daae3b535f18a9bb9fd27cadbde7183402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SPACE Toolkit</dc:title>
  <dc:creator>Nicole Sargeant</dc:creator>
  <cp:lastModifiedBy>Un-named</cp:lastModifiedBy>
  <cp:revision>1</cp:revision>
  <dcterms:created xsi:type="dcterms:W3CDTF">2026-10-29T07:53:08.594Z</dcterms:created>
  <dcterms:modified xsi:type="dcterms:W3CDTF">2026-10-29T07:53:08.594Z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