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4C031" w14:textId="19F4F1DE" w:rsidR="002A1432" w:rsidRDefault="00CB288D" w:rsidP="00A14C61">
      <w:pPr>
        <w:pStyle w:val="Title"/>
        <w:jc w:val="center"/>
        <w:rPr>
          <w:rFonts w:ascii="Times New Roman" w:hAnsi="Times New Roman" w:cs="Times New Roman"/>
          <w:b/>
          <w:bCs/>
          <w:sz w:val="28"/>
          <w:szCs w:val="28"/>
        </w:rPr>
      </w:pPr>
      <w:r w:rsidRPr="000F3CC1">
        <w:rPr>
          <w:rFonts w:ascii="Times New Roman" w:eastAsiaTheme="minorHAnsi" w:hAnsi="Times New Roman" w:cs="Times New Roman"/>
          <w:b/>
          <w:spacing w:val="0"/>
          <w:kern w:val="0"/>
          <w:sz w:val="28"/>
          <w:szCs w:val="22"/>
          <w14:ligatures w14:val="none"/>
        </w:rPr>
        <w:t>Prioritization</w:t>
      </w:r>
      <w:r>
        <w:rPr>
          <w:rFonts w:ascii="Times New Roman" w:hAnsi="Times New Roman" w:cs="Times New Roman"/>
          <w:b/>
          <w:bCs/>
          <w:sz w:val="28"/>
          <w:szCs w:val="28"/>
        </w:rPr>
        <w:t xml:space="preserve"> </w:t>
      </w:r>
      <w:r w:rsidR="000F3CC1">
        <w:rPr>
          <w:rFonts w:ascii="Times New Roman" w:hAnsi="Times New Roman" w:cs="Times New Roman"/>
          <w:b/>
          <w:bCs/>
          <w:sz w:val="28"/>
          <w:szCs w:val="28"/>
        </w:rPr>
        <w:t>of Snake River Instream PIT Tag Detection Systems</w:t>
      </w:r>
      <w:r w:rsidR="00A14C61">
        <w:rPr>
          <w:rFonts w:ascii="Times New Roman" w:hAnsi="Times New Roman" w:cs="Times New Roman"/>
          <w:b/>
          <w:bCs/>
          <w:sz w:val="28"/>
          <w:szCs w:val="28"/>
        </w:rPr>
        <w:t xml:space="preserve"> for</w:t>
      </w:r>
      <w:r w:rsidR="000F3CC1">
        <w:rPr>
          <w:rFonts w:ascii="Times New Roman" w:hAnsi="Times New Roman" w:cs="Times New Roman"/>
          <w:b/>
          <w:bCs/>
          <w:sz w:val="28"/>
          <w:szCs w:val="28"/>
        </w:rPr>
        <w:t xml:space="preserve"> </w:t>
      </w:r>
      <w:r w:rsidR="00AD1A03">
        <w:rPr>
          <w:rFonts w:ascii="Times New Roman" w:hAnsi="Times New Roman" w:cs="Times New Roman"/>
          <w:b/>
          <w:bCs/>
          <w:sz w:val="28"/>
          <w:szCs w:val="28"/>
        </w:rPr>
        <w:t>O</w:t>
      </w:r>
      <w:r w:rsidR="000F3CC1">
        <w:rPr>
          <w:rFonts w:ascii="Times New Roman" w:hAnsi="Times New Roman" w:cs="Times New Roman"/>
          <w:b/>
          <w:bCs/>
          <w:sz w:val="28"/>
          <w:szCs w:val="28"/>
        </w:rPr>
        <w:t xml:space="preserve">perations &amp; </w:t>
      </w:r>
      <w:r w:rsidR="00AD1A03">
        <w:rPr>
          <w:rFonts w:ascii="Times New Roman" w:hAnsi="Times New Roman" w:cs="Times New Roman"/>
          <w:b/>
          <w:bCs/>
          <w:sz w:val="28"/>
          <w:szCs w:val="28"/>
        </w:rPr>
        <w:t>Maintenance</w:t>
      </w:r>
    </w:p>
    <w:p w14:paraId="20B52162" w14:textId="77777777" w:rsidR="00F97286" w:rsidRDefault="00F97286" w:rsidP="00F97286">
      <w:pPr>
        <w:jc w:val="center"/>
        <w:rPr>
          <w:rFonts w:ascii="Times New Roman" w:hAnsi="Times New Roman" w:cs="Times New Roman"/>
          <w:sz w:val="24"/>
          <w:szCs w:val="24"/>
        </w:rPr>
      </w:pPr>
    </w:p>
    <w:p w14:paraId="1E300877" w14:textId="17366880" w:rsidR="00F97286" w:rsidRPr="00F97286" w:rsidRDefault="00F97286" w:rsidP="00F97286">
      <w:pPr>
        <w:jc w:val="center"/>
        <w:rPr>
          <w:rFonts w:ascii="Times New Roman" w:hAnsi="Times New Roman" w:cs="Times New Roman"/>
          <w:sz w:val="24"/>
          <w:szCs w:val="24"/>
        </w:rPr>
      </w:pPr>
      <w:r w:rsidRPr="00F97286">
        <w:rPr>
          <w:rFonts w:ascii="Times New Roman" w:hAnsi="Times New Roman" w:cs="Times New Roman"/>
          <w:sz w:val="24"/>
          <w:szCs w:val="24"/>
        </w:rPr>
        <w:t xml:space="preserve">Version: </w:t>
      </w:r>
      <w:r w:rsidR="00AB0ED4">
        <w:rPr>
          <w:rFonts w:ascii="Times New Roman" w:hAnsi="Times New Roman" w:cs="Times New Roman"/>
          <w:sz w:val="24"/>
          <w:szCs w:val="24"/>
        </w:rPr>
        <w:t>June</w:t>
      </w:r>
      <w:r w:rsidRPr="00F97286">
        <w:rPr>
          <w:rFonts w:ascii="Times New Roman" w:hAnsi="Times New Roman" w:cs="Times New Roman"/>
          <w:sz w:val="24"/>
          <w:szCs w:val="24"/>
        </w:rPr>
        <w:t xml:space="preserve"> </w:t>
      </w:r>
      <w:r w:rsidR="00AB0ED4">
        <w:rPr>
          <w:rFonts w:ascii="Times New Roman" w:hAnsi="Times New Roman" w:cs="Times New Roman"/>
          <w:sz w:val="24"/>
          <w:szCs w:val="24"/>
        </w:rPr>
        <w:t>6</w:t>
      </w:r>
      <w:r w:rsidRPr="00F97286">
        <w:rPr>
          <w:rFonts w:ascii="Times New Roman" w:hAnsi="Times New Roman" w:cs="Times New Roman"/>
          <w:sz w:val="24"/>
          <w:szCs w:val="24"/>
        </w:rPr>
        <w:t>, 2023</w:t>
      </w:r>
    </w:p>
    <w:p w14:paraId="1072F573" w14:textId="77777777" w:rsidR="00F97286" w:rsidRDefault="00F97286" w:rsidP="00F97286">
      <w:pPr>
        <w:jc w:val="both"/>
        <w:rPr>
          <w:rFonts w:ascii="Times New Roman" w:hAnsi="Times New Roman" w:cs="Times New Roman"/>
          <w:b/>
          <w:bCs/>
          <w:sz w:val="24"/>
          <w:szCs w:val="24"/>
        </w:rPr>
      </w:pPr>
    </w:p>
    <w:p w14:paraId="3B3B25EB" w14:textId="628FB035" w:rsidR="00F97286" w:rsidRDefault="00F97286" w:rsidP="00F97286">
      <w:pPr>
        <w:jc w:val="both"/>
        <w:rPr>
          <w:rFonts w:ascii="Times New Roman" w:hAnsi="Times New Roman" w:cs="Times New Roman"/>
          <w:b/>
          <w:bCs/>
          <w:sz w:val="24"/>
          <w:szCs w:val="24"/>
        </w:rPr>
      </w:pPr>
      <w:r>
        <w:rPr>
          <w:rFonts w:ascii="Times New Roman" w:hAnsi="Times New Roman" w:cs="Times New Roman"/>
          <w:b/>
          <w:bCs/>
          <w:sz w:val="24"/>
          <w:szCs w:val="24"/>
        </w:rPr>
        <w:t>BACKGROUND</w:t>
      </w:r>
    </w:p>
    <w:p w14:paraId="660BA156" w14:textId="2D4DFFC0" w:rsidR="00485899" w:rsidRDefault="00485899" w:rsidP="00F97286">
      <w:pPr>
        <w:jc w:val="both"/>
        <w:rPr>
          <w:rFonts w:ascii="Times New Roman" w:hAnsi="Times New Roman" w:cs="Times New Roman"/>
        </w:rPr>
      </w:pPr>
      <w:r>
        <w:rPr>
          <w:rFonts w:ascii="Times New Roman" w:hAnsi="Times New Roman" w:cs="Times New Roman"/>
        </w:rPr>
        <w:t xml:space="preserve">Numerous Instream PIT tag Detection Systems (IPTDS) have been installed throughout the Snake, upper Columbia, and </w:t>
      </w:r>
      <w:proofErr w:type="gramStart"/>
      <w:r>
        <w:rPr>
          <w:rFonts w:ascii="Times New Roman" w:hAnsi="Times New Roman" w:cs="Times New Roman"/>
        </w:rPr>
        <w:t>John Day river</w:t>
      </w:r>
      <w:proofErr w:type="gramEnd"/>
      <w:r>
        <w:rPr>
          <w:rFonts w:ascii="Times New Roman" w:hAnsi="Times New Roman" w:cs="Times New Roman"/>
        </w:rPr>
        <w:t xml:space="preserve"> basins to support habitat action effectiveness and status and trend</w:t>
      </w:r>
      <w:r w:rsidR="00350099">
        <w:rPr>
          <w:rFonts w:ascii="Times New Roman" w:hAnsi="Times New Roman" w:cs="Times New Roman"/>
        </w:rPr>
        <w:t>s</w:t>
      </w:r>
      <w:r>
        <w:rPr>
          <w:rFonts w:ascii="Times New Roman" w:hAnsi="Times New Roman" w:cs="Times New Roman"/>
        </w:rPr>
        <w:t xml:space="preserve"> monitoring initiatives developed under the Integrated Status and Effectiveness Monitoring Project (ISEMP; BPA project number 2013-007-00). However, when ISEMP was largely defunded in 2017, comanagers identified a subset of IPTDS for which continued operation was of high priority, including in the Snake River basin. The Integrated IPTDS Operations and Maintenance (O&amp;M) project (BPA project number 2018-002-00) was created to assume O&amp;M responsibilities for a subset of IPTDS with continued management utility.</w:t>
      </w:r>
    </w:p>
    <w:p w14:paraId="199E477E" w14:textId="5C7F6DEF" w:rsidR="00485899" w:rsidRPr="00485899" w:rsidRDefault="00485899" w:rsidP="00F97286">
      <w:pPr>
        <w:jc w:val="both"/>
        <w:rPr>
          <w:rFonts w:ascii="Times New Roman" w:hAnsi="Times New Roman" w:cs="Times New Roman"/>
          <w:b/>
          <w:bCs/>
          <w:i/>
          <w:iCs/>
          <w:sz w:val="24"/>
          <w:szCs w:val="24"/>
        </w:rPr>
      </w:pPr>
      <w:r>
        <w:rPr>
          <w:rFonts w:ascii="Times New Roman" w:hAnsi="Times New Roman" w:cs="Times New Roman"/>
          <w:b/>
          <w:bCs/>
          <w:i/>
          <w:iCs/>
          <w:sz w:val="24"/>
          <w:szCs w:val="24"/>
        </w:rPr>
        <w:t>Objectives</w:t>
      </w:r>
    </w:p>
    <w:p w14:paraId="3756444F" w14:textId="56CECDDB" w:rsidR="00A44238" w:rsidRDefault="00485899" w:rsidP="00F97286">
      <w:pPr>
        <w:jc w:val="both"/>
        <w:rPr>
          <w:rFonts w:ascii="Times New Roman" w:hAnsi="Times New Roman" w:cs="Times New Roman"/>
        </w:rPr>
      </w:pPr>
      <w:r w:rsidRPr="00485899">
        <w:rPr>
          <w:rFonts w:ascii="Times New Roman" w:hAnsi="Times New Roman" w:cs="Times New Roman"/>
        </w:rPr>
        <w:t xml:space="preserve">Our objective is to provide recommendations on the continued funding of O&amp;M for IPTDS throughout the Snake River basin, to be continued under </w:t>
      </w:r>
      <w:proofErr w:type="spellStart"/>
      <w:r w:rsidRPr="00485899">
        <w:rPr>
          <w:rFonts w:ascii="Times New Roman" w:hAnsi="Times New Roman" w:cs="Times New Roman"/>
        </w:rPr>
        <w:t>Biomark</w:t>
      </w:r>
      <w:proofErr w:type="spellEnd"/>
      <w:r w:rsidRPr="00485899">
        <w:rPr>
          <w:rFonts w:ascii="Times New Roman" w:hAnsi="Times New Roman" w:cs="Times New Roman"/>
        </w:rPr>
        <w:t xml:space="preserve">, Inc.’s project 2018-002-00 with the Bonneville Power Administration (BPA). Here, the primary goal for </w:t>
      </w:r>
      <w:r>
        <w:rPr>
          <w:rFonts w:ascii="Times New Roman" w:hAnsi="Times New Roman" w:cs="Times New Roman"/>
        </w:rPr>
        <w:t>prioritization and selection</w:t>
      </w:r>
      <w:r w:rsidRPr="00485899">
        <w:rPr>
          <w:rFonts w:ascii="Times New Roman" w:hAnsi="Times New Roman" w:cs="Times New Roman"/>
        </w:rPr>
        <w:t xml:space="preserve"> </w:t>
      </w:r>
      <w:r>
        <w:rPr>
          <w:rFonts w:ascii="Times New Roman" w:hAnsi="Times New Roman" w:cs="Times New Roman"/>
        </w:rPr>
        <w:t>of IPTDS is to obtain status and trends information for spring/summer-run (</w:t>
      </w:r>
      <w:proofErr w:type="spellStart"/>
      <w:r>
        <w:rPr>
          <w:rFonts w:ascii="Times New Roman" w:hAnsi="Times New Roman" w:cs="Times New Roman"/>
        </w:rPr>
        <w:t>sp</w:t>
      </w:r>
      <w:proofErr w:type="spellEnd"/>
      <w:r>
        <w:rPr>
          <w:rFonts w:ascii="Times New Roman" w:hAnsi="Times New Roman" w:cs="Times New Roman"/>
        </w:rPr>
        <w:t>/sum) Chinook salmon and summer-run steelhead populations in the basin, including high-precision monitoring in at least one population per ma</w:t>
      </w:r>
      <w:r w:rsidR="00A44238">
        <w:rPr>
          <w:rFonts w:ascii="Times New Roman" w:hAnsi="Times New Roman" w:cs="Times New Roman"/>
        </w:rPr>
        <w:t>jor population group (MPG) following the recommendations of Anadromous Salmonid Monitoring Strategy</w:t>
      </w:r>
      <w:r w:rsidR="00D85DD4">
        <w:rPr>
          <w:rFonts w:ascii="Times New Roman" w:hAnsi="Times New Roman" w:cs="Times New Roman"/>
        </w:rPr>
        <w:t xml:space="preserve"> (ASMS</w:t>
      </w:r>
      <w:r w:rsidR="002C6507">
        <w:rPr>
          <w:rFonts w:ascii="Times New Roman" w:hAnsi="Times New Roman" w:cs="Times New Roman"/>
        </w:rPr>
        <w:t xml:space="preserve">; </w:t>
      </w:r>
      <w:r w:rsidR="00A44238">
        <w:rPr>
          <w:rFonts w:ascii="Times New Roman" w:hAnsi="Times New Roman" w:cs="Times New Roman"/>
        </w:rPr>
        <w:t>CBCAMW 2010). We recognize the importance that all individual IPTDS have and their ability to answer specific fish monitoring and research questions. However, our purpose is to prioritize the IPTDS sites required to obtain population abundance and life history high-level indicators</w:t>
      </w:r>
      <w:r w:rsidR="00677DF7">
        <w:rPr>
          <w:rStyle w:val="FootnoteReference"/>
          <w:rFonts w:ascii="Times New Roman" w:hAnsi="Times New Roman" w:cs="Times New Roman"/>
        </w:rPr>
        <w:footnoteReference w:id="1"/>
      </w:r>
      <w:r w:rsidR="00A44238">
        <w:rPr>
          <w:rFonts w:ascii="Times New Roman" w:hAnsi="Times New Roman" w:cs="Times New Roman"/>
        </w:rPr>
        <w:t xml:space="preserve"> (HLI</w:t>
      </w:r>
      <w:r w:rsidR="00141564">
        <w:rPr>
          <w:rFonts w:ascii="Times New Roman" w:hAnsi="Times New Roman" w:cs="Times New Roman"/>
        </w:rPr>
        <w:t>; PNAMP 2009</w:t>
      </w:r>
      <w:r w:rsidR="00A44238">
        <w:rPr>
          <w:rFonts w:ascii="Times New Roman" w:hAnsi="Times New Roman" w:cs="Times New Roman"/>
        </w:rPr>
        <w:t>) efficiently and reliably, and to recommend them for continued or improved O&amp;M through BPA project 2018-002-00. Ultimately, our aim is to provide a transparent framework to identify the following recommendations and/or outcomes for IPTDS:</w:t>
      </w:r>
      <w:r w:rsidR="00410823">
        <w:rPr>
          <w:rFonts w:ascii="Times New Roman" w:hAnsi="Times New Roman" w:cs="Times New Roman"/>
        </w:rPr>
        <w:t xml:space="preserve"> 1) removal, 2) continued funding of O&amp;M, 3) upgrades, and/or 4) new IPTDS to address gaps or to increase cost-savings.</w:t>
      </w:r>
    </w:p>
    <w:p w14:paraId="023F0B4D" w14:textId="7BCD8508" w:rsidR="00D85DD4" w:rsidRDefault="00D85DD4" w:rsidP="00D85DD4">
      <w:pPr>
        <w:jc w:val="both"/>
        <w:rPr>
          <w:rFonts w:ascii="Times New Roman" w:hAnsi="Times New Roman" w:cs="Times New Roman"/>
          <w:b/>
          <w:bCs/>
          <w:sz w:val="24"/>
          <w:szCs w:val="24"/>
        </w:rPr>
      </w:pPr>
      <w:r>
        <w:rPr>
          <w:rFonts w:ascii="Times New Roman" w:hAnsi="Times New Roman" w:cs="Times New Roman"/>
          <w:b/>
          <w:bCs/>
          <w:sz w:val="24"/>
          <w:szCs w:val="24"/>
        </w:rPr>
        <w:t>GENERAL APPROACH</w:t>
      </w:r>
    </w:p>
    <w:p w14:paraId="1371726A" w14:textId="030F0926" w:rsidR="00D85DD4" w:rsidRDefault="00FE5F95" w:rsidP="00A14C61">
      <w:pPr>
        <w:jc w:val="both"/>
        <w:rPr>
          <w:rFonts w:ascii="Times New Roman" w:hAnsi="Times New Roman" w:cs="Times New Roman"/>
        </w:rPr>
      </w:pPr>
      <w:r>
        <w:rPr>
          <w:rFonts w:ascii="Times New Roman" w:hAnsi="Times New Roman" w:cs="Times New Roman"/>
        </w:rPr>
        <w:t>Four general parameters form the key to evaluating a population’s viability status: abundance, productivity, spatial structure, and diversity (</w:t>
      </w:r>
      <w:proofErr w:type="spellStart"/>
      <w:r>
        <w:rPr>
          <w:rFonts w:ascii="Times New Roman" w:hAnsi="Times New Roman" w:cs="Times New Roman"/>
        </w:rPr>
        <w:t>McElhany</w:t>
      </w:r>
      <w:proofErr w:type="spellEnd"/>
      <w:r>
        <w:rPr>
          <w:rFonts w:ascii="Times New Roman" w:hAnsi="Times New Roman" w:cs="Times New Roman"/>
        </w:rPr>
        <w:t xml:space="preserve"> et al. 2000). </w:t>
      </w:r>
      <w:r w:rsidR="00D85DD4">
        <w:rPr>
          <w:rFonts w:ascii="Times New Roman" w:hAnsi="Times New Roman" w:cs="Times New Roman"/>
        </w:rPr>
        <w:t xml:space="preserve">The ASMS recommends the following general guidelines, among others, to assess </w:t>
      </w:r>
      <w:r>
        <w:rPr>
          <w:rFonts w:ascii="Times New Roman" w:hAnsi="Times New Roman" w:cs="Times New Roman"/>
        </w:rPr>
        <w:t>these V</w:t>
      </w:r>
      <w:r w:rsidR="00D85DD4">
        <w:rPr>
          <w:rFonts w:ascii="Times New Roman" w:hAnsi="Times New Roman" w:cs="Times New Roman"/>
        </w:rPr>
        <w:t>iable Salmonid Population (VSP) criteria (CBCAMW 2010):</w:t>
      </w:r>
    </w:p>
    <w:p w14:paraId="6D2CD0E4" w14:textId="54B29AA1" w:rsidR="00D85DD4" w:rsidRPr="00485899" w:rsidRDefault="00110D73" w:rsidP="00D85DD4">
      <w:pPr>
        <w:jc w:val="both"/>
        <w:rPr>
          <w:rFonts w:ascii="Times New Roman" w:hAnsi="Times New Roman" w:cs="Times New Roman"/>
          <w:b/>
          <w:bCs/>
          <w:i/>
          <w:iCs/>
          <w:sz w:val="24"/>
          <w:szCs w:val="24"/>
        </w:rPr>
      </w:pPr>
      <w:r>
        <w:rPr>
          <w:rFonts w:ascii="Times New Roman" w:hAnsi="Times New Roman" w:cs="Times New Roman"/>
          <w:b/>
          <w:bCs/>
          <w:i/>
          <w:iCs/>
          <w:sz w:val="24"/>
          <w:szCs w:val="24"/>
        </w:rPr>
        <w:t>Abundance</w:t>
      </w:r>
    </w:p>
    <w:p w14:paraId="5BFD86A0" w14:textId="3197DAF0" w:rsidR="00D85DD4" w:rsidRDefault="00D85DD4" w:rsidP="00D85DD4">
      <w:pPr>
        <w:pStyle w:val="ListParagraph"/>
        <w:numPr>
          <w:ilvl w:val="0"/>
          <w:numId w:val="4"/>
        </w:numPr>
        <w:jc w:val="both"/>
        <w:rPr>
          <w:rFonts w:cs="Times New Roman"/>
        </w:rPr>
      </w:pPr>
      <w:r>
        <w:rPr>
          <w:rFonts w:cs="Times New Roman"/>
        </w:rPr>
        <w:t xml:space="preserve">Annual adult status and trend data should be collected at high intensity monitoring (precision) for </w:t>
      </w:r>
      <w:r>
        <w:rPr>
          <w:rFonts w:cs="Times New Roman"/>
          <w:i/>
          <w:iCs/>
        </w:rPr>
        <w:t xml:space="preserve">at least </w:t>
      </w:r>
      <w:r>
        <w:rPr>
          <w:rFonts w:cs="Times New Roman"/>
        </w:rPr>
        <w:t xml:space="preserve">one population per life history type (spring versus summer run) per MPG. This adult </w:t>
      </w:r>
      <w:r>
        <w:rPr>
          <w:rFonts w:cs="Times New Roman"/>
        </w:rPr>
        <w:lastRenderedPageBreak/>
        <w:t>monitoring should be invested in populations with high intensity juvenile and smolt abundance monitoring.</w:t>
      </w:r>
    </w:p>
    <w:p w14:paraId="68B1E69D" w14:textId="75444269" w:rsidR="00D85DD4" w:rsidRDefault="00D85DD4" w:rsidP="00D85DD4">
      <w:pPr>
        <w:pStyle w:val="ListParagraph"/>
        <w:numPr>
          <w:ilvl w:val="0"/>
          <w:numId w:val="4"/>
        </w:numPr>
        <w:jc w:val="both"/>
        <w:rPr>
          <w:rFonts w:cs="Times New Roman"/>
        </w:rPr>
      </w:pPr>
      <w:r>
        <w:rPr>
          <w:rFonts w:cs="Times New Roman"/>
        </w:rPr>
        <w:t>Annual adult status and trend data should be collected at lower intensity monitoring for every population within an MPG.</w:t>
      </w:r>
    </w:p>
    <w:p w14:paraId="6E87BD48" w14:textId="778913FF" w:rsidR="00D85DD4" w:rsidRDefault="00D85DD4" w:rsidP="00D85DD4">
      <w:pPr>
        <w:pStyle w:val="ListParagraph"/>
        <w:numPr>
          <w:ilvl w:val="0"/>
          <w:numId w:val="4"/>
        </w:numPr>
        <w:jc w:val="both"/>
        <w:rPr>
          <w:rFonts w:cs="Times New Roman"/>
        </w:rPr>
      </w:pPr>
      <w:r>
        <w:rPr>
          <w:rFonts w:cs="Times New Roman"/>
        </w:rPr>
        <w:t>Adult monitoring should report abundance and precision (confidence intervals, CI’s) on a yearly basis in a manner that will allow abundance (and uncertainty levels) to be aggregated at larger spatial scales (e.g., MPG or ESU/DPS).</w:t>
      </w:r>
    </w:p>
    <w:p w14:paraId="054FB879" w14:textId="4A3608F7" w:rsidR="00110D73" w:rsidRDefault="00110D73" w:rsidP="00D85DD4">
      <w:pPr>
        <w:pStyle w:val="ListParagraph"/>
        <w:numPr>
          <w:ilvl w:val="0"/>
          <w:numId w:val="4"/>
        </w:numPr>
        <w:jc w:val="both"/>
        <w:rPr>
          <w:rFonts w:cs="Times New Roman"/>
        </w:rPr>
      </w:pPr>
      <w:r>
        <w:rPr>
          <w:rFonts w:cs="Times New Roman"/>
        </w:rPr>
        <w:t>…</w:t>
      </w:r>
    </w:p>
    <w:p w14:paraId="077F0DDF" w14:textId="3D72FF09" w:rsidR="00110D73" w:rsidRPr="00110D73" w:rsidRDefault="00110D73" w:rsidP="00110D73">
      <w:pPr>
        <w:jc w:val="both"/>
        <w:rPr>
          <w:rFonts w:ascii="Times New Roman" w:hAnsi="Times New Roman" w:cs="Times New Roman"/>
          <w:b/>
          <w:bCs/>
          <w:i/>
          <w:iCs/>
          <w:sz w:val="24"/>
          <w:szCs w:val="24"/>
        </w:rPr>
      </w:pPr>
      <w:r>
        <w:rPr>
          <w:rFonts w:ascii="Times New Roman" w:hAnsi="Times New Roman" w:cs="Times New Roman"/>
          <w:b/>
          <w:bCs/>
          <w:i/>
          <w:iCs/>
          <w:sz w:val="24"/>
          <w:szCs w:val="24"/>
        </w:rPr>
        <w:t>Productivity</w:t>
      </w:r>
    </w:p>
    <w:p w14:paraId="03E39DE5" w14:textId="0FE20AB3" w:rsidR="00110D73" w:rsidRDefault="00110D73" w:rsidP="00110D73">
      <w:pPr>
        <w:pStyle w:val="ListParagraph"/>
        <w:numPr>
          <w:ilvl w:val="0"/>
          <w:numId w:val="5"/>
        </w:numPr>
        <w:jc w:val="both"/>
        <w:rPr>
          <w:rFonts w:cs="Times New Roman"/>
        </w:rPr>
      </w:pPr>
      <w:r>
        <w:rPr>
          <w:rFonts w:cs="Times New Roman"/>
        </w:rPr>
        <w:t xml:space="preserve">Annual estimates of </w:t>
      </w:r>
      <w:proofErr w:type="spellStart"/>
      <w:proofErr w:type="gramStart"/>
      <w:r>
        <w:rPr>
          <w:rFonts w:cs="Times New Roman"/>
        </w:rPr>
        <w:t>adult:adult</w:t>
      </w:r>
      <w:proofErr w:type="spellEnd"/>
      <w:proofErr w:type="gramEnd"/>
      <w:r>
        <w:rPr>
          <w:rFonts w:cs="Times New Roman"/>
        </w:rPr>
        <w:t xml:space="preserve"> productivity and CI’s for each population.</w:t>
      </w:r>
    </w:p>
    <w:p w14:paraId="27949F05" w14:textId="0323493B" w:rsidR="00110D73" w:rsidRDefault="00110D73" w:rsidP="00110D73">
      <w:pPr>
        <w:pStyle w:val="ListParagraph"/>
        <w:numPr>
          <w:ilvl w:val="0"/>
          <w:numId w:val="5"/>
        </w:numPr>
        <w:jc w:val="both"/>
        <w:rPr>
          <w:rFonts w:cs="Times New Roman"/>
        </w:rPr>
      </w:pPr>
      <w:r>
        <w:rPr>
          <w:rFonts w:cs="Times New Roman"/>
        </w:rPr>
        <w:t>Annual estimates of juvenile and smolt migrants and CI’s for at least one population per MPG. Juvenile and smolt monitoring should be done in populations with high intensity adult monitoring to calculate smolts per female (or smolts per spa</w:t>
      </w:r>
      <w:r w:rsidR="00AD386E">
        <w:rPr>
          <w:rFonts w:cs="Times New Roman"/>
        </w:rPr>
        <w:t>w</w:t>
      </w:r>
      <w:r>
        <w:rPr>
          <w:rFonts w:cs="Times New Roman"/>
        </w:rPr>
        <w:t>ner).</w:t>
      </w:r>
    </w:p>
    <w:p w14:paraId="297FDD74" w14:textId="25B45A02" w:rsidR="00110D73" w:rsidRDefault="00110D73" w:rsidP="00110D73">
      <w:pPr>
        <w:pStyle w:val="ListParagraph"/>
        <w:numPr>
          <w:ilvl w:val="0"/>
          <w:numId w:val="5"/>
        </w:numPr>
        <w:jc w:val="both"/>
        <w:rPr>
          <w:rFonts w:cs="Times New Roman"/>
        </w:rPr>
      </w:pPr>
      <w:r>
        <w:rPr>
          <w:rFonts w:cs="Times New Roman"/>
        </w:rPr>
        <w:t>…</w:t>
      </w:r>
    </w:p>
    <w:p w14:paraId="0EA09911" w14:textId="380CC342" w:rsidR="00110D73" w:rsidRPr="00110D73" w:rsidRDefault="00110D73" w:rsidP="00110D73">
      <w:pPr>
        <w:jc w:val="both"/>
        <w:rPr>
          <w:rFonts w:ascii="Times New Roman" w:hAnsi="Times New Roman" w:cs="Times New Roman"/>
          <w:b/>
          <w:bCs/>
          <w:i/>
          <w:iCs/>
          <w:sz w:val="24"/>
          <w:szCs w:val="24"/>
        </w:rPr>
      </w:pPr>
      <w:r>
        <w:rPr>
          <w:rFonts w:ascii="Times New Roman" w:hAnsi="Times New Roman" w:cs="Times New Roman"/>
          <w:b/>
          <w:bCs/>
          <w:i/>
          <w:iCs/>
          <w:sz w:val="24"/>
          <w:szCs w:val="24"/>
        </w:rPr>
        <w:t>Diversity</w:t>
      </w:r>
    </w:p>
    <w:p w14:paraId="7DF4BF5A" w14:textId="77A492F2" w:rsidR="00110D73" w:rsidRPr="00110D73" w:rsidRDefault="00110D73" w:rsidP="00110D73">
      <w:pPr>
        <w:pStyle w:val="ListParagraph"/>
        <w:numPr>
          <w:ilvl w:val="0"/>
          <w:numId w:val="6"/>
        </w:numPr>
        <w:jc w:val="both"/>
        <w:rPr>
          <w:rFonts w:cs="Times New Roman"/>
        </w:rPr>
      </w:pPr>
      <w:r>
        <w:rPr>
          <w:rFonts w:cs="Times New Roman"/>
        </w:rPr>
        <w:t xml:space="preserve">Periodic sampling of populations for genetic diversity. Sample wild populations on a rotating five-year basis to maintain genetic baselines for genetic stock identification and to evaluate genetic population structure and diversity. </w:t>
      </w:r>
    </w:p>
    <w:p w14:paraId="6117FEAC" w14:textId="317267D7" w:rsidR="00110D73" w:rsidRDefault="00110D73" w:rsidP="00110D73">
      <w:pPr>
        <w:pStyle w:val="ListParagraph"/>
        <w:numPr>
          <w:ilvl w:val="0"/>
          <w:numId w:val="5"/>
        </w:numPr>
        <w:jc w:val="both"/>
        <w:rPr>
          <w:rFonts w:cs="Times New Roman"/>
        </w:rPr>
      </w:pPr>
      <w:r>
        <w:rPr>
          <w:rFonts w:cs="Times New Roman"/>
        </w:rPr>
        <w:t xml:space="preserve">Periodic monitoring of population phenotypic diversity (e.g., juvenile outmigration timing, adult run timing, spawn timing, age distribution, age at maturity, fecundity, sex ratio, </w:t>
      </w:r>
      <w:r w:rsidR="00ED7D46">
        <w:rPr>
          <w:rFonts w:cs="Times New Roman"/>
        </w:rPr>
        <w:t>size,</w:t>
      </w:r>
      <w:r>
        <w:rPr>
          <w:rFonts w:cs="Times New Roman"/>
        </w:rPr>
        <w:t xml:space="preserve"> and weight)</w:t>
      </w:r>
    </w:p>
    <w:p w14:paraId="449ADDE6" w14:textId="640C3EE1" w:rsidR="00110D73" w:rsidRPr="00110D73" w:rsidRDefault="00FE5F95" w:rsidP="00110D73">
      <w:pPr>
        <w:jc w:val="both"/>
        <w:rPr>
          <w:rFonts w:cs="Times New Roman"/>
        </w:rPr>
      </w:pPr>
      <w:r>
        <w:rPr>
          <w:rFonts w:ascii="Times New Roman" w:hAnsi="Times New Roman" w:cs="Times New Roman"/>
        </w:rPr>
        <w:t>IPTDS throughout the Snake River basin can be used to monitor adult abundance and productivity directly, as well as spatial structure and diversity, indirectly (supported by genetic and age data collected at Lower Granite Dam). As such, we considered these</w:t>
      </w:r>
      <w:r w:rsidR="00FD4373">
        <w:rPr>
          <w:rFonts w:ascii="Times New Roman" w:hAnsi="Times New Roman" w:cs="Times New Roman"/>
        </w:rPr>
        <w:t xml:space="preserve"> ASMS</w:t>
      </w:r>
      <w:r>
        <w:rPr>
          <w:rFonts w:ascii="Times New Roman" w:hAnsi="Times New Roman" w:cs="Times New Roman"/>
        </w:rPr>
        <w:t xml:space="preserve"> guidelines</w:t>
      </w:r>
      <w:r w:rsidR="00393A12">
        <w:rPr>
          <w:rFonts w:ascii="Times New Roman" w:hAnsi="Times New Roman" w:cs="Times New Roman"/>
        </w:rPr>
        <w:t xml:space="preserve"> within the following prioritization framework.</w:t>
      </w:r>
    </w:p>
    <w:p w14:paraId="70F92BF5" w14:textId="71E4FD05" w:rsidR="00A72EAA" w:rsidRDefault="00A72EAA" w:rsidP="00A14C61">
      <w:pPr>
        <w:jc w:val="both"/>
        <w:rPr>
          <w:rFonts w:ascii="Times New Roman" w:hAnsi="Times New Roman" w:cs="Times New Roman"/>
          <w:b/>
          <w:bCs/>
          <w:sz w:val="24"/>
          <w:szCs w:val="24"/>
        </w:rPr>
      </w:pPr>
      <w:r w:rsidRPr="00F97286">
        <w:rPr>
          <w:rFonts w:ascii="Times New Roman" w:hAnsi="Times New Roman" w:cs="Times New Roman"/>
          <w:b/>
          <w:bCs/>
          <w:sz w:val="24"/>
          <w:szCs w:val="24"/>
        </w:rPr>
        <w:t xml:space="preserve">PRIORITIZATION </w:t>
      </w:r>
      <w:r w:rsidR="00393A12">
        <w:rPr>
          <w:rFonts w:ascii="Times New Roman" w:hAnsi="Times New Roman" w:cs="Times New Roman"/>
          <w:b/>
          <w:bCs/>
          <w:sz w:val="24"/>
          <w:szCs w:val="24"/>
        </w:rPr>
        <w:t>FRAMEWORK</w:t>
      </w:r>
    </w:p>
    <w:p w14:paraId="13F32043" w14:textId="4796653E" w:rsidR="00A44238" w:rsidRDefault="006377EF" w:rsidP="006377EF">
      <w:pPr>
        <w:pStyle w:val="ListParagraph"/>
        <w:numPr>
          <w:ilvl w:val="0"/>
          <w:numId w:val="2"/>
        </w:numPr>
        <w:jc w:val="both"/>
        <w:rPr>
          <w:rFonts w:cs="Times New Roman"/>
        </w:rPr>
      </w:pPr>
      <w:r>
        <w:rPr>
          <w:rFonts w:cs="Times New Roman"/>
        </w:rPr>
        <w:t xml:space="preserve">First, we evaluate existing status and trends monitoring activities within each Snake River </w:t>
      </w:r>
      <w:proofErr w:type="spellStart"/>
      <w:r>
        <w:rPr>
          <w:rFonts w:cs="Times New Roman"/>
        </w:rPr>
        <w:t>sp</w:t>
      </w:r>
      <w:proofErr w:type="spellEnd"/>
      <w:r>
        <w:rPr>
          <w:rFonts w:cs="Times New Roman"/>
        </w:rPr>
        <w:t xml:space="preserve">/sum Chinook salmon </w:t>
      </w:r>
      <w:r w:rsidR="004F6A40">
        <w:rPr>
          <w:rFonts w:cs="Times New Roman"/>
        </w:rPr>
        <w:t xml:space="preserve">and </w:t>
      </w:r>
      <w:r>
        <w:rPr>
          <w:rFonts w:cs="Times New Roman"/>
        </w:rPr>
        <w:t xml:space="preserve">steelhead </w:t>
      </w:r>
      <w:r w:rsidR="004F6A40">
        <w:rPr>
          <w:rFonts w:cs="Times New Roman"/>
        </w:rPr>
        <w:t>population</w:t>
      </w:r>
      <w:r>
        <w:rPr>
          <w:rFonts w:cs="Times New Roman"/>
        </w:rPr>
        <w:t xml:space="preserve"> to determine areas with current insufficient monitoring (i.e., data gaps), or with low-precision or high-precision monitoring (</w:t>
      </w:r>
      <w:r w:rsidR="00141564">
        <w:rPr>
          <w:rFonts w:cs="Times New Roman"/>
        </w:rPr>
        <w:t xml:space="preserve">see blue boxes in </w:t>
      </w:r>
      <w:r w:rsidRPr="00465B97">
        <w:rPr>
          <w:rFonts w:cs="Times New Roman"/>
        </w:rPr>
        <w:fldChar w:fldCharType="begin"/>
      </w:r>
      <w:r w:rsidRPr="00465B97">
        <w:rPr>
          <w:rFonts w:cs="Times New Roman"/>
        </w:rPr>
        <w:instrText xml:space="preserve"> REF _Ref136412831 \h  \* MERGEFORMAT </w:instrText>
      </w:r>
      <w:r w:rsidRPr="00465B97">
        <w:rPr>
          <w:rFonts w:cs="Times New Roman"/>
        </w:rPr>
      </w:r>
      <w:r w:rsidRPr="00465B97">
        <w:rPr>
          <w:rFonts w:cs="Times New Roman"/>
        </w:rPr>
        <w:fldChar w:fldCharType="separate"/>
      </w:r>
      <w:r w:rsidRPr="00465B97">
        <w:t xml:space="preserve">Figure </w:t>
      </w:r>
      <w:r w:rsidRPr="00465B97">
        <w:rPr>
          <w:noProof/>
        </w:rPr>
        <w:t>1</w:t>
      </w:r>
      <w:r w:rsidRPr="00465B97">
        <w:rPr>
          <w:rFonts w:cs="Times New Roman"/>
        </w:rPr>
        <w:fldChar w:fldCharType="end"/>
      </w:r>
      <w:r>
        <w:rPr>
          <w:rFonts w:cs="Times New Roman"/>
        </w:rPr>
        <w:t>). Descriptions of each are as follows:</w:t>
      </w:r>
    </w:p>
    <w:p w14:paraId="692B3680" w14:textId="77777777" w:rsidR="006377EF" w:rsidRDefault="006377EF" w:rsidP="006377EF">
      <w:pPr>
        <w:pStyle w:val="ListParagraph"/>
        <w:jc w:val="both"/>
        <w:rPr>
          <w:rFonts w:cs="Times New Roman"/>
        </w:rPr>
      </w:pPr>
    </w:p>
    <w:p w14:paraId="7E40623A" w14:textId="671EE9AA" w:rsidR="006377EF" w:rsidRDefault="006377EF" w:rsidP="006377EF">
      <w:pPr>
        <w:pStyle w:val="ListParagraph"/>
        <w:numPr>
          <w:ilvl w:val="1"/>
          <w:numId w:val="2"/>
        </w:numPr>
        <w:jc w:val="both"/>
        <w:rPr>
          <w:rFonts w:cs="Times New Roman"/>
        </w:rPr>
      </w:pPr>
      <w:r w:rsidRPr="006377EF">
        <w:rPr>
          <w:rFonts w:cs="Times New Roman"/>
          <w:b/>
          <w:bCs/>
        </w:rPr>
        <w:t>Data Gap:</w:t>
      </w:r>
      <w:r>
        <w:rPr>
          <w:rFonts w:cs="Times New Roman"/>
        </w:rPr>
        <w:t xml:space="preserve"> </w:t>
      </w:r>
      <w:r w:rsidR="00141564">
        <w:rPr>
          <w:rFonts w:cs="Times New Roman"/>
        </w:rPr>
        <w:t xml:space="preserve">Population lacks low-precision or high-precision monitoring activities to calculate </w:t>
      </w:r>
      <w:r w:rsidR="00567A86">
        <w:rPr>
          <w:rFonts w:cs="Times New Roman"/>
        </w:rPr>
        <w:t>HLIs,</w:t>
      </w:r>
      <w:r w:rsidR="004F6A40">
        <w:rPr>
          <w:rFonts w:cs="Times New Roman"/>
        </w:rPr>
        <w:t xml:space="preserve"> i.e., </w:t>
      </w:r>
      <w:r w:rsidR="00567A86">
        <w:rPr>
          <w:rFonts w:cs="Times New Roman"/>
        </w:rPr>
        <w:t xml:space="preserve">the </w:t>
      </w:r>
      <w:r w:rsidR="004F6A40">
        <w:rPr>
          <w:rFonts w:cs="Times New Roman"/>
        </w:rPr>
        <w:t>population lacks adult abundance estimates with precision</w:t>
      </w:r>
      <w:r w:rsidR="00567A86">
        <w:rPr>
          <w:rFonts w:cs="Times New Roman"/>
        </w:rPr>
        <w:t xml:space="preserve"> in most years</w:t>
      </w:r>
      <w:r w:rsidR="004F6A40">
        <w:rPr>
          <w:rFonts w:cs="Times New Roman"/>
        </w:rPr>
        <w:t>.</w:t>
      </w:r>
    </w:p>
    <w:p w14:paraId="7ED7556D" w14:textId="77777777" w:rsidR="006377EF" w:rsidRDefault="006377EF" w:rsidP="006377EF">
      <w:pPr>
        <w:pStyle w:val="ListParagraph"/>
        <w:ind w:left="1440"/>
        <w:jc w:val="both"/>
        <w:rPr>
          <w:rFonts w:cs="Times New Roman"/>
        </w:rPr>
      </w:pPr>
    </w:p>
    <w:p w14:paraId="52914D5E" w14:textId="572FD4FE" w:rsidR="006377EF" w:rsidRDefault="006377EF" w:rsidP="006377EF">
      <w:pPr>
        <w:pStyle w:val="ListParagraph"/>
        <w:numPr>
          <w:ilvl w:val="1"/>
          <w:numId w:val="2"/>
        </w:numPr>
        <w:jc w:val="both"/>
        <w:rPr>
          <w:rFonts w:cs="Times New Roman"/>
        </w:rPr>
      </w:pPr>
      <w:r w:rsidRPr="006377EF">
        <w:rPr>
          <w:rFonts w:cs="Times New Roman"/>
          <w:b/>
          <w:bCs/>
        </w:rPr>
        <w:t>Low-precision Monitoring:</w:t>
      </w:r>
      <w:r>
        <w:rPr>
          <w:rFonts w:cs="Times New Roman"/>
        </w:rPr>
        <w:t xml:space="preserve"> Population includes monitoring activities that lack information necessary to calculate HLI precision, the 5-year average coefficient of variation (CV) is &gt; 15%, or the monitoring occurs at a spatial/temporal scale that excludes some fish returning to major spawning areas within the population. Examples of low-</w:t>
      </w:r>
      <w:r w:rsidR="002A39E5">
        <w:rPr>
          <w:rFonts w:cs="Times New Roman"/>
        </w:rPr>
        <w:lastRenderedPageBreak/>
        <w:t>p</w:t>
      </w:r>
      <w:r>
        <w:rPr>
          <w:rFonts w:cs="Times New Roman"/>
        </w:rPr>
        <w:t>recision monitoring include spawning ground surveys, and picket weirs or IPTDS operated upstream of some major spawning areas</w:t>
      </w:r>
      <w:r w:rsidR="002A39E5">
        <w:rPr>
          <w:rStyle w:val="FootnoteReference"/>
          <w:rFonts w:cs="Times New Roman"/>
        </w:rPr>
        <w:footnoteReference w:id="2"/>
      </w:r>
      <w:r>
        <w:rPr>
          <w:rFonts w:cs="Times New Roman"/>
        </w:rPr>
        <w:t>.</w:t>
      </w:r>
    </w:p>
    <w:p w14:paraId="0CA95FE5" w14:textId="77777777" w:rsidR="006377EF" w:rsidRPr="006377EF" w:rsidRDefault="006377EF" w:rsidP="006377EF">
      <w:pPr>
        <w:pStyle w:val="ListParagraph"/>
        <w:rPr>
          <w:rFonts w:cs="Times New Roman"/>
        </w:rPr>
      </w:pPr>
    </w:p>
    <w:p w14:paraId="4D21AD54" w14:textId="4DC2F287" w:rsidR="00141564" w:rsidRDefault="006377EF" w:rsidP="00141564">
      <w:pPr>
        <w:pStyle w:val="ListParagraph"/>
        <w:numPr>
          <w:ilvl w:val="1"/>
          <w:numId w:val="2"/>
        </w:numPr>
        <w:jc w:val="both"/>
        <w:rPr>
          <w:rFonts w:cs="Times New Roman"/>
        </w:rPr>
      </w:pPr>
      <w:r w:rsidRPr="006377EF">
        <w:rPr>
          <w:rFonts w:cs="Times New Roman"/>
          <w:b/>
          <w:bCs/>
        </w:rPr>
        <w:t>High-precision Monitoring:</w:t>
      </w:r>
      <w:r>
        <w:rPr>
          <w:rFonts w:cs="Times New Roman"/>
        </w:rPr>
        <w:t xml:space="preserve"> Population includes monitoring activities that provide the necessary information to calculate HLI precision, maintain a 5-year average </w:t>
      </w:r>
      <w:r w:rsidR="003E4E69">
        <w:rPr>
          <w:rFonts w:cs="Times New Roman"/>
        </w:rPr>
        <w:t>CV of ≤ 15%, and occur at a spatial/temporal scale that includes all fish returning to major spawning areas within the population. Fish returning to minor spawning areas may be excluded. Examples of high-precision adult monitoring include picket weirs and IPTDS operated downstream of all spawning areas.</w:t>
      </w:r>
    </w:p>
    <w:p w14:paraId="59089E8F" w14:textId="77777777" w:rsidR="00141564" w:rsidRDefault="00141564" w:rsidP="00141564">
      <w:pPr>
        <w:pStyle w:val="ListParagraph"/>
        <w:jc w:val="both"/>
        <w:rPr>
          <w:rFonts w:cs="Times New Roman"/>
        </w:rPr>
      </w:pPr>
    </w:p>
    <w:p w14:paraId="0A04D30D" w14:textId="6C693217" w:rsidR="006377EF" w:rsidRDefault="00141564" w:rsidP="00141564">
      <w:pPr>
        <w:pStyle w:val="ListParagraph"/>
        <w:numPr>
          <w:ilvl w:val="0"/>
          <w:numId w:val="2"/>
        </w:numPr>
        <w:jc w:val="both"/>
        <w:rPr>
          <w:rFonts w:cs="Times New Roman"/>
        </w:rPr>
      </w:pPr>
      <w:r>
        <w:rPr>
          <w:rFonts w:cs="Times New Roman"/>
        </w:rPr>
        <w:t xml:space="preserve">Next, </w:t>
      </w:r>
      <w:r w:rsidR="00393A12">
        <w:rPr>
          <w:rFonts w:cs="Times New Roman"/>
        </w:rPr>
        <w:t>depending on the current monitoring activities within each population (none, low-precision, or high-precision)</w:t>
      </w:r>
      <w:r w:rsidR="008D560B">
        <w:rPr>
          <w:rFonts w:cs="Times New Roman"/>
        </w:rPr>
        <w:t xml:space="preserve">, </w:t>
      </w:r>
      <w:r w:rsidR="00597A13">
        <w:rPr>
          <w:rFonts w:cs="Times New Roman"/>
        </w:rPr>
        <w:t>additional</w:t>
      </w:r>
      <w:r w:rsidR="008D560B">
        <w:rPr>
          <w:rFonts w:cs="Times New Roman"/>
        </w:rPr>
        <w:t xml:space="preserve"> questions were considered to determine an “outcome” (</w:t>
      </w:r>
      <w:r w:rsidR="008D560B" w:rsidRPr="008D560B">
        <w:rPr>
          <w:rFonts w:cs="Times New Roman"/>
        </w:rPr>
        <w:fldChar w:fldCharType="begin"/>
      </w:r>
      <w:r w:rsidR="008D560B" w:rsidRPr="008D560B">
        <w:rPr>
          <w:rFonts w:cs="Times New Roman"/>
        </w:rPr>
        <w:instrText xml:space="preserve"> REF _Ref136412831 \h  \* MERGEFORMAT </w:instrText>
      </w:r>
      <w:r w:rsidR="008D560B" w:rsidRPr="008D560B">
        <w:rPr>
          <w:rFonts w:cs="Times New Roman"/>
        </w:rPr>
      </w:r>
      <w:r w:rsidR="008D560B" w:rsidRPr="008D560B">
        <w:rPr>
          <w:rFonts w:cs="Times New Roman"/>
        </w:rPr>
        <w:fldChar w:fldCharType="separate"/>
      </w:r>
      <w:r w:rsidR="008D560B" w:rsidRPr="008D560B">
        <w:t xml:space="preserve">Figure </w:t>
      </w:r>
      <w:r w:rsidR="008D560B" w:rsidRPr="008D560B">
        <w:rPr>
          <w:noProof/>
        </w:rPr>
        <w:t>1</w:t>
      </w:r>
      <w:r w:rsidR="008D560B" w:rsidRPr="008D560B">
        <w:rPr>
          <w:rFonts w:cs="Times New Roman"/>
        </w:rPr>
        <w:fldChar w:fldCharType="end"/>
      </w:r>
      <w:r w:rsidR="008D560B">
        <w:rPr>
          <w:rFonts w:cs="Times New Roman"/>
        </w:rPr>
        <w:t>). Questions c</w:t>
      </w:r>
      <w:r w:rsidR="0045782A">
        <w:rPr>
          <w:rFonts w:cs="Times New Roman"/>
        </w:rPr>
        <w:t xml:space="preserve">onsidered whether other populations within the same MPG were monitored using high-precision monitoring, whether IPTDS was the sole monitoring </w:t>
      </w:r>
      <w:r w:rsidR="00BA1DEF">
        <w:rPr>
          <w:rFonts w:cs="Times New Roman"/>
        </w:rPr>
        <w:t>method</w:t>
      </w:r>
      <w:r w:rsidR="0045782A">
        <w:rPr>
          <w:rFonts w:cs="Times New Roman"/>
        </w:rPr>
        <w:t xml:space="preserve"> within the population, whether low-precision monitoring was an option, and/or whether redundancy in monitoring was desired or necessary. Each set of questions and answers le</w:t>
      </w:r>
      <w:r w:rsidR="00597A13">
        <w:rPr>
          <w:rFonts w:cs="Times New Roman"/>
        </w:rPr>
        <w:t>a</w:t>
      </w:r>
      <w:r w:rsidR="0045782A">
        <w:rPr>
          <w:rFonts w:cs="Times New Roman"/>
        </w:rPr>
        <w:t>d</w:t>
      </w:r>
      <w:r w:rsidR="00597A13">
        <w:rPr>
          <w:rFonts w:cs="Times New Roman"/>
        </w:rPr>
        <w:t>s</w:t>
      </w:r>
      <w:r w:rsidR="0045782A">
        <w:rPr>
          <w:rFonts w:cs="Times New Roman"/>
        </w:rPr>
        <w:t xml:space="preserve"> to an “outcome” (</w:t>
      </w:r>
      <w:r w:rsidR="0045782A" w:rsidRPr="0045782A">
        <w:rPr>
          <w:rFonts w:cs="Times New Roman"/>
        </w:rPr>
        <w:fldChar w:fldCharType="begin"/>
      </w:r>
      <w:r w:rsidR="0045782A" w:rsidRPr="0045782A">
        <w:rPr>
          <w:rFonts w:cs="Times New Roman"/>
        </w:rPr>
        <w:instrText xml:space="preserve"> REF _Ref136412831 \h  \* MERGEFORMAT </w:instrText>
      </w:r>
      <w:r w:rsidR="0045782A" w:rsidRPr="0045782A">
        <w:rPr>
          <w:rFonts w:cs="Times New Roman"/>
        </w:rPr>
      </w:r>
      <w:r w:rsidR="0045782A" w:rsidRPr="0045782A">
        <w:rPr>
          <w:rFonts w:cs="Times New Roman"/>
        </w:rPr>
        <w:fldChar w:fldCharType="separate"/>
      </w:r>
      <w:r w:rsidR="0045782A" w:rsidRPr="0045782A">
        <w:t xml:space="preserve">Figure </w:t>
      </w:r>
      <w:r w:rsidR="0045782A" w:rsidRPr="0045782A">
        <w:rPr>
          <w:noProof/>
        </w:rPr>
        <w:t>1</w:t>
      </w:r>
      <w:r w:rsidR="0045782A" w:rsidRPr="0045782A">
        <w:rPr>
          <w:rFonts w:cs="Times New Roman"/>
        </w:rPr>
        <w:fldChar w:fldCharType="end"/>
      </w:r>
      <w:r w:rsidR="0045782A">
        <w:rPr>
          <w:rFonts w:cs="Times New Roman"/>
        </w:rPr>
        <w:t>).</w:t>
      </w:r>
    </w:p>
    <w:p w14:paraId="11BD5502" w14:textId="77777777" w:rsidR="0045782A" w:rsidRDefault="0045782A" w:rsidP="0045782A">
      <w:pPr>
        <w:pStyle w:val="ListParagraph"/>
        <w:jc w:val="both"/>
        <w:rPr>
          <w:rFonts w:cs="Times New Roman"/>
        </w:rPr>
      </w:pPr>
    </w:p>
    <w:p w14:paraId="3C870D57" w14:textId="1AB399DD" w:rsidR="0045782A" w:rsidRDefault="0045782A" w:rsidP="0045782A">
      <w:pPr>
        <w:pStyle w:val="ListParagraph"/>
        <w:numPr>
          <w:ilvl w:val="1"/>
          <w:numId w:val="2"/>
        </w:numPr>
        <w:jc w:val="both"/>
        <w:rPr>
          <w:rFonts w:cs="Times New Roman"/>
        </w:rPr>
      </w:pPr>
      <w:r w:rsidRPr="00597A13">
        <w:rPr>
          <w:rFonts w:cs="Times New Roman"/>
          <w:b/>
          <w:bCs/>
        </w:rPr>
        <w:t>Data Gap:</w:t>
      </w:r>
      <w:r w:rsidRPr="00597A13">
        <w:rPr>
          <w:rFonts w:cs="Times New Roman"/>
        </w:rPr>
        <w:t xml:space="preserve"> </w:t>
      </w:r>
      <w:r w:rsidR="00597A13" w:rsidRPr="00597A13">
        <w:rPr>
          <w:rFonts w:cs="Times New Roman"/>
        </w:rPr>
        <w:t>The ASMS suggests that low-intensity monitoring should be conducted for every population within an MPG. Thus, populations identified as a “data gap” should be considered as a candidate for IPTDS monitoring and/or other low-</w:t>
      </w:r>
      <w:r w:rsidR="00597A13">
        <w:rPr>
          <w:rFonts w:cs="Times New Roman"/>
        </w:rPr>
        <w:t>precision</w:t>
      </w:r>
      <w:r w:rsidR="00597A13" w:rsidRPr="00597A13">
        <w:rPr>
          <w:rFonts w:cs="Times New Roman"/>
        </w:rPr>
        <w:t xml:space="preserve"> monitoring methods.</w:t>
      </w:r>
    </w:p>
    <w:p w14:paraId="2B212CD6" w14:textId="77777777" w:rsidR="00597A13" w:rsidRPr="00597A13" w:rsidRDefault="00597A13" w:rsidP="00597A13">
      <w:pPr>
        <w:pStyle w:val="ListParagraph"/>
        <w:ind w:left="1440"/>
        <w:jc w:val="both"/>
        <w:rPr>
          <w:rFonts w:cs="Times New Roman"/>
        </w:rPr>
      </w:pPr>
    </w:p>
    <w:p w14:paraId="08F2C29C" w14:textId="7D9C5F49" w:rsidR="003C5676" w:rsidRDefault="0045782A" w:rsidP="003C5676">
      <w:pPr>
        <w:pStyle w:val="ListParagraph"/>
        <w:numPr>
          <w:ilvl w:val="1"/>
          <w:numId w:val="2"/>
        </w:numPr>
        <w:jc w:val="both"/>
        <w:rPr>
          <w:rFonts w:cs="Times New Roman"/>
        </w:rPr>
      </w:pPr>
      <w:r w:rsidRPr="003C5676">
        <w:rPr>
          <w:rFonts w:cs="Times New Roman"/>
          <w:b/>
          <w:bCs/>
        </w:rPr>
        <w:t>Low-precision Monitoring:</w:t>
      </w:r>
      <w:r w:rsidRPr="003C5676">
        <w:rPr>
          <w:rFonts w:cs="Times New Roman"/>
        </w:rPr>
        <w:t xml:space="preserve"> </w:t>
      </w:r>
      <w:r w:rsidR="00597A13" w:rsidRPr="003C5676">
        <w:rPr>
          <w:rFonts w:cs="Times New Roman"/>
        </w:rPr>
        <w:t>For populations with current low-precision monitoring,</w:t>
      </w:r>
      <w:r w:rsidR="003C5676" w:rsidRPr="003C5676">
        <w:rPr>
          <w:rFonts w:cs="Times New Roman"/>
        </w:rPr>
        <w:t xml:space="preserve"> we consider </w:t>
      </w:r>
      <w:r w:rsidR="00BA1DEF">
        <w:rPr>
          <w:rFonts w:cs="Times New Roman"/>
        </w:rPr>
        <w:t>up to three</w:t>
      </w:r>
      <w:r w:rsidR="003C5676" w:rsidRPr="003C5676">
        <w:rPr>
          <w:rFonts w:cs="Times New Roman"/>
        </w:rPr>
        <w:t xml:space="preserve"> questions:</w:t>
      </w:r>
    </w:p>
    <w:p w14:paraId="5F6745E8" w14:textId="30DDC0B1" w:rsidR="003C5676" w:rsidRDefault="00305646" w:rsidP="003C5676">
      <w:pPr>
        <w:pStyle w:val="ListParagraph"/>
        <w:numPr>
          <w:ilvl w:val="2"/>
          <w:numId w:val="2"/>
        </w:numPr>
        <w:jc w:val="both"/>
        <w:rPr>
          <w:rFonts w:cs="Times New Roman"/>
        </w:rPr>
      </w:pPr>
      <w:r>
        <w:rPr>
          <w:rFonts w:cs="Times New Roman"/>
        </w:rPr>
        <w:t>D</w:t>
      </w:r>
      <w:r w:rsidR="003C5676">
        <w:rPr>
          <w:rFonts w:cs="Times New Roman"/>
        </w:rPr>
        <w:t>oes any other population within the same MPG receive high-precision monitoring?</w:t>
      </w:r>
    </w:p>
    <w:p w14:paraId="7F1B95F0" w14:textId="312EDFB6" w:rsidR="00305646" w:rsidRDefault="00BA1DEF" w:rsidP="003C5676">
      <w:pPr>
        <w:pStyle w:val="ListParagraph"/>
        <w:numPr>
          <w:ilvl w:val="2"/>
          <w:numId w:val="2"/>
        </w:numPr>
        <w:jc w:val="both"/>
        <w:rPr>
          <w:rFonts w:cs="Times New Roman"/>
        </w:rPr>
      </w:pPr>
      <w:r>
        <w:rPr>
          <w:rFonts w:cs="Times New Roman"/>
        </w:rPr>
        <w:t>I</w:t>
      </w:r>
      <w:r w:rsidR="00305646">
        <w:rPr>
          <w:rFonts w:cs="Times New Roman"/>
        </w:rPr>
        <w:t>s the population monitored using</w:t>
      </w:r>
      <w:r>
        <w:rPr>
          <w:rFonts w:cs="Times New Roman"/>
        </w:rPr>
        <w:t xml:space="preserve"> only</w:t>
      </w:r>
      <w:r w:rsidR="00305646">
        <w:rPr>
          <w:rFonts w:cs="Times New Roman"/>
        </w:rPr>
        <w:t xml:space="preserve"> IPTDS?</w:t>
      </w:r>
    </w:p>
    <w:p w14:paraId="72F9F6D0" w14:textId="4DBF482F" w:rsidR="00BA1DEF" w:rsidRDefault="00BA1DEF" w:rsidP="003C5676">
      <w:pPr>
        <w:pStyle w:val="ListParagraph"/>
        <w:numPr>
          <w:ilvl w:val="2"/>
          <w:numId w:val="2"/>
        </w:numPr>
        <w:jc w:val="both"/>
        <w:rPr>
          <w:rFonts w:cs="Times New Roman"/>
        </w:rPr>
      </w:pPr>
      <w:r>
        <w:rPr>
          <w:rFonts w:cs="Times New Roman"/>
        </w:rPr>
        <w:t>Is an alternate low-precision monitoring method feasible?</w:t>
      </w:r>
    </w:p>
    <w:p w14:paraId="3F747363" w14:textId="77777777" w:rsidR="00597A13" w:rsidRPr="00597A13" w:rsidRDefault="00597A13" w:rsidP="00597A13">
      <w:pPr>
        <w:pStyle w:val="ListParagraph"/>
        <w:ind w:left="1440"/>
        <w:jc w:val="both"/>
        <w:rPr>
          <w:rFonts w:cs="Times New Roman"/>
        </w:rPr>
      </w:pPr>
    </w:p>
    <w:p w14:paraId="215D9F78" w14:textId="20DE6181" w:rsidR="00305646" w:rsidRDefault="0045782A" w:rsidP="0045782A">
      <w:pPr>
        <w:pStyle w:val="ListParagraph"/>
        <w:numPr>
          <w:ilvl w:val="1"/>
          <w:numId w:val="2"/>
        </w:numPr>
        <w:jc w:val="both"/>
        <w:rPr>
          <w:rFonts w:cs="Times New Roman"/>
        </w:rPr>
      </w:pPr>
      <w:r w:rsidRPr="0045782A">
        <w:rPr>
          <w:rFonts w:cs="Times New Roman"/>
          <w:b/>
          <w:bCs/>
        </w:rPr>
        <w:t>High-precision Monitoring:</w:t>
      </w:r>
      <w:r>
        <w:rPr>
          <w:rFonts w:cs="Times New Roman"/>
        </w:rPr>
        <w:t xml:space="preserve"> </w:t>
      </w:r>
      <w:r w:rsidR="00305646">
        <w:rPr>
          <w:rFonts w:cs="Times New Roman"/>
        </w:rPr>
        <w:t xml:space="preserve">For populations with current high-precision monitoring, we consider up to </w:t>
      </w:r>
      <w:r w:rsidR="00ED0BE9">
        <w:rPr>
          <w:rFonts w:cs="Times New Roman"/>
        </w:rPr>
        <w:t>five</w:t>
      </w:r>
      <w:r w:rsidR="00305646">
        <w:rPr>
          <w:rFonts w:cs="Times New Roman"/>
        </w:rPr>
        <w:t xml:space="preserve"> questions:</w:t>
      </w:r>
    </w:p>
    <w:p w14:paraId="6AC5ECDB" w14:textId="66030493" w:rsidR="0045782A" w:rsidRDefault="00305646" w:rsidP="00305646">
      <w:pPr>
        <w:pStyle w:val="ListParagraph"/>
        <w:numPr>
          <w:ilvl w:val="2"/>
          <w:numId w:val="2"/>
        </w:numPr>
        <w:jc w:val="both"/>
        <w:rPr>
          <w:rFonts w:cs="Times New Roman"/>
        </w:rPr>
      </w:pPr>
      <w:r>
        <w:rPr>
          <w:rFonts w:cs="Times New Roman"/>
        </w:rPr>
        <w:t>Is the population currently monitored using IPTDS?</w:t>
      </w:r>
    </w:p>
    <w:p w14:paraId="767C2F06" w14:textId="6FD38CF4" w:rsidR="00305646" w:rsidRDefault="00305646" w:rsidP="00305646">
      <w:pPr>
        <w:pStyle w:val="ListParagraph"/>
        <w:numPr>
          <w:ilvl w:val="2"/>
          <w:numId w:val="2"/>
        </w:numPr>
        <w:jc w:val="both"/>
        <w:rPr>
          <w:rFonts w:cs="Times New Roman"/>
        </w:rPr>
      </w:pPr>
      <w:r>
        <w:rPr>
          <w:rFonts w:cs="Times New Roman"/>
        </w:rPr>
        <w:t>Does any other population within the same MPG receive high-precision monitoring?</w:t>
      </w:r>
    </w:p>
    <w:p w14:paraId="440DEED7" w14:textId="21D3625B" w:rsidR="00305646" w:rsidRDefault="00305646" w:rsidP="00305646">
      <w:pPr>
        <w:pStyle w:val="ListParagraph"/>
        <w:numPr>
          <w:ilvl w:val="2"/>
          <w:numId w:val="2"/>
        </w:numPr>
        <w:jc w:val="both"/>
        <w:rPr>
          <w:rFonts w:cs="Times New Roman"/>
        </w:rPr>
      </w:pPr>
      <w:r>
        <w:rPr>
          <w:rFonts w:cs="Times New Roman"/>
        </w:rPr>
        <w:t>Is IPTDS the only high-precision monitoring method used in the population?</w:t>
      </w:r>
    </w:p>
    <w:p w14:paraId="7B0D958F" w14:textId="300FE4E1" w:rsidR="00305646" w:rsidRDefault="0089096A" w:rsidP="00305646">
      <w:pPr>
        <w:pStyle w:val="ListParagraph"/>
        <w:numPr>
          <w:ilvl w:val="2"/>
          <w:numId w:val="2"/>
        </w:numPr>
        <w:jc w:val="both"/>
        <w:rPr>
          <w:rFonts w:cs="Times New Roman"/>
        </w:rPr>
      </w:pPr>
      <w:r>
        <w:rPr>
          <w:rFonts w:cs="Times New Roman"/>
        </w:rPr>
        <w:t>Is an alternate low-precision monitoring method feasible</w:t>
      </w:r>
      <w:r w:rsidR="00305646">
        <w:rPr>
          <w:rFonts w:cs="Times New Roman"/>
        </w:rPr>
        <w:t>?</w:t>
      </w:r>
    </w:p>
    <w:p w14:paraId="541DB09D" w14:textId="216F51A7" w:rsidR="00305646" w:rsidRDefault="00305646" w:rsidP="00305646">
      <w:pPr>
        <w:pStyle w:val="ListParagraph"/>
        <w:numPr>
          <w:ilvl w:val="2"/>
          <w:numId w:val="2"/>
        </w:numPr>
        <w:jc w:val="both"/>
        <w:rPr>
          <w:rFonts w:cs="Times New Roman"/>
        </w:rPr>
      </w:pPr>
      <w:r>
        <w:rPr>
          <w:rFonts w:cs="Times New Roman"/>
        </w:rPr>
        <w:t>Is redundancy of two high-precision methods necessary e.g., for method validation, fish-handling, etc.?</w:t>
      </w:r>
    </w:p>
    <w:p w14:paraId="193E4E0D" w14:textId="08A9110E" w:rsidR="00032534" w:rsidRDefault="00032534" w:rsidP="00032534">
      <w:pPr>
        <w:jc w:val="both"/>
        <w:rPr>
          <w:rFonts w:ascii="Times New Roman" w:hAnsi="Times New Roman" w:cs="Times New Roman"/>
        </w:rPr>
      </w:pPr>
      <w:r>
        <w:rPr>
          <w:rFonts w:ascii="Times New Roman" w:hAnsi="Times New Roman" w:cs="Times New Roman"/>
        </w:rPr>
        <w:t xml:space="preserve">Depending on the “Yes/No” answers to each of these questions, there are </w:t>
      </w:r>
      <w:r w:rsidR="0089096A">
        <w:rPr>
          <w:rFonts w:ascii="Times New Roman" w:hAnsi="Times New Roman" w:cs="Times New Roman"/>
        </w:rPr>
        <w:t>f</w:t>
      </w:r>
      <w:r w:rsidR="00FA1EC1">
        <w:rPr>
          <w:rFonts w:ascii="Times New Roman" w:hAnsi="Times New Roman" w:cs="Times New Roman"/>
        </w:rPr>
        <w:t>our</w:t>
      </w:r>
      <w:r>
        <w:rPr>
          <w:rFonts w:ascii="Times New Roman" w:hAnsi="Times New Roman" w:cs="Times New Roman"/>
        </w:rPr>
        <w:t xml:space="preserve"> possible “outcomes”</w:t>
      </w:r>
      <w:r w:rsidR="00ED0BE9">
        <w:rPr>
          <w:rFonts w:ascii="Times New Roman" w:hAnsi="Times New Roman" w:cs="Times New Roman"/>
        </w:rPr>
        <w:t xml:space="preserve"> illustrated and described in </w:t>
      </w:r>
      <w:r w:rsidR="005E4DDF" w:rsidRPr="00032534">
        <w:rPr>
          <w:rFonts w:ascii="Times New Roman" w:hAnsi="Times New Roman" w:cs="Times New Roman"/>
        </w:rPr>
        <w:fldChar w:fldCharType="begin"/>
      </w:r>
      <w:r w:rsidR="005E4DDF" w:rsidRPr="00032534">
        <w:rPr>
          <w:rFonts w:ascii="Times New Roman" w:hAnsi="Times New Roman" w:cs="Times New Roman"/>
        </w:rPr>
        <w:instrText xml:space="preserve"> REF _Ref136412831 \h  \* MERGEFORMAT </w:instrText>
      </w:r>
      <w:r w:rsidR="005E4DDF" w:rsidRPr="00032534">
        <w:rPr>
          <w:rFonts w:ascii="Times New Roman" w:hAnsi="Times New Roman" w:cs="Times New Roman"/>
        </w:rPr>
      </w:r>
      <w:r w:rsidR="005E4DDF" w:rsidRPr="00032534">
        <w:rPr>
          <w:rFonts w:ascii="Times New Roman" w:hAnsi="Times New Roman" w:cs="Times New Roman"/>
        </w:rPr>
        <w:fldChar w:fldCharType="separate"/>
      </w:r>
      <w:r w:rsidR="005E4DDF" w:rsidRPr="00032534">
        <w:rPr>
          <w:rFonts w:ascii="Times New Roman" w:hAnsi="Times New Roman" w:cs="Times New Roman"/>
        </w:rPr>
        <w:t xml:space="preserve">Figure </w:t>
      </w:r>
      <w:r w:rsidR="005E4DDF" w:rsidRPr="00032534">
        <w:rPr>
          <w:rFonts w:ascii="Times New Roman" w:hAnsi="Times New Roman" w:cs="Times New Roman"/>
          <w:noProof/>
        </w:rPr>
        <w:t>1</w:t>
      </w:r>
      <w:r w:rsidR="005E4DDF" w:rsidRPr="00032534">
        <w:rPr>
          <w:rFonts w:ascii="Times New Roman" w:hAnsi="Times New Roman" w:cs="Times New Roman"/>
        </w:rPr>
        <w:fldChar w:fldCharType="end"/>
      </w:r>
      <w:r w:rsidR="00ED0BE9">
        <w:rPr>
          <w:rFonts w:ascii="Times New Roman" w:hAnsi="Times New Roman" w:cs="Times New Roman"/>
        </w:rPr>
        <w:t xml:space="preserve"> and </w:t>
      </w:r>
      <w:r w:rsidR="005E4DDF" w:rsidRPr="005E4DDF">
        <w:rPr>
          <w:rFonts w:ascii="Times New Roman" w:hAnsi="Times New Roman" w:cs="Times New Roman"/>
        </w:rPr>
        <w:fldChar w:fldCharType="begin"/>
      </w:r>
      <w:r w:rsidR="005E4DDF" w:rsidRPr="005E4DDF">
        <w:rPr>
          <w:rFonts w:ascii="Times New Roman" w:hAnsi="Times New Roman" w:cs="Times New Roman"/>
        </w:rPr>
        <w:instrText xml:space="preserve"> REF _Ref136929152 \h </w:instrText>
      </w:r>
      <w:r w:rsidR="005E4DDF">
        <w:rPr>
          <w:rFonts w:ascii="Times New Roman" w:hAnsi="Times New Roman" w:cs="Times New Roman"/>
        </w:rPr>
        <w:instrText xml:space="preserve"> \* MERGEFORMAT </w:instrText>
      </w:r>
      <w:r w:rsidR="005E4DDF" w:rsidRPr="005E4DDF">
        <w:rPr>
          <w:rFonts w:ascii="Times New Roman" w:hAnsi="Times New Roman" w:cs="Times New Roman"/>
        </w:rPr>
      </w:r>
      <w:r w:rsidR="005E4DDF" w:rsidRPr="005E4DDF">
        <w:rPr>
          <w:rFonts w:ascii="Times New Roman" w:hAnsi="Times New Roman" w:cs="Times New Roman"/>
        </w:rPr>
        <w:fldChar w:fldCharType="separate"/>
      </w:r>
      <w:r w:rsidR="005E4DDF" w:rsidRPr="005E4DDF">
        <w:rPr>
          <w:rFonts w:ascii="Times New Roman" w:hAnsi="Times New Roman" w:cs="Times New Roman"/>
        </w:rPr>
        <w:t xml:space="preserve">Table </w:t>
      </w:r>
      <w:r w:rsidR="005E4DDF" w:rsidRPr="005E4DDF">
        <w:rPr>
          <w:rFonts w:ascii="Times New Roman" w:hAnsi="Times New Roman" w:cs="Times New Roman"/>
          <w:noProof/>
        </w:rPr>
        <w:t>1</w:t>
      </w:r>
      <w:r w:rsidR="005E4DDF" w:rsidRPr="005E4DDF">
        <w:rPr>
          <w:rFonts w:ascii="Times New Roman" w:hAnsi="Times New Roman" w:cs="Times New Roman"/>
        </w:rPr>
        <w:fldChar w:fldCharType="end"/>
      </w:r>
      <w:r w:rsidR="00ED0BE9">
        <w:rPr>
          <w:rFonts w:ascii="Times New Roman" w:hAnsi="Times New Roman" w:cs="Times New Roman"/>
        </w:rPr>
        <w:t>, respectively</w:t>
      </w:r>
      <w:r w:rsidR="005E4DDF">
        <w:rPr>
          <w:rFonts w:ascii="Times New Roman" w:hAnsi="Times New Roman" w:cs="Times New Roman"/>
        </w:rPr>
        <w:t>.</w:t>
      </w:r>
    </w:p>
    <w:p w14:paraId="4D20AC41" w14:textId="77777777" w:rsidR="00720AE8" w:rsidRPr="003E4E69" w:rsidRDefault="00720AE8" w:rsidP="003E4E69">
      <w:pPr>
        <w:jc w:val="both"/>
        <w:rPr>
          <w:rFonts w:cs="Times New Roman"/>
        </w:rPr>
      </w:pPr>
    </w:p>
    <w:p w14:paraId="6BF613B3" w14:textId="77777777" w:rsidR="0045782A" w:rsidRDefault="0045782A" w:rsidP="00A14C61">
      <w:pPr>
        <w:jc w:val="both"/>
        <w:rPr>
          <w:rFonts w:ascii="Times New Roman" w:hAnsi="Times New Roman" w:cs="Times New Roman"/>
        </w:rPr>
        <w:sectPr w:rsidR="0045782A">
          <w:pgSz w:w="12240" w:h="15840"/>
          <w:pgMar w:top="1440" w:right="1440" w:bottom="1440" w:left="1440" w:header="720" w:footer="720" w:gutter="0"/>
          <w:cols w:space="720"/>
          <w:docGrid w:linePitch="360"/>
        </w:sectPr>
      </w:pPr>
    </w:p>
    <w:p w14:paraId="47A72994" w14:textId="7CCAAC97" w:rsidR="00465B97" w:rsidRDefault="00BB08B4" w:rsidP="00BD1AE4">
      <w:pPr>
        <w:jc w:val="center"/>
        <w:rPr>
          <w:rFonts w:ascii="Times New Roman" w:hAnsi="Times New Roman" w:cs="Times New Roman"/>
        </w:rPr>
      </w:pPr>
      <w:r w:rsidRPr="00BB08B4">
        <w:rPr>
          <w:rFonts w:ascii="Times New Roman" w:hAnsi="Times New Roman" w:cs="Times New Roman"/>
        </w:rPr>
        <w:lastRenderedPageBreak/>
        <w:drawing>
          <wp:inline distT="0" distB="0" distL="0" distR="0" wp14:anchorId="064C0EFA" wp14:editId="315446DE">
            <wp:extent cx="7340624" cy="5754808"/>
            <wp:effectExtent l="0" t="0" r="0" b="0"/>
            <wp:docPr id="800176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176599" name=""/>
                    <pic:cNvPicPr/>
                  </pic:nvPicPr>
                  <pic:blipFill>
                    <a:blip r:embed="rId11"/>
                    <a:stretch>
                      <a:fillRect/>
                    </a:stretch>
                  </pic:blipFill>
                  <pic:spPr>
                    <a:xfrm>
                      <a:off x="0" y="0"/>
                      <a:ext cx="7381232" cy="5786643"/>
                    </a:xfrm>
                    <a:prstGeom prst="rect">
                      <a:avLst/>
                    </a:prstGeom>
                  </pic:spPr>
                </pic:pic>
              </a:graphicData>
            </a:graphic>
          </wp:inline>
        </w:drawing>
      </w:r>
    </w:p>
    <w:p w14:paraId="176F3844" w14:textId="5539CEFE" w:rsidR="0045782A" w:rsidRDefault="00465B97" w:rsidP="0001722A">
      <w:pPr>
        <w:pStyle w:val="Caption"/>
        <w:jc w:val="both"/>
        <w:rPr>
          <w:rFonts w:cs="Times New Roman"/>
        </w:rPr>
        <w:sectPr w:rsidR="0045782A" w:rsidSect="00D153BC">
          <w:pgSz w:w="15840" w:h="12240" w:orient="landscape"/>
          <w:pgMar w:top="1152" w:right="1152" w:bottom="1152" w:left="1152" w:header="720" w:footer="720" w:gutter="0"/>
          <w:cols w:space="720"/>
          <w:docGrid w:linePitch="360"/>
        </w:sectPr>
      </w:pPr>
      <w:bookmarkStart w:id="0" w:name="_Ref136412831"/>
      <w:r w:rsidRPr="00465B97">
        <w:rPr>
          <w:b/>
          <w:bCs/>
        </w:rPr>
        <w:t xml:space="preserve">Figure </w:t>
      </w:r>
      <w:r w:rsidRPr="00465B97">
        <w:rPr>
          <w:b/>
          <w:bCs/>
        </w:rPr>
        <w:fldChar w:fldCharType="begin"/>
      </w:r>
      <w:r w:rsidRPr="00465B97">
        <w:rPr>
          <w:b/>
          <w:bCs/>
        </w:rPr>
        <w:instrText xml:space="preserve"> SEQ Figure \* ARABIC </w:instrText>
      </w:r>
      <w:r w:rsidRPr="00465B97">
        <w:rPr>
          <w:b/>
          <w:bCs/>
        </w:rPr>
        <w:fldChar w:fldCharType="separate"/>
      </w:r>
      <w:r>
        <w:rPr>
          <w:b/>
          <w:bCs/>
          <w:noProof/>
        </w:rPr>
        <w:t>1</w:t>
      </w:r>
      <w:r w:rsidRPr="00465B97">
        <w:rPr>
          <w:b/>
          <w:bCs/>
        </w:rPr>
        <w:fldChar w:fldCharType="end"/>
      </w:r>
      <w:bookmarkEnd w:id="0"/>
      <w:r>
        <w:t xml:space="preserve">. </w:t>
      </w:r>
      <w:r w:rsidR="0001722A">
        <w:t xml:space="preserve">Flowchart used to determine monitoring needs for each Snake River </w:t>
      </w:r>
      <w:proofErr w:type="spellStart"/>
      <w:r w:rsidR="0001722A">
        <w:t>sp</w:t>
      </w:r>
      <w:proofErr w:type="spellEnd"/>
      <w:r w:rsidR="0001722A">
        <w:t>/sum Chinook salmon and steelhead population, and whether IPTDS in each population should be considered for inclusion in BPA project 2018-002-00.</w:t>
      </w:r>
      <w:r w:rsidR="00032534">
        <w:t xml:space="preserve"> Outcome colors are as follows: </w:t>
      </w:r>
      <w:r w:rsidR="00032534">
        <w:rPr>
          <w:color w:val="FF0000"/>
        </w:rPr>
        <w:t>Red</w:t>
      </w:r>
      <w:r w:rsidR="00032534">
        <w:t xml:space="preserve"> = candidate for removal from project 2018-002-00; </w:t>
      </w:r>
      <w:r w:rsidR="00032534" w:rsidRPr="00032534">
        <w:rPr>
          <w:color w:val="BF8F00" w:themeColor="accent4" w:themeShade="BF"/>
        </w:rPr>
        <w:t>yellow</w:t>
      </w:r>
      <w:r w:rsidR="00032534">
        <w:t xml:space="preserve"> = further considerations needed; </w:t>
      </w:r>
      <w:r w:rsidR="00032534" w:rsidRPr="00032534">
        <w:rPr>
          <w:color w:val="538135" w:themeColor="accent6" w:themeShade="BF"/>
        </w:rPr>
        <w:t>green</w:t>
      </w:r>
      <w:r w:rsidR="00032534">
        <w:t xml:space="preserve"> = IPTDS should be operated under project 2018-002-00. </w:t>
      </w:r>
    </w:p>
    <w:p w14:paraId="70258098" w14:textId="77777777" w:rsidR="005E4DDF" w:rsidRDefault="005E4DDF" w:rsidP="005E4DDF">
      <w:pPr>
        <w:pStyle w:val="Caption"/>
        <w:rPr>
          <w:rFonts w:cs="Times New Roman"/>
        </w:rPr>
      </w:pPr>
      <w:bookmarkStart w:id="1" w:name="_Ref136929152"/>
      <w:r w:rsidRPr="00E82E29">
        <w:rPr>
          <w:b/>
          <w:bCs/>
        </w:rPr>
        <w:lastRenderedPageBreak/>
        <w:t xml:space="preserve">Table </w:t>
      </w:r>
      <w:r w:rsidRPr="00E82E29">
        <w:rPr>
          <w:b/>
          <w:bCs/>
        </w:rPr>
        <w:fldChar w:fldCharType="begin"/>
      </w:r>
      <w:r w:rsidRPr="00E82E29">
        <w:rPr>
          <w:b/>
          <w:bCs/>
        </w:rPr>
        <w:instrText xml:space="preserve"> SEQ Table \* ARABIC </w:instrText>
      </w:r>
      <w:r w:rsidRPr="00E82E29">
        <w:rPr>
          <w:b/>
          <w:bCs/>
        </w:rPr>
        <w:fldChar w:fldCharType="separate"/>
      </w:r>
      <w:r w:rsidRPr="00E82E29">
        <w:rPr>
          <w:b/>
          <w:bCs/>
          <w:noProof/>
        </w:rPr>
        <w:t>1</w:t>
      </w:r>
      <w:r w:rsidRPr="00E82E29">
        <w:rPr>
          <w:b/>
          <w:bCs/>
        </w:rPr>
        <w:fldChar w:fldCharType="end"/>
      </w:r>
      <w:bookmarkEnd w:id="1"/>
      <w:r>
        <w:t xml:space="preserve">. Potential population-level outcomes resulting from the initial step of the prioritization framework. </w:t>
      </w:r>
      <w:r>
        <w:rPr>
          <w:color w:val="FF0000"/>
        </w:rPr>
        <w:t>Red</w:t>
      </w:r>
      <w:r>
        <w:t xml:space="preserve"> = candidate for removal from project 2018-002-00; </w:t>
      </w:r>
      <w:r w:rsidRPr="00032534">
        <w:rPr>
          <w:color w:val="BF8F00" w:themeColor="accent4" w:themeShade="BF"/>
        </w:rPr>
        <w:t>yellow</w:t>
      </w:r>
      <w:r>
        <w:t xml:space="preserve"> = further considerations needed; </w:t>
      </w:r>
      <w:r w:rsidRPr="00032534">
        <w:rPr>
          <w:color w:val="538135" w:themeColor="accent6" w:themeShade="BF"/>
        </w:rPr>
        <w:t>green</w:t>
      </w:r>
      <w:r>
        <w:t xml:space="preserve"> = IPTDS should be operated under project 2018-002-00. </w:t>
      </w:r>
    </w:p>
    <w:tbl>
      <w:tblPr>
        <w:tblStyle w:val="TableGrid"/>
        <w:tblW w:w="0" w:type="auto"/>
        <w:tblCellMar>
          <w:top w:w="115" w:type="dxa"/>
          <w:bottom w:w="115" w:type="dxa"/>
        </w:tblCellMar>
        <w:tblLook w:val="04A0" w:firstRow="1" w:lastRow="0" w:firstColumn="1" w:lastColumn="0" w:noHBand="0" w:noVBand="1"/>
      </w:tblPr>
      <w:tblGrid>
        <w:gridCol w:w="2965"/>
        <w:gridCol w:w="6385"/>
      </w:tblGrid>
      <w:tr w:rsidR="005E4DDF" w:rsidRPr="00B10F24" w14:paraId="345392A3" w14:textId="77777777" w:rsidTr="00AB0ED4">
        <w:tc>
          <w:tcPr>
            <w:tcW w:w="2965" w:type="dxa"/>
            <w:vAlign w:val="center"/>
          </w:tcPr>
          <w:p w14:paraId="69C34B77" w14:textId="77777777" w:rsidR="005E4DDF" w:rsidRPr="00B10F24" w:rsidRDefault="005E4DDF" w:rsidP="001D00FC">
            <w:pPr>
              <w:jc w:val="center"/>
              <w:rPr>
                <w:rFonts w:ascii="Times New Roman" w:hAnsi="Times New Roman" w:cs="Times New Roman"/>
                <w:b/>
                <w:bCs/>
                <w:sz w:val="20"/>
                <w:szCs w:val="20"/>
              </w:rPr>
            </w:pPr>
            <w:r w:rsidRPr="00B10F24">
              <w:rPr>
                <w:rFonts w:ascii="Times New Roman" w:hAnsi="Times New Roman" w:cs="Times New Roman"/>
                <w:b/>
                <w:bCs/>
                <w:sz w:val="20"/>
                <w:szCs w:val="20"/>
              </w:rPr>
              <w:t>Outcome</w:t>
            </w:r>
          </w:p>
        </w:tc>
        <w:tc>
          <w:tcPr>
            <w:tcW w:w="6385" w:type="dxa"/>
            <w:vAlign w:val="center"/>
          </w:tcPr>
          <w:p w14:paraId="04330500" w14:textId="77777777" w:rsidR="005E4DDF" w:rsidRPr="00B10F24" w:rsidRDefault="005E4DDF" w:rsidP="001D00FC">
            <w:pPr>
              <w:jc w:val="center"/>
              <w:rPr>
                <w:rFonts w:ascii="Times New Roman" w:hAnsi="Times New Roman" w:cs="Times New Roman"/>
                <w:b/>
                <w:bCs/>
                <w:sz w:val="20"/>
                <w:szCs w:val="20"/>
              </w:rPr>
            </w:pPr>
            <w:r w:rsidRPr="00B10F24">
              <w:rPr>
                <w:rFonts w:ascii="Times New Roman" w:hAnsi="Times New Roman" w:cs="Times New Roman"/>
                <w:b/>
                <w:bCs/>
                <w:sz w:val="20"/>
                <w:szCs w:val="20"/>
              </w:rPr>
              <w:t>Description</w:t>
            </w:r>
          </w:p>
        </w:tc>
      </w:tr>
      <w:tr w:rsidR="005E4DDF" w:rsidRPr="00B10F24" w14:paraId="7333584E" w14:textId="77777777" w:rsidTr="0089096A">
        <w:trPr>
          <w:trHeight w:val="1369"/>
        </w:trPr>
        <w:tc>
          <w:tcPr>
            <w:tcW w:w="2965" w:type="dxa"/>
            <w:shd w:val="clear" w:color="auto" w:fill="FF5050"/>
            <w:vAlign w:val="center"/>
          </w:tcPr>
          <w:p w14:paraId="052D558E" w14:textId="1A567E9D" w:rsidR="005E4DDF" w:rsidRPr="00B10F24" w:rsidRDefault="00FA1EC1" w:rsidP="001D00FC">
            <w:pPr>
              <w:jc w:val="center"/>
              <w:rPr>
                <w:rFonts w:ascii="Times New Roman" w:hAnsi="Times New Roman" w:cs="Times New Roman"/>
                <w:b/>
                <w:bCs/>
                <w:sz w:val="20"/>
                <w:szCs w:val="20"/>
              </w:rPr>
            </w:pPr>
            <w:r w:rsidRPr="00B10F24">
              <w:rPr>
                <w:rFonts w:ascii="Times New Roman" w:hAnsi="Times New Roman" w:cs="Times New Roman"/>
                <w:b/>
                <w:bCs/>
                <w:sz w:val="20"/>
                <w:szCs w:val="20"/>
              </w:rPr>
              <w:t>Consider removing IPTDS (if any) from O&amp;M project; keep other monitoring method</w:t>
            </w:r>
          </w:p>
        </w:tc>
        <w:tc>
          <w:tcPr>
            <w:tcW w:w="6385" w:type="dxa"/>
            <w:shd w:val="clear" w:color="auto" w:fill="FF5050"/>
            <w:vAlign w:val="center"/>
          </w:tcPr>
          <w:p w14:paraId="3737D000" w14:textId="02BBC059" w:rsidR="005E4DDF" w:rsidRPr="00B10F24" w:rsidRDefault="005E4DDF" w:rsidP="001D00FC">
            <w:pPr>
              <w:jc w:val="center"/>
              <w:rPr>
                <w:rFonts w:ascii="Times New Roman" w:hAnsi="Times New Roman" w:cs="Times New Roman"/>
                <w:sz w:val="20"/>
                <w:szCs w:val="20"/>
              </w:rPr>
            </w:pPr>
            <w:r w:rsidRPr="00B10F24">
              <w:rPr>
                <w:rFonts w:ascii="Times New Roman" w:hAnsi="Times New Roman" w:cs="Times New Roman"/>
                <w:sz w:val="20"/>
                <w:szCs w:val="20"/>
              </w:rPr>
              <w:t>Outcome is for populations</w:t>
            </w:r>
            <w:r w:rsidR="00ED0BE9" w:rsidRPr="00B10F24">
              <w:rPr>
                <w:rFonts w:ascii="Times New Roman" w:hAnsi="Times New Roman" w:cs="Times New Roman"/>
                <w:sz w:val="20"/>
                <w:szCs w:val="20"/>
              </w:rPr>
              <w:t xml:space="preserve"> th</w:t>
            </w:r>
            <w:r w:rsidR="00FA1EC1" w:rsidRPr="00B10F24">
              <w:rPr>
                <w:rFonts w:ascii="Times New Roman" w:hAnsi="Times New Roman" w:cs="Times New Roman"/>
                <w:sz w:val="20"/>
                <w:szCs w:val="20"/>
              </w:rPr>
              <w:t>at</w:t>
            </w:r>
            <w:r w:rsidR="00ED0BE9" w:rsidRPr="00B10F24">
              <w:rPr>
                <w:rFonts w:ascii="Times New Roman" w:hAnsi="Times New Roman" w:cs="Times New Roman"/>
                <w:sz w:val="20"/>
                <w:szCs w:val="20"/>
              </w:rPr>
              <w:t xml:space="preserve"> either a) occur within a</w:t>
            </w:r>
            <w:r w:rsidR="00FA1EC1" w:rsidRPr="00B10F24">
              <w:rPr>
                <w:rFonts w:ascii="Times New Roman" w:hAnsi="Times New Roman" w:cs="Times New Roman"/>
                <w:sz w:val="20"/>
                <w:szCs w:val="20"/>
              </w:rPr>
              <w:t>n</w:t>
            </w:r>
            <w:r w:rsidR="00ED0BE9" w:rsidRPr="00B10F24">
              <w:rPr>
                <w:rFonts w:ascii="Times New Roman" w:hAnsi="Times New Roman" w:cs="Times New Roman"/>
                <w:sz w:val="20"/>
                <w:szCs w:val="20"/>
              </w:rPr>
              <w:t xml:space="preserve"> MPG in which another population is monitored using a high-precision method AND is monitored using another low-precision method, or b) is monitored using two redundant, high-precision methods including IPTDS and redundancy is not necessary.</w:t>
            </w:r>
          </w:p>
        </w:tc>
      </w:tr>
      <w:tr w:rsidR="005E4DDF" w:rsidRPr="00B10F24" w14:paraId="0D51F55B" w14:textId="77777777" w:rsidTr="00AB0ED4">
        <w:tc>
          <w:tcPr>
            <w:tcW w:w="2965" w:type="dxa"/>
            <w:shd w:val="clear" w:color="auto" w:fill="FFD966" w:themeFill="accent4" w:themeFillTint="99"/>
            <w:vAlign w:val="center"/>
          </w:tcPr>
          <w:p w14:paraId="13CF8D0B" w14:textId="530E9FDE" w:rsidR="005E4DDF" w:rsidRPr="00B10F24" w:rsidRDefault="005E4DDF" w:rsidP="001D00FC">
            <w:pPr>
              <w:jc w:val="center"/>
              <w:rPr>
                <w:rFonts w:ascii="Times New Roman" w:hAnsi="Times New Roman" w:cs="Times New Roman"/>
                <w:b/>
                <w:bCs/>
                <w:sz w:val="20"/>
                <w:szCs w:val="20"/>
              </w:rPr>
            </w:pPr>
            <w:r w:rsidRPr="00B10F24">
              <w:rPr>
                <w:rFonts w:ascii="Times New Roman" w:hAnsi="Times New Roman" w:cs="Times New Roman"/>
                <w:b/>
                <w:bCs/>
                <w:sz w:val="20"/>
                <w:szCs w:val="20"/>
              </w:rPr>
              <w:t>Population is candidate for IPTDS O&amp;M project</w:t>
            </w:r>
          </w:p>
        </w:tc>
        <w:tc>
          <w:tcPr>
            <w:tcW w:w="6385" w:type="dxa"/>
            <w:shd w:val="clear" w:color="auto" w:fill="FFD966" w:themeFill="accent4" w:themeFillTint="99"/>
            <w:vAlign w:val="center"/>
          </w:tcPr>
          <w:p w14:paraId="1C629745" w14:textId="129EC627" w:rsidR="005E4DDF" w:rsidRPr="00B10F24" w:rsidRDefault="005E4DDF" w:rsidP="001D00FC">
            <w:pPr>
              <w:jc w:val="center"/>
              <w:rPr>
                <w:rFonts w:ascii="Times New Roman" w:hAnsi="Times New Roman" w:cs="Times New Roman"/>
                <w:sz w:val="20"/>
                <w:szCs w:val="20"/>
              </w:rPr>
            </w:pPr>
            <w:r w:rsidRPr="00B10F24">
              <w:rPr>
                <w:rFonts w:ascii="Times New Roman" w:hAnsi="Times New Roman" w:cs="Times New Roman"/>
                <w:sz w:val="20"/>
                <w:szCs w:val="20"/>
              </w:rPr>
              <w:t>Outcome is for populations with currently no monitoring (i.e., data gaps) or for a population within a</w:t>
            </w:r>
            <w:r w:rsidR="00AB0ED4" w:rsidRPr="00B10F24">
              <w:rPr>
                <w:rFonts w:ascii="Times New Roman" w:hAnsi="Times New Roman" w:cs="Times New Roman"/>
                <w:sz w:val="20"/>
                <w:szCs w:val="20"/>
              </w:rPr>
              <w:t>n</w:t>
            </w:r>
            <w:r w:rsidRPr="00B10F24">
              <w:rPr>
                <w:rFonts w:ascii="Times New Roman" w:hAnsi="Times New Roman" w:cs="Times New Roman"/>
                <w:sz w:val="20"/>
                <w:szCs w:val="20"/>
              </w:rPr>
              <w:t xml:space="preserve"> MPG that includes no population</w:t>
            </w:r>
            <w:r w:rsidR="00421032" w:rsidRPr="00B10F24">
              <w:rPr>
                <w:rFonts w:ascii="Times New Roman" w:hAnsi="Times New Roman" w:cs="Times New Roman"/>
                <w:sz w:val="20"/>
                <w:szCs w:val="20"/>
              </w:rPr>
              <w:t>s</w:t>
            </w:r>
            <w:r w:rsidRPr="00B10F24">
              <w:rPr>
                <w:rFonts w:ascii="Times New Roman" w:hAnsi="Times New Roman" w:cs="Times New Roman"/>
                <w:sz w:val="20"/>
                <w:szCs w:val="20"/>
              </w:rPr>
              <w:t xml:space="preserve"> with high-precision monitoring.</w:t>
            </w:r>
            <w:r w:rsidR="00421032" w:rsidRPr="00B10F24">
              <w:rPr>
                <w:rStyle w:val="FootnoteReference"/>
                <w:rFonts w:ascii="Times New Roman" w:hAnsi="Times New Roman" w:cs="Times New Roman"/>
                <w:sz w:val="20"/>
                <w:szCs w:val="20"/>
              </w:rPr>
              <w:footnoteReference w:id="3"/>
            </w:r>
          </w:p>
        </w:tc>
      </w:tr>
      <w:tr w:rsidR="005E4DDF" w:rsidRPr="00B10F24" w14:paraId="01926A1A" w14:textId="77777777" w:rsidTr="00AB0ED4">
        <w:tc>
          <w:tcPr>
            <w:tcW w:w="2965" w:type="dxa"/>
            <w:shd w:val="clear" w:color="auto" w:fill="FFD966" w:themeFill="accent4" w:themeFillTint="99"/>
            <w:vAlign w:val="center"/>
          </w:tcPr>
          <w:p w14:paraId="1C3E5BE2" w14:textId="0464893D" w:rsidR="005E4DDF" w:rsidRPr="00B10F24" w:rsidRDefault="00FA1EC1" w:rsidP="001D00FC">
            <w:pPr>
              <w:jc w:val="center"/>
              <w:rPr>
                <w:rFonts w:ascii="Times New Roman" w:hAnsi="Times New Roman" w:cs="Times New Roman"/>
                <w:b/>
                <w:bCs/>
                <w:sz w:val="20"/>
                <w:szCs w:val="20"/>
              </w:rPr>
            </w:pPr>
            <w:r w:rsidRPr="00B10F24">
              <w:rPr>
                <w:rFonts w:ascii="Times New Roman" w:hAnsi="Times New Roman" w:cs="Times New Roman"/>
                <w:b/>
                <w:bCs/>
                <w:sz w:val="20"/>
                <w:szCs w:val="20"/>
              </w:rPr>
              <w:t>Keep IPTDS or c</w:t>
            </w:r>
            <w:r w:rsidR="005E4DDF" w:rsidRPr="00B10F24">
              <w:rPr>
                <w:rFonts w:ascii="Times New Roman" w:hAnsi="Times New Roman" w:cs="Times New Roman"/>
                <w:b/>
                <w:bCs/>
                <w:sz w:val="20"/>
                <w:szCs w:val="20"/>
              </w:rPr>
              <w:t>onsider a</w:t>
            </w:r>
            <w:r w:rsidRPr="00B10F24">
              <w:rPr>
                <w:rFonts w:ascii="Times New Roman" w:hAnsi="Times New Roman" w:cs="Times New Roman"/>
                <w:b/>
                <w:bCs/>
                <w:sz w:val="20"/>
                <w:szCs w:val="20"/>
              </w:rPr>
              <w:t>n</w:t>
            </w:r>
            <w:r w:rsidR="005E4DDF" w:rsidRPr="00B10F24">
              <w:rPr>
                <w:rFonts w:ascii="Times New Roman" w:hAnsi="Times New Roman" w:cs="Times New Roman"/>
                <w:b/>
                <w:bCs/>
                <w:sz w:val="20"/>
                <w:szCs w:val="20"/>
              </w:rPr>
              <w:t xml:space="preserve"> alternative low-precision</w:t>
            </w:r>
            <w:r w:rsidRPr="00B10F24">
              <w:rPr>
                <w:rFonts w:ascii="Times New Roman" w:hAnsi="Times New Roman" w:cs="Times New Roman"/>
                <w:b/>
                <w:bCs/>
                <w:sz w:val="20"/>
                <w:szCs w:val="20"/>
              </w:rPr>
              <w:t xml:space="preserve"> </w:t>
            </w:r>
            <w:r w:rsidR="005E4DDF" w:rsidRPr="00B10F24">
              <w:rPr>
                <w:rFonts w:ascii="Times New Roman" w:hAnsi="Times New Roman" w:cs="Times New Roman"/>
                <w:b/>
                <w:bCs/>
                <w:sz w:val="20"/>
                <w:szCs w:val="20"/>
              </w:rPr>
              <w:t>method</w:t>
            </w:r>
          </w:p>
        </w:tc>
        <w:tc>
          <w:tcPr>
            <w:tcW w:w="6385" w:type="dxa"/>
            <w:shd w:val="clear" w:color="auto" w:fill="FFD966" w:themeFill="accent4" w:themeFillTint="99"/>
            <w:vAlign w:val="center"/>
          </w:tcPr>
          <w:p w14:paraId="1F57ACF1" w14:textId="208AD6A9" w:rsidR="005E4DDF" w:rsidRPr="00B10F24" w:rsidRDefault="00AB0ED4" w:rsidP="00AB0ED4">
            <w:pPr>
              <w:jc w:val="center"/>
              <w:rPr>
                <w:rFonts w:ascii="Times New Roman" w:hAnsi="Times New Roman" w:cs="Times New Roman"/>
                <w:sz w:val="20"/>
                <w:szCs w:val="20"/>
              </w:rPr>
            </w:pPr>
            <w:r w:rsidRPr="00B10F24">
              <w:rPr>
                <w:rFonts w:ascii="Times New Roman" w:hAnsi="Times New Roman" w:cs="Times New Roman"/>
                <w:sz w:val="20"/>
                <w:szCs w:val="20"/>
              </w:rPr>
              <w:t>Outcome is for populations that currently experience high-precision IPTDS monitoring but occur within an MPG in which two or more populations are monitored using high-precision methods.</w:t>
            </w:r>
          </w:p>
        </w:tc>
      </w:tr>
      <w:tr w:rsidR="005E4DDF" w:rsidRPr="00B10F24" w14:paraId="7AA4CEDF" w14:textId="77777777" w:rsidTr="00AB0ED4">
        <w:tc>
          <w:tcPr>
            <w:tcW w:w="2965" w:type="dxa"/>
            <w:shd w:val="clear" w:color="auto" w:fill="A8D08D" w:themeFill="accent6" w:themeFillTint="99"/>
            <w:vAlign w:val="center"/>
          </w:tcPr>
          <w:p w14:paraId="68FD2509" w14:textId="09FFC357" w:rsidR="005E4DDF" w:rsidRPr="00B10F24" w:rsidRDefault="00FA1EC1" w:rsidP="001D00FC">
            <w:pPr>
              <w:jc w:val="center"/>
              <w:rPr>
                <w:rFonts w:ascii="Times New Roman" w:hAnsi="Times New Roman" w:cs="Times New Roman"/>
                <w:b/>
                <w:bCs/>
                <w:sz w:val="20"/>
                <w:szCs w:val="20"/>
              </w:rPr>
            </w:pPr>
            <w:r w:rsidRPr="00B10F24">
              <w:rPr>
                <w:rFonts w:ascii="Times New Roman" w:hAnsi="Times New Roman" w:cs="Times New Roman"/>
                <w:b/>
                <w:bCs/>
                <w:sz w:val="20"/>
                <w:szCs w:val="20"/>
              </w:rPr>
              <w:t>Include necessary IPTDS on O&amp;M project</w:t>
            </w:r>
          </w:p>
        </w:tc>
        <w:tc>
          <w:tcPr>
            <w:tcW w:w="6385" w:type="dxa"/>
            <w:shd w:val="clear" w:color="auto" w:fill="A8D08D" w:themeFill="accent6" w:themeFillTint="99"/>
            <w:vAlign w:val="center"/>
          </w:tcPr>
          <w:p w14:paraId="5282AFF3" w14:textId="1D87BA42" w:rsidR="005E4DDF" w:rsidRPr="00B10F24" w:rsidRDefault="00FA1EC1" w:rsidP="001D00FC">
            <w:pPr>
              <w:jc w:val="center"/>
              <w:rPr>
                <w:rFonts w:ascii="Times New Roman" w:hAnsi="Times New Roman" w:cs="Times New Roman"/>
                <w:sz w:val="20"/>
                <w:szCs w:val="20"/>
              </w:rPr>
            </w:pPr>
            <w:r w:rsidRPr="00B10F24">
              <w:rPr>
                <w:rFonts w:ascii="Times New Roman" w:hAnsi="Times New Roman" w:cs="Times New Roman"/>
                <w:sz w:val="20"/>
                <w:szCs w:val="20"/>
              </w:rPr>
              <w:t xml:space="preserve">The population should continue to be monitored using IPTDS </w:t>
            </w:r>
            <w:r w:rsidR="00421032" w:rsidRPr="00B10F24">
              <w:rPr>
                <w:rFonts w:ascii="Times New Roman" w:hAnsi="Times New Roman" w:cs="Times New Roman"/>
                <w:sz w:val="20"/>
                <w:szCs w:val="20"/>
              </w:rPr>
              <w:t xml:space="preserve">funded </w:t>
            </w:r>
            <w:r w:rsidRPr="00B10F24">
              <w:rPr>
                <w:rFonts w:ascii="Times New Roman" w:hAnsi="Times New Roman" w:cs="Times New Roman"/>
                <w:sz w:val="20"/>
                <w:szCs w:val="20"/>
              </w:rPr>
              <w:t>under</w:t>
            </w:r>
            <w:r w:rsidR="00421032" w:rsidRPr="00B10F24">
              <w:rPr>
                <w:rFonts w:ascii="Times New Roman" w:hAnsi="Times New Roman" w:cs="Times New Roman"/>
                <w:sz w:val="20"/>
                <w:szCs w:val="20"/>
              </w:rPr>
              <w:t xml:space="preserve"> the Integrated IPTDS</w:t>
            </w:r>
            <w:r w:rsidRPr="00B10F24">
              <w:rPr>
                <w:rFonts w:ascii="Times New Roman" w:hAnsi="Times New Roman" w:cs="Times New Roman"/>
                <w:sz w:val="20"/>
                <w:szCs w:val="20"/>
              </w:rPr>
              <w:t xml:space="preserve"> O&amp;M project. </w:t>
            </w:r>
            <w:r w:rsidR="00421032" w:rsidRPr="00B10F24">
              <w:rPr>
                <w:rFonts w:ascii="Times New Roman" w:hAnsi="Times New Roman" w:cs="Times New Roman"/>
                <w:sz w:val="20"/>
                <w:szCs w:val="20"/>
              </w:rPr>
              <w:t>Three</w:t>
            </w:r>
            <w:r w:rsidR="00AB53A5" w:rsidRPr="00B10F24">
              <w:rPr>
                <w:rFonts w:ascii="Times New Roman" w:hAnsi="Times New Roman" w:cs="Times New Roman"/>
                <w:sz w:val="20"/>
                <w:szCs w:val="20"/>
              </w:rPr>
              <w:t xml:space="preserve"> paths in </w:t>
            </w:r>
            <w:r w:rsidR="00AB53A5" w:rsidRPr="00B10F24">
              <w:rPr>
                <w:rFonts w:ascii="Times New Roman" w:hAnsi="Times New Roman" w:cs="Times New Roman"/>
                <w:sz w:val="20"/>
                <w:szCs w:val="20"/>
              </w:rPr>
              <w:fldChar w:fldCharType="begin"/>
            </w:r>
            <w:r w:rsidR="00AB53A5" w:rsidRPr="00B10F24">
              <w:rPr>
                <w:rFonts w:ascii="Times New Roman" w:hAnsi="Times New Roman" w:cs="Times New Roman"/>
                <w:sz w:val="20"/>
                <w:szCs w:val="20"/>
              </w:rPr>
              <w:instrText xml:space="preserve"> REF _Ref136412831 \h  \* MERGEFORMAT </w:instrText>
            </w:r>
            <w:r w:rsidR="00AB53A5" w:rsidRPr="00B10F24">
              <w:rPr>
                <w:rFonts w:ascii="Times New Roman" w:hAnsi="Times New Roman" w:cs="Times New Roman"/>
                <w:sz w:val="20"/>
                <w:szCs w:val="20"/>
              </w:rPr>
            </w:r>
            <w:r w:rsidR="00AB53A5" w:rsidRPr="00B10F24">
              <w:rPr>
                <w:rFonts w:ascii="Times New Roman" w:hAnsi="Times New Roman" w:cs="Times New Roman"/>
                <w:sz w:val="20"/>
                <w:szCs w:val="20"/>
              </w:rPr>
              <w:fldChar w:fldCharType="separate"/>
            </w:r>
            <w:r w:rsidR="00AB53A5" w:rsidRPr="00B10F24">
              <w:rPr>
                <w:rFonts w:ascii="Times New Roman" w:hAnsi="Times New Roman" w:cs="Times New Roman"/>
                <w:sz w:val="20"/>
                <w:szCs w:val="20"/>
              </w:rPr>
              <w:t xml:space="preserve">Figure </w:t>
            </w:r>
            <w:r w:rsidR="00AB53A5" w:rsidRPr="00B10F24">
              <w:rPr>
                <w:rFonts w:ascii="Times New Roman" w:hAnsi="Times New Roman" w:cs="Times New Roman"/>
                <w:noProof/>
                <w:sz w:val="20"/>
                <w:szCs w:val="20"/>
              </w:rPr>
              <w:t>1</w:t>
            </w:r>
            <w:r w:rsidR="00AB53A5" w:rsidRPr="00B10F24">
              <w:rPr>
                <w:rFonts w:ascii="Times New Roman" w:hAnsi="Times New Roman" w:cs="Times New Roman"/>
                <w:sz w:val="20"/>
                <w:szCs w:val="20"/>
              </w:rPr>
              <w:fldChar w:fldCharType="end"/>
            </w:r>
            <w:r w:rsidR="00AB53A5" w:rsidRPr="00B10F24">
              <w:rPr>
                <w:rFonts w:ascii="Times New Roman" w:hAnsi="Times New Roman" w:cs="Times New Roman"/>
                <w:sz w:val="20"/>
                <w:szCs w:val="20"/>
              </w:rPr>
              <w:t xml:space="preserve"> lead to this outcome. In general, this outcome is for populations in which current IPTDS are necessary for either low-precision or high-precision monitoring.  </w:t>
            </w:r>
          </w:p>
        </w:tc>
      </w:tr>
    </w:tbl>
    <w:p w14:paraId="36388AA2" w14:textId="77777777" w:rsidR="005E4DDF" w:rsidRDefault="005E4DDF" w:rsidP="005E4DDF">
      <w:pPr>
        <w:jc w:val="both"/>
        <w:rPr>
          <w:rFonts w:cs="Times New Roman"/>
        </w:rPr>
      </w:pPr>
    </w:p>
    <w:p w14:paraId="6969C4F7" w14:textId="123EB057" w:rsidR="0045782A" w:rsidRDefault="0045782A" w:rsidP="0045782A">
      <w:pPr>
        <w:pStyle w:val="ListParagraph"/>
        <w:numPr>
          <w:ilvl w:val="0"/>
          <w:numId w:val="8"/>
        </w:numPr>
        <w:jc w:val="both"/>
        <w:rPr>
          <w:rFonts w:cs="Times New Roman"/>
        </w:rPr>
      </w:pPr>
      <w:r>
        <w:rPr>
          <w:rFonts w:cs="Times New Roman"/>
        </w:rPr>
        <w:t>Finally, for each population with the outcome</w:t>
      </w:r>
      <w:r w:rsidR="00BC3D87">
        <w:rPr>
          <w:rFonts w:cs="Times New Roman"/>
        </w:rPr>
        <w:t xml:space="preserve"> “</w:t>
      </w:r>
      <w:r w:rsidR="008C4BCA">
        <w:rPr>
          <w:rFonts w:cs="Times New Roman"/>
          <w:i/>
          <w:iCs/>
        </w:rPr>
        <w:t>Include necessary IPTDS on O&amp;M project</w:t>
      </w:r>
      <w:r w:rsidR="00BC3D87">
        <w:rPr>
          <w:rFonts w:cs="Times New Roman"/>
        </w:rPr>
        <w:t>”</w:t>
      </w:r>
      <w:r w:rsidR="00AB53A5">
        <w:rPr>
          <w:rFonts w:cs="Times New Roman"/>
        </w:rPr>
        <w:t xml:space="preserve"> (</w:t>
      </w:r>
      <w:r w:rsidR="00AB53A5" w:rsidRPr="00AB53A5">
        <w:rPr>
          <w:rFonts w:cs="Times New Roman"/>
        </w:rPr>
        <w:fldChar w:fldCharType="begin"/>
      </w:r>
      <w:r w:rsidR="00AB53A5" w:rsidRPr="00AB53A5">
        <w:rPr>
          <w:rFonts w:cs="Times New Roman"/>
        </w:rPr>
        <w:instrText xml:space="preserve"> REF _Ref136412831 \h  \* MERGEFORMAT </w:instrText>
      </w:r>
      <w:r w:rsidR="00AB53A5" w:rsidRPr="00AB53A5">
        <w:rPr>
          <w:rFonts w:cs="Times New Roman"/>
        </w:rPr>
      </w:r>
      <w:r w:rsidR="00AB53A5" w:rsidRPr="00AB53A5">
        <w:rPr>
          <w:rFonts w:cs="Times New Roman"/>
        </w:rPr>
        <w:fldChar w:fldCharType="separate"/>
      </w:r>
      <w:r w:rsidR="00AB53A5" w:rsidRPr="00AB53A5">
        <w:t xml:space="preserve">Figure </w:t>
      </w:r>
      <w:r w:rsidR="00AB53A5" w:rsidRPr="00AB53A5">
        <w:rPr>
          <w:noProof/>
        </w:rPr>
        <w:t>1</w:t>
      </w:r>
      <w:r w:rsidR="00AB53A5" w:rsidRPr="00AB53A5">
        <w:rPr>
          <w:rFonts w:cs="Times New Roman"/>
        </w:rPr>
        <w:fldChar w:fldCharType="end"/>
      </w:r>
      <w:r w:rsidR="00AB53A5">
        <w:rPr>
          <w:rFonts w:cs="Times New Roman"/>
        </w:rPr>
        <w:t>)</w:t>
      </w:r>
      <w:r w:rsidR="00BC3D87">
        <w:rPr>
          <w:rFonts w:cs="Times New Roman"/>
        </w:rPr>
        <w:t>, we further considered which IPTDS sites within the population are necessary for status and trends monitoring and recommended for inclusion in project 2018-002-00 (</w:t>
      </w:r>
      <w:r w:rsidR="00BC3D87" w:rsidRPr="00BC3D87">
        <w:rPr>
          <w:rFonts w:cs="Times New Roman"/>
        </w:rPr>
        <w:fldChar w:fldCharType="begin"/>
      </w:r>
      <w:r w:rsidR="00BC3D87" w:rsidRPr="00BC3D87">
        <w:rPr>
          <w:rFonts w:cs="Times New Roman"/>
        </w:rPr>
        <w:instrText xml:space="preserve"> REF _Ref136413521 \h  \* MERGEFORMAT </w:instrText>
      </w:r>
      <w:r w:rsidR="00BC3D87" w:rsidRPr="00BC3D87">
        <w:rPr>
          <w:rFonts w:cs="Times New Roman"/>
        </w:rPr>
      </w:r>
      <w:r w:rsidR="00BC3D87" w:rsidRPr="00BC3D87">
        <w:rPr>
          <w:rFonts w:cs="Times New Roman"/>
        </w:rPr>
        <w:fldChar w:fldCharType="separate"/>
      </w:r>
      <w:r w:rsidR="00BC3D87" w:rsidRPr="00BC3D87">
        <w:t xml:space="preserve">Figure </w:t>
      </w:r>
      <w:r w:rsidR="00BC3D87" w:rsidRPr="00BC3D87">
        <w:rPr>
          <w:noProof/>
        </w:rPr>
        <w:t>2</w:t>
      </w:r>
      <w:r w:rsidR="00BC3D87" w:rsidRPr="00BC3D87">
        <w:rPr>
          <w:rFonts w:cs="Times New Roman"/>
        </w:rPr>
        <w:fldChar w:fldCharType="end"/>
      </w:r>
      <w:r w:rsidR="00BC3D87">
        <w:rPr>
          <w:rFonts w:cs="Times New Roman"/>
        </w:rPr>
        <w:t xml:space="preserve">). </w:t>
      </w:r>
      <w:r w:rsidR="00AB53A5">
        <w:rPr>
          <w:rFonts w:cs="Times New Roman"/>
        </w:rPr>
        <w:t>D</w:t>
      </w:r>
      <w:r w:rsidR="00BC3D87">
        <w:rPr>
          <w:rFonts w:cs="Times New Roman"/>
        </w:rPr>
        <w:t xml:space="preserve">efinitions and </w:t>
      </w:r>
      <w:r w:rsidR="00AB53A5">
        <w:rPr>
          <w:rFonts w:cs="Times New Roman"/>
        </w:rPr>
        <w:t xml:space="preserve">descriptions in </w:t>
      </w:r>
      <w:r w:rsidR="00AB53A5" w:rsidRPr="00AB53A5">
        <w:rPr>
          <w:rFonts w:cs="Times New Roman"/>
        </w:rPr>
        <w:fldChar w:fldCharType="begin"/>
      </w:r>
      <w:r w:rsidR="00AB53A5" w:rsidRPr="00AB53A5">
        <w:rPr>
          <w:rFonts w:cs="Times New Roman"/>
        </w:rPr>
        <w:instrText xml:space="preserve"> REF _Ref136931135 \h  \* MERGEFORMAT </w:instrText>
      </w:r>
      <w:r w:rsidR="00AB53A5" w:rsidRPr="00AB53A5">
        <w:rPr>
          <w:rFonts w:cs="Times New Roman"/>
        </w:rPr>
      </w:r>
      <w:r w:rsidR="00AB53A5" w:rsidRPr="00AB53A5">
        <w:rPr>
          <w:rFonts w:cs="Times New Roman"/>
        </w:rPr>
        <w:fldChar w:fldCharType="separate"/>
      </w:r>
      <w:r w:rsidR="00AB53A5" w:rsidRPr="00AB53A5">
        <w:t xml:space="preserve">Table </w:t>
      </w:r>
      <w:r w:rsidR="00AB53A5" w:rsidRPr="00AB53A5">
        <w:rPr>
          <w:noProof/>
        </w:rPr>
        <w:t>2</w:t>
      </w:r>
      <w:r w:rsidR="00AB53A5" w:rsidRPr="00AB53A5">
        <w:rPr>
          <w:rFonts w:cs="Times New Roman"/>
        </w:rPr>
        <w:fldChar w:fldCharType="end"/>
      </w:r>
      <w:r w:rsidR="00BC3D87">
        <w:rPr>
          <w:rFonts w:cs="Times New Roman"/>
        </w:rPr>
        <w:t xml:space="preserve"> are provided</w:t>
      </w:r>
      <w:r w:rsidR="00AB53A5">
        <w:rPr>
          <w:rFonts w:cs="Times New Roman"/>
        </w:rPr>
        <w:t xml:space="preserve"> to aid in interpretation of</w:t>
      </w:r>
      <w:r w:rsidR="00BC3D87">
        <w:rPr>
          <w:rFonts w:cs="Times New Roman"/>
        </w:rPr>
        <w:t xml:space="preserve"> </w:t>
      </w:r>
      <w:r w:rsidR="00BC3D87" w:rsidRPr="00BC3D87">
        <w:rPr>
          <w:rFonts w:cs="Times New Roman"/>
        </w:rPr>
        <w:fldChar w:fldCharType="begin"/>
      </w:r>
      <w:r w:rsidR="00BC3D87" w:rsidRPr="00BC3D87">
        <w:rPr>
          <w:rFonts w:cs="Times New Roman"/>
        </w:rPr>
        <w:instrText xml:space="preserve"> REF _Ref136413521 \h  \* MERGEFORMAT </w:instrText>
      </w:r>
      <w:r w:rsidR="00BC3D87" w:rsidRPr="00BC3D87">
        <w:rPr>
          <w:rFonts w:cs="Times New Roman"/>
        </w:rPr>
      </w:r>
      <w:r w:rsidR="00BC3D87" w:rsidRPr="00BC3D87">
        <w:rPr>
          <w:rFonts w:cs="Times New Roman"/>
        </w:rPr>
        <w:fldChar w:fldCharType="separate"/>
      </w:r>
      <w:r w:rsidR="00BC3D87" w:rsidRPr="00BC3D87">
        <w:t xml:space="preserve">Figure </w:t>
      </w:r>
      <w:r w:rsidR="00BC3D87" w:rsidRPr="00BC3D87">
        <w:rPr>
          <w:noProof/>
        </w:rPr>
        <w:t>2</w:t>
      </w:r>
      <w:r w:rsidR="00BC3D87" w:rsidRPr="00BC3D87">
        <w:rPr>
          <w:rFonts w:cs="Times New Roman"/>
        </w:rPr>
        <w:fldChar w:fldCharType="end"/>
      </w:r>
      <w:r w:rsidR="00BC3D87">
        <w:rPr>
          <w:rFonts w:cs="Times New Roman"/>
        </w:rPr>
        <w:t>.</w:t>
      </w:r>
    </w:p>
    <w:p w14:paraId="2AF1C16A" w14:textId="3472AA26" w:rsidR="0001722A" w:rsidRPr="0001722A" w:rsidRDefault="0001722A" w:rsidP="0001722A">
      <w:pPr>
        <w:pStyle w:val="Caption"/>
        <w:rPr>
          <w:rFonts w:cs="Times New Roman"/>
        </w:rPr>
      </w:pPr>
      <w:bookmarkStart w:id="2" w:name="_Ref136931135"/>
      <w:r w:rsidRPr="0001722A">
        <w:rPr>
          <w:b/>
          <w:bCs/>
        </w:rPr>
        <w:t xml:space="preserve">Table </w:t>
      </w:r>
      <w:r w:rsidRPr="0001722A">
        <w:rPr>
          <w:b/>
          <w:bCs/>
        </w:rPr>
        <w:fldChar w:fldCharType="begin"/>
      </w:r>
      <w:r w:rsidRPr="0001722A">
        <w:rPr>
          <w:b/>
          <w:bCs/>
        </w:rPr>
        <w:instrText xml:space="preserve"> SEQ Table \* ARABIC </w:instrText>
      </w:r>
      <w:r w:rsidRPr="0001722A">
        <w:rPr>
          <w:b/>
          <w:bCs/>
        </w:rPr>
        <w:fldChar w:fldCharType="separate"/>
      </w:r>
      <w:r w:rsidR="005E4DDF">
        <w:rPr>
          <w:b/>
          <w:bCs/>
          <w:noProof/>
        </w:rPr>
        <w:t>2</w:t>
      </w:r>
      <w:r w:rsidRPr="0001722A">
        <w:rPr>
          <w:b/>
          <w:bCs/>
        </w:rPr>
        <w:fldChar w:fldCharType="end"/>
      </w:r>
      <w:bookmarkEnd w:id="2"/>
      <w:r w:rsidRPr="0001722A">
        <w:rPr>
          <w:b/>
          <w:bCs/>
        </w:rPr>
        <w:t>.</w:t>
      </w:r>
      <w:r>
        <w:t xml:space="preserve"> Definitions or descriptions that may be useful for interpretation of </w:t>
      </w:r>
      <w:r w:rsidRPr="0001722A">
        <w:fldChar w:fldCharType="begin"/>
      </w:r>
      <w:r w:rsidRPr="0001722A">
        <w:instrText xml:space="preserve"> REF _Ref136413521 \h  \* MERGEFORMAT </w:instrText>
      </w:r>
      <w:r w:rsidRPr="0001722A">
        <w:fldChar w:fldCharType="separate"/>
      </w:r>
      <w:r w:rsidRPr="0001722A">
        <w:t xml:space="preserve">Figure </w:t>
      </w:r>
      <w:r w:rsidRPr="0001722A">
        <w:rPr>
          <w:noProof/>
        </w:rPr>
        <w:t>2</w:t>
      </w:r>
      <w:r w:rsidRPr="0001722A">
        <w:fldChar w:fldCharType="end"/>
      </w:r>
      <w:r>
        <w:t>.</w:t>
      </w:r>
    </w:p>
    <w:tbl>
      <w:tblPr>
        <w:tblStyle w:val="GridTable4-Accent5"/>
        <w:tblW w:w="0" w:type="auto"/>
        <w:tblCellMar>
          <w:top w:w="115" w:type="dxa"/>
          <w:bottom w:w="115" w:type="dxa"/>
        </w:tblCellMar>
        <w:tblLook w:val="04A0" w:firstRow="1" w:lastRow="0" w:firstColumn="1" w:lastColumn="0" w:noHBand="0" w:noVBand="1"/>
      </w:tblPr>
      <w:tblGrid>
        <w:gridCol w:w="1615"/>
        <w:gridCol w:w="7735"/>
      </w:tblGrid>
      <w:tr w:rsidR="00BC3D87" w:rsidRPr="00B10F24" w14:paraId="49F90446" w14:textId="77777777" w:rsidTr="00B10F2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615" w:type="dxa"/>
            <w:vAlign w:val="center"/>
          </w:tcPr>
          <w:p w14:paraId="640D0E50" w14:textId="09445E6C" w:rsidR="00BC3D87" w:rsidRPr="00B10F24" w:rsidRDefault="00BC3D87" w:rsidP="00E82E29">
            <w:pPr>
              <w:jc w:val="center"/>
              <w:rPr>
                <w:rFonts w:ascii="Times New Roman" w:hAnsi="Times New Roman" w:cs="Times New Roman"/>
                <w:sz w:val="20"/>
                <w:szCs w:val="20"/>
              </w:rPr>
            </w:pPr>
            <w:r w:rsidRPr="00B10F24">
              <w:rPr>
                <w:rFonts w:ascii="Times New Roman" w:hAnsi="Times New Roman" w:cs="Times New Roman"/>
                <w:sz w:val="20"/>
                <w:szCs w:val="20"/>
              </w:rPr>
              <w:t>Term</w:t>
            </w:r>
          </w:p>
        </w:tc>
        <w:tc>
          <w:tcPr>
            <w:tcW w:w="7735" w:type="dxa"/>
            <w:vAlign w:val="center"/>
          </w:tcPr>
          <w:p w14:paraId="63EB03AE" w14:textId="79EC74E7" w:rsidR="00BC3D87" w:rsidRPr="00B10F24" w:rsidRDefault="00BC3D87" w:rsidP="00E82E2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10F24">
              <w:rPr>
                <w:rFonts w:ascii="Times New Roman" w:hAnsi="Times New Roman" w:cs="Times New Roman"/>
                <w:sz w:val="20"/>
                <w:szCs w:val="20"/>
              </w:rPr>
              <w:t>Definition or Description</w:t>
            </w:r>
          </w:p>
        </w:tc>
      </w:tr>
      <w:tr w:rsidR="00BC3D87" w:rsidRPr="00B10F24" w14:paraId="2027BCD5" w14:textId="77777777" w:rsidTr="00E82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14:paraId="466A1D5A" w14:textId="697E25F8" w:rsidR="00BC3D87" w:rsidRPr="00B10F24" w:rsidRDefault="00BC3D87" w:rsidP="00E82E29">
            <w:pPr>
              <w:jc w:val="center"/>
              <w:rPr>
                <w:rFonts w:ascii="Times New Roman" w:hAnsi="Times New Roman" w:cs="Times New Roman"/>
                <w:sz w:val="20"/>
                <w:szCs w:val="20"/>
              </w:rPr>
            </w:pPr>
            <w:r w:rsidRPr="00B10F24">
              <w:rPr>
                <w:rFonts w:ascii="Times New Roman" w:hAnsi="Times New Roman" w:cs="Times New Roman"/>
                <w:sz w:val="20"/>
                <w:szCs w:val="20"/>
              </w:rPr>
              <w:t>Nodes</w:t>
            </w:r>
          </w:p>
        </w:tc>
        <w:tc>
          <w:tcPr>
            <w:tcW w:w="7735" w:type="dxa"/>
            <w:vAlign w:val="center"/>
          </w:tcPr>
          <w:p w14:paraId="6FF4DF4F" w14:textId="0625519B" w:rsidR="00BC3D87" w:rsidRPr="00B10F24" w:rsidRDefault="00BC3D87" w:rsidP="00E82E2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10F24">
              <w:rPr>
                <w:rFonts w:ascii="Times New Roman" w:hAnsi="Times New Roman" w:cs="Times New Roman"/>
                <w:sz w:val="20"/>
                <w:szCs w:val="20"/>
              </w:rPr>
              <w:t>A node is made up of a single, or group of, antenna(s) that form an independent PIT-tag detection location and can be ordered in reference to other nodes in the stream network.</w:t>
            </w:r>
          </w:p>
        </w:tc>
      </w:tr>
      <w:tr w:rsidR="00BC3D87" w:rsidRPr="00B10F24" w14:paraId="7532D054" w14:textId="77777777" w:rsidTr="00E82E29">
        <w:tc>
          <w:tcPr>
            <w:cnfStyle w:val="001000000000" w:firstRow="0" w:lastRow="0" w:firstColumn="1" w:lastColumn="0" w:oddVBand="0" w:evenVBand="0" w:oddHBand="0" w:evenHBand="0" w:firstRowFirstColumn="0" w:firstRowLastColumn="0" w:lastRowFirstColumn="0" w:lastRowLastColumn="0"/>
            <w:tcW w:w="1615" w:type="dxa"/>
            <w:vAlign w:val="center"/>
          </w:tcPr>
          <w:p w14:paraId="2F83F6D8" w14:textId="41BF15A4" w:rsidR="00BC3D87" w:rsidRPr="00B10F24" w:rsidRDefault="00BC3D87" w:rsidP="00E82E29">
            <w:pPr>
              <w:jc w:val="center"/>
              <w:rPr>
                <w:rFonts w:ascii="Times New Roman" w:hAnsi="Times New Roman" w:cs="Times New Roman"/>
                <w:sz w:val="20"/>
                <w:szCs w:val="20"/>
              </w:rPr>
            </w:pPr>
            <w:r w:rsidRPr="00B10F24">
              <w:rPr>
                <w:rFonts w:ascii="Times New Roman" w:hAnsi="Times New Roman" w:cs="Times New Roman"/>
                <w:sz w:val="20"/>
                <w:szCs w:val="20"/>
              </w:rPr>
              <w:t>Unbiased / Independent</w:t>
            </w:r>
          </w:p>
        </w:tc>
        <w:tc>
          <w:tcPr>
            <w:tcW w:w="7735" w:type="dxa"/>
            <w:vAlign w:val="center"/>
          </w:tcPr>
          <w:p w14:paraId="74A19089" w14:textId="1269C7A7" w:rsidR="00BC3D87" w:rsidRPr="00B10F24" w:rsidRDefault="00BC3D87" w:rsidP="00E82E2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10F24">
              <w:rPr>
                <w:rFonts w:ascii="Times New Roman" w:hAnsi="Times New Roman" w:cs="Times New Roman"/>
                <w:sz w:val="20"/>
                <w:szCs w:val="20"/>
              </w:rPr>
              <w:t>IPTDS sites and/or nodes are independent if the probability of detecting a tag at one location is independent of detection at another site or node. For example, two nodes (e.g., arrays) within a short distance of each other (e.g., less than 10 meters) may not be independent if marked fish are not mixing with unmarked fish between the nodes.</w:t>
            </w:r>
          </w:p>
        </w:tc>
      </w:tr>
      <w:tr w:rsidR="00BC3D87" w:rsidRPr="00B10F24" w14:paraId="2502508B" w14:textId="77777777" w:rsidTr="00E82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14:paraId="396F0A65" w14:textId="48650F4F" w:rsidR="00BC3D87" w:rsidRPr="00B10F24" w:rsidRDefault="00BC3D87" w:rsidP="00E82E29">
            <w:pPr>
              <w:jc w:val="center"/>
              <w:rPr>
                <w:rFonts w:ascii="Times New Roman" w:hAnsi="Times New Roman" w:cs="Times New Roman"/>
                <w:sz w:val="20"/>
                <w:szCs w:val="20"/>
              </w:rPr>
            </w:pPr>
            <w:r w:rsidRPr="00B10F24">
              <w:rPr>
                <w:rFonts w:ascii="Times New Roman" w:hAnsi="Times New Roman" w:cs="Times New Roman"/>
                <w:sz w:val="20"/>
                <w:szCs w:val="20"/>
              </w:rPr>
              <w:t>Reliable</w:t>
            </w:r>
          </w:p>
        </w:tc>
        <w:tc>
          <w:tcPr>
            <w:tcW w:w="7735" w:type="dxa"/>
            <w:vAlign w:val="center"/>
          </w:tcPr>
          <w:p w14:paraId="73EEA379" w14:textId="422E2CC6" w:rsidR="00BC3D87" w:rsidRPr="00B10F24" w:rsidRDefault="0001722A" w:rsidP="00E82E2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10F24">
              <w:rPr>
                <w:rFonts w:ascii="Times New Roman" w:hAnsi="Times New Roman" w:cs="Times New Roman"/>
                <w:sz w:val="20"/>
                <w:szCs w:val="20"/>
              </w:rPr>
              <w:t xml:space="preserve">The site has operated continuously (or near continuously) through the adult migration period for each of the last five years for </w:t>
            </w:r>
            <w:proofErr w:type="spellStart"/>
            <w:r w:rsidRPr="00B10F24">
              <w:rPr>
                <w:rFonts w:ascii="Times New Roman" w:hAnsi="Times New Roman" w:cs="Times New Roman"/>
                <w:sz w:val="20"/>
                <w:szCs w:val="20"/>
              </w:rPr>
              <w:t>sp</w:t>
            </w:r>
            <w:proofErr w:type="spellEnd"/>
            <w:r w:rsidRPr="00B10F24">
              <w:rPr>
                <w:rFonts w:ascii="Times New Roman" w:hAnsi="Times New Roman" w:cs="Times New Roman"/>
                <w:sz w:val="20"/>
                <w:szCs w:val="20"/>
              </w:rPr>
              <w:t>/sum Chinook salmon and steelhead.</w:t>
            </w:r>
          </w:p>
        </w:tc>
      </w:tr>
    </w:tbl>
    <w:p w14:paraId="379AECCB" w14:textId="69EF1469" w:rsidR="002878C4" w:rsidRDefault="002878C4">
      <w:r>
        <w:br w:type="page"/>
      </w:r>
    </w:p>
    <w:p w14:paraId="09DF8FD9" w14:textId="77777777" w:rsidR="002878C4" w:rsidRDefault="002878C4" w:rsidP="00A14C61">
      <w:pPr>
        <w:jc w:val="both"/>
        <w:sectPr w:rsidR="002878C4" w:rsidSect="0045782A">
          <w:pgSz w:w="12240" w:h="15840"/>
          <w:pgMar w:top="1440" w:right="1440" w:bottom="1440" w:left="1440" w:header="720" w:footer="720" w:gutter="0"/>
          <w:cols w:space="720"/>
          <w:docGrid w:linePitch="360"/>
        </w:sectPr>
      </w:pPr>
    </w:p>
    <w:p w14:paraId="13EEF868" w14:textId="77777777" w:rsidR="0045782A" w:rsidRDefault="0045782A" w:rsidP="00A14C61">
      <w:pPr>
        <w:jc w:val="both"/>
      </w:pPr>
    </w:p>
    <w:p w14:paraId="2790BF0A" w14:textId="44027E3C" w:rsidR="00465B97" w:rsidRDefault="005521DF" w:rsidP="002878C4">
      <w:pPr>
        <w:jc w:val="center"/>
      </w:pPr>
      <w:r w:rsidRPr="005521DF">
        <w:rPr>
          <w:noProof/>
        </w:rPr>
        <w:drawing>
          <wp:inline distT="0" distB="0" distL="0" distR="0" wp14:anchorId="2EB19971" wp14:editId="5ACABDDA">
            <wp:extent cx="8470841" cy="5227607"/>
            <wp:effectExtent l="0" t="0" r="6985" b="0"/>
            <wp:docPr id="619387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387023" name=""/>
                    <pic:cNvPicPr/>
                  </pic:nvPicPr>
                  <pic:blipFill>
                    <a:blip r:embed="rId12"/>
                    <a:stretch>
                      <a:fillRect/>
                    </a:stretch>
                  </pic:blipFill>
                  <pic:spPr>
                    <a:xfrm>
                      <a:off x="0" y="0"/>
                      <a:ext cx="8488993" cy="5238809"/>
                    </a:xfrm>
                    <a:prstGeom prst="rect">
                      <a:avLst/>
                    </a:prstGeom>
                  </pic:spPr>
                </pic:pic>
              </a:graphicData>
            </a:graphic>
          </wp:inline>
        </w:drawing>
      </w:r>
    </w:p>
    <w:p w14:paraId="0B82C2B1" w14:textId="494CEB5A" w:rsidR="00465B97" w:rsidRPr="00465B97" w:rsidRDefault="00465B97" w:rsidP="00A14C61">
      <w:pPr>
        <w:pStyle w:val="Caption"/>
        <w:jc w:val="both"/>
      </w:pPr>
      <w:bookmarkStart w:id="3" w:name="_Ref136413521"/>
      <w:r w:rsidRPr="00465B97">
        <w:rPr>
          <w:b/>
          <w:bCs/>
        </w:rPr>
        <w:t xml:space="preserve">Figure </w:t>
      </w:r>
      <w:r w:rsidRPr="00465B97">
        <w:rPr>
          <w:b/>
          <w:bCs/>
        </w:rPr>
        <w:fldChar w:fldCharType="begin"/>
      </w:r>
      <w:r w:rsidRPr="00465B97">
        <w:rPr>
          <w:b/>
          <w:bCs/>
        </w:rPr>
        <w:instrText xml:space="preserve"> SEQ Figure \* ARABIC </w:instrText>
      </w:r>
      <w:r w:rsidRPr="00465B97">
        <w:rPr>
          <w:b/>
          <w:bCs/>
        </w:rPr>
        <w:fldChar w:fldCharType="separate"/>
      </w:r>
      <w:r w:rsidRPr="00465B97">
        <w:rPr>
          <w:b/>
          <w:bCs/>
          <w:noProof/>
        </w:rPr>
        <w:t>2</w:t>
      </w:r>
      <w:r w:rsidRPr="00465B97">
        <w:rPr>
          <w:b/>
          <w:bCs/>
        </w:rPr>
        <w:fldChar w:fldCharType="end"/>
      </w:r>
      <w:bookmarkEnd w:id="3"/>
      <w:r w:rsidRPr="00465B97">
        <w:rPr>
          <w:b/>
          <w:bCs/>
        </w:rPr>
        <w:t xml:space="preserve">. </w:t>
      </w:r>
      <w:r>
        <w:t xml:space="preserve">Within each population, determine which IPTDS should be considered for inclusion in </w:t>
      </w:r>
      <w:proofErr w:type="spellStart"/>
      <w:r>
        <w:t>Biomark</w:t>
      </w:r>
      <w:proofErr w:type="spellEnd"/>
      <w:r>
        <w:t>, Inc.’s project, and whether any IPTDS within the population could be removed.</w:t>
      </w:r>
    </w:p>
    <w:p w14:paraId="7217D090" w14:textId="77777777" w:rsidR="002878C4" w:rsidRDefault="002878C4" w:rsidP="0001722A">
      <w:pPr>
        <w:jc w:val="both"/>
        <w:rPr>
          <w:rFonts w:ascii="Times New Roman" w:hAnsi="Times New Roman" w:cs="Times New Roman"/>
          <w:b/>
          <w:bCs/>
        </w:rPr>
        <w:sectPr w:rsidR="002878C4" w:rsidSect="002878C4">
          <w:pgSz w:w="15840" w:h="12240" w:orient="landscape" w:code="1"/>
          <w:pgMar w:top="1440" w:right="1440" w:bottom="1440" w:left="1440" w:header="720" w:footer="720" w:gutter="0"/>
          <w:cols w:space="720"/>
          <w:docGrid w:linePitch="360"/>
        </w:sectPr>
      </w:pPr>
    </w:p>
    <w:p w14:paraId="57A16124" w14:textId="609E393E" w:rsidR="0001722A" w:rsidRDefault="0001722A" w:rsidP="0001722A">
      <w:pPr>
        <w:jc w:val="both"/>
        <w:rPr>
          <w:rFonts w:ascii="Times New Roman" w:hAnsi="Times New Roman" w:cs="Times New Roman"/>
          <w:b/>
          <w:bCs/>
        </w:rPr>
      </w:pPr>
      <w:r>
        <w:rPr>
          <w:rFonts w:ascii="Times New Roman" w:hAnsi="Times New Roman" w:cs="Times New Roman"/>
          <w:b/>
          <w:bCs/>
        </w:rPr>
        <w:lastRenderedPageBreak/>
        <w:t>RESULTS</w:t>
      </w:r>
    </w:p>
    <w:p w14:paraId="5AE342D3" w14:textId="3E9CEE22" w:rsidR="0001722A" w:rsidRDefault="0001722A" w:rsidP="0001722A">
      <w:pPr>
        <w:jc w:val="both"/>
        <w:rPr>
          <w:rFonts w:ascii="Times New Roman" w:hAnsi="Times New Roman" w:cs="Times New Roman"/>
          <w:b/>
          <w:bCs/>
          <w:i/>
          <w:iCs/>
          <w:sz w:val="24"/>
          <w:szCs w:val="24"/>
        </w:rPr>
      </w:pPr>
      <w:r>
        <w:rPr>
          <w:rFonts w:ascii="Times New Roman" w:hAnsi="Times New Roman" w:cs="Times New Roman"/>
          <w:b/>
          <w:bCs/>
          <w:i/>
          <w:iCs/>
          <w:sz w:val="24"/>
          <w:szCs w:val="24"/>
        </w:rPr>
        <w:t>Chinook salmon</w:t>
      </w:r>
    </w:p>
    <w:p w14:paraId="2EFF4DAB" w14:textId="4F09A6C8" w:rsidR="0001722A" w:rsidRDefault="0001722A" w:rsidP="0001722A">
      <w:pPr>
        <w:rPr>
          <w:rFonts w:ascii="Times New Roman" w:hAnsi="Times New Roman" w:cs="Times New Roman"/>
        </w:rPr>
      </w:pPr>
      <w:r>
        <w:rPr>
          <w:rFonts w:ascii="Times New Roman" w:hAnsi="Times New Roman" w:cs="Times New Roman"/>
        </w:rPr>
        <w:t>Text…</w:t>
      </w:r>
    </w:p>
    <w:p w14:paraId="5C29A33F" w14:textId="77777777" w:rsidR="0001722A" w:rsidRPr="0001722A" w:rsidRDefault="0001722A" w:rsidP="0001722A">
      <w:pPr>
        <w:rPr>
          <w:rFonts w:ascii="Times New Roman" w:hAnsi="Times New Roman" w:cs="Times New Roman"/>
        </w:rPr>
      </w:pPr>
    </w:p>
    <w:p w14:paraId="32548572" w14:textId="136B8B69" w:rsidR="0001722A" w:rsidRDefault="0001722A" w:rsidP="0001722A">
      <w:pPr>
        <w:jc w:val="both"/>
        <w:rPr>
          <w:rFonts w:ascii="Times New Roman" w:hAnsi="Times New Roman" w:cs="Times New Roman"/>
          <w:b/>
          <w:bCs/>
          <w:i/>
          <w:iCs/>
          <w:sz w:val="24"/>
          <w:szCs w:val="24"/>
        </w:rPr>
      </w:pPr>
      <w:r>
        <w:rPr>
          <w:rFonts w:ascii="Times New Roman" w:hAnsi="Times New Roman" w:cs="Times New Roman"/>
          <w:b/>
          <w:bCs/>
          <w:i/>
          <w:iCs/>
          <w:sz w:val="24"/>
          <w:szCs w:val="24"/>
        </w:rPr>
        <w:t>Steelhead</w:t>
      </w:r>
    </w:p>
    <w:p w14:paraId="6F903A8E" w14:textId="77777777" w:rsidR="0001722A" w:rsidRDefault="0001722A" w:rsidP="0001722A">
      <w:pPr>
        <w:rPr>
          <w:rFonts w:ascii="Times New Roman" w:hAnsi="Times New Roman" w:cs="Times New Roman"/>
        </w:rPr>
      </w:pPr>
      <w:r>
        <w:rPr>
          <w:rFonts w:ascii="Times New Roman" w:hAnsi="Times New Roman" w:cs="Times New Roman"/>
        </w:rPr>
        <w:t>Text…</w:t>
      </w:r>
    </w:p>
    <w:p w14:paraId="2A7C75A5" w14:textId="0A87065B" w:rsidR="00D74A0F" w:rsidRDefault="00D74A0F" w:rsidP="00A14C61">
      <w:pPr>
        <w:jc w:val="both"/>
        <w:rPr>
          <w:rFonts w:ascii="Times New Roman" w:hAnsi="Times New Roman" w:cs="Times New Roman"/>
        </w:rPr>
      </w:pPr>
      <w:r>
        <w:rPr>
          <w:rFonts w:ascii="Times New Roman" w:hAnsi="Times New Roman" w:cs="Times New Roman"/>
        </w:rPr>
        <w:br w:type="page"/>
      </w:r>
    </w:p>
    <w:p w14:paraId="790B9491" w14:textId="31049B18" w:rsidR="00945952" w:rsidRDefault="00D74A0F" w:rsidP="00A14C61">
      <w:pPr>
        <w:jc w:val="both"/>
        <w:rPr>
          <w:rFonts w:ascii="Times New Roman" w:hAnsi="Times New Roman" w:cs="Times New Roman"/>
          <w:b/>
          <w:bCs/>
        </w:rPr>
      </w:pPr>
      <w:r>
        <w:rPr>
          <w:rFonts w:ascii="Times New Roman" w:hAnsi="Times New Roman" w:cs="Times New Roman"/>
          <w:b/>
          <w:bCs/>
        </w:rPr>
        <w:lastRenderedPageBreak/>
        <w:t>LITERATURE CITED</w:t>
      </w:r>
    </w:p>
    <w:p w14:paraId="66C71721" w14:textId="430A8FC5" w:rsidR="00D74A0F" w:rsidRDefault="0084406A" w:rsidP="00A14C61">
      <w:pPr>
        <w:ind w:left="360" w:hanging="360"/>
        <w:jc w:val="both"/>
        <w:rPr>
          <w:rFonts w:ascii="Times New Roman" w:hAnsi="Times New Roman" w:cs="Times New Roman"/>
        </w:rPr>
      </w:pPr>
      <w:r>
        <w:rPr>
          <w:rFonts w:ascii="Times New Roman" w:hAnsi="Times New Roman" w:cs="Times New Roman"/>
        </w:rPr>
        <w:t xml:space="preserve">Columbia Basin Coordinated Anadromous Monitoring Workshop (CBCAMW). 2010. Anadromous Salmonid Monitoring Strategy Viable Salmonid Population Criteria and Subset of Tributary Habitat and Hatchery Effectiveness, Version 30062010. </w:t>
      </w:r>
      <w:r w:rsidR="000160F5">
        <w:rPr>
          <w:rFonts w:ascii="Times New Roman" w:hAnsi="Times New Roman" w:cs="Times New Roman"/>
        </w:rPr>
        <w:t>59 pp.</w:t>
      </w:r>
    </w:p>
    <w:p w14:paraId="05093CAD" w14:textId="0932F847" w:rsidR="00677DF7" w:rsidRDefault="00677DF7" w:rsidP="00A14C61">
      <w:pPr>
        <w:ind w:left="360" w:hanging="360"/>
        <w:jc w:val="both"/>
        <w:rPr>
          <w:rFonts w:ascii="Times New Roman" w:hAnsi="Times New Roman" w:cs="Times New Roman"/>
        </w:rPr>
      </w:pPr>
      <w:r>
        <w:rPr>
          <w:rFonts w:ascii="Times New Roman" w:hAnsi="Times New Roman" w:cs="Times New Roman"/>
        </w:rPr>
        <w:t xml:space="preserve">Crawford, </w:t>
      </w:r>
      <w:proofErr w:type="gramStart"/>
      <w:r>
        <w:rPr>
          <w:rFonts w:ascii="Times New Roman" w:hAnsi="Times New Roman" w:cs="Times New Roman"/>
        </w:rPr>
        <w:t>B.A.</w:t>
      </w:r>
      <w:proofErr w:type="gramEnd"/>
      <w:r>
        <w:rPr>
          <w:rFonts w:ascii="Times New Roman" w:hAnsi="Times New Roman" w:cs="Times New Roman"/>
        </w:rPr>
        <w:t xml:space="preserve"> and S. Rumsey. 2009. Guidance for Monitoring Recovery of Pacific Northwest Salmon and Steelhead Listed Under the Federal Endangered Species Act (Idaho, Oregon, and Washington), DRAFT. NOAA’s National Marine Fisheries Service – Northwest Region. 129 pp.</w:t>
      </w:r>
    </w:p>
    <w:p w14:paraId="64065484" w14:textId="29BB71E8" w:rsidR="00FE5F95" w:rsidRDefault="00FE5F95" w:rsidP="00A14C61">
      <w:pPr>
        <w:ind w:left="360" w:hanging="360"/>
        <w:jc w:val="both"/>
        <w:rPr>
          <w:rFonts w:ascii="Times New Roman" w:hAnsi="Times New Roman" w:cs="Times New Roman"/>
        </w:rPr>
      </w:pPr>
      <w:proofErr w:type="spellStart"/>
      <w:r>
        <w:rPr>
          <w:rFonts w:ascii="Times New Roman" w:hAnsi="Times New Roman" w:cs="Times New Roman"/>
        </w:rPr>
        <w:t>McElhany</w:t>
      </w:r>
      <w:proofErr w:type="spellEnd"/>
      <w:r>
        <w:rPr>
          <w:rFonts w:ascii="Times New Roman" w:hAnsi="Times New Roman" w:cs="Times New Roman"/>
        </w:rPr>
        <w:t xml:space="preserve">, P., M.H. Ruckelshaus, M.J. Ford, T.C. Wainwright, and E.P. </w:t>
      </w:r>
      <w:proofErr w:type="spellStart"/>
      <w:r>
        <w:rPr>
          <w:rFonts w:ascii="Times New Roman" w:hAnsi="Times New Roman" w:cs="Times New Roman"/>
        </w:rPr>
        <w:t>Bjorkstedt</w:t>
      </w:r>
      <w:proofErr w:type="spellEnd"/>
      <w:r>
        <w:rPr>
          <w:rFonts w:ascii="Times New Roman" w:hAnsi="Times New Roman" w:cs="Times New Roman"/>
        </w:rPr>
        <w:t xml:space="preserve">. 2000. Viable salmonid populations and the recovery of evolutionary significant units. U.S. Dept. </w:t>
      </w:r>
      <w:proofErr w:type="spellStart"/>
      <w:r>
        <w:rPr>
          <w:rFonts w:ascii="Times New Roman" w:hAnsi="Times New Roman" w:cs="Times New Roman"/>
        </w:rPr>
        <w:t>Commer</w:t>
      </w:r>
      <w:proofErr w:type="spellEnd"/>
      <w:r>
        <w:rPr>
          <w:rFonts w:ascii="Times New Roman" w:hAnsi="Times New Roman" w:cs="Times New Roman"/>
        </w:rPr>
        <w:t>., NOAA Tech Memo. NMFS-NWFSC-42. 156 pp.</w:t>
      </w:r>
    </w:p>
    <w:p w14:paraId="0FC7A9BA" w14:textId="3B4878F7" w:rsidR="00141564" w:rsidRPr="00945952" w:rsidRDefault="00141564" w:rsidP="00A14C61">
      <w:pPr>
        <w:ind w:left="360" w:hanging="360"/>
        <w:jc w:val="both"/>
        <w:rPr>
          <w:rFonts w:ascii="Times New Roman" w:hAnsi="Times New Roman" w:cs="Times New Roman"/>
        </w:rPr>
      </w:pPr>
      <w:r>
        <w:rPr>
          <w:rFonts w:ascii="Times New Roman" w:hAnsi="Times New Roman" w:cs="Times New Roman"/>
        </w:rPr>
        <w:t>Pacific Northwest Aquatic Monitoring Partnership (PNAMP). 2009. High Level Indicators for Watershed Health and Salmon. May 12, 2009. 10 pp.</w:t>
      </w:r>
    </w:p>
    <w:sectPr w:rsidR="00141564" w:rsidRPr="00945952" w:rsidSect="002878C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39E68E" w14:textId="77777777" w:rsidR="003B3C30" w:rsidRDefault="003B3C30" w:rsidP="00677DF7">
      <w:pPr>
        <w:spacing w:after="0" w:line="240" w:lineRule="auto"/>
      </w:pPr>
      <w:r>
        <w:separator/>
      </w:r>
    </w:p>
  </w:endnote>
  <w:endnote w:type="continuationSeparator" w:id="0">
    <w:p w14:paraId="127E0E60" w14:textId="77777777" w:rsidR="003B3C30" w:rsidRDefault="003B3C30" w:rsidP="00677D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B5B536" w14:textId="77777777" w:rsidR="003B3C30" w:rsidRDefault="003B3C30" w:rsidP="00677DF7">
      <w:pPr>
        <w:spacing w:after="0" w:line="240" w:lineRule="auto"/>
      </w:pPr>
      <w:r>
        <w:separator/>
      </w:r>
    </w:p>
  </w:footnote>
  <w:footnote w:type="continuationSeparator" w:id="0">
    <w:p w14:paraId="2FBE52DD" w14:textId="77777777" w:rsidR="003B3C30" w:rsidRDefault="003B3C30" w:rsidP="00677DF7">
      <w:pPr>
        <w:spacing w:after="0" w:line="240" w:lineRule="auto"/>
      </w:pPr>
      <w:r>
        <w:continuationSeparator/>
      </w:r>
    </w:p>
  </w:footnote>
  <w:footnote w:id="1">
    <w:p w14:paraId="56BC303C" w14:textId="16666CA7" w:rsidR="00677DF7" w:rsidRDefault="00677DF7">
      <w:pPr>
        <w:pStyle w:val="FootnoteText"/>
      </w:pPr>
      <w:r>
        <w:rPr>
          <w:rStyle w:val="FootnoteReference"/>
        </w:rPr>
        <w:footnoteRef/>
      </w:r>
      <w:r>
        <w:t xml:space="preserve"> </w:t>
      </w:r>
      <w:r w:rsidRPr="00677DF7">
        <w:rPr>
          <w:rFonts w:ascii="Times New Roman" w:hAnsi="Times New Roman" w:cs="Times New Roman"/>
          <w:sz w:val="18"/>
          <w:szCs w:val="18"/>
        </w:rPr>
        <w:t>HLIs are intended to communicate complex information in easily understood terms. HLIs for salmon include abundance of wild and hatchery spawners, among others (PNAMP 2009). After NOAA’s monitoring guidance was completed (e.g., Crawford and Rumsey 2009) it was intended that additional HLIs, e.g., to convey life history information, would be identified for salmon and steelhead.</w:t>
      </w:r>
    </w:p>
  </w:footnote>
  <w:footnote w:id="2">
    <w:p w14:paraId="5B37B1E2" w14:textId="222FD1DD" w:rsidR="002A39E5" w:rsidRPr="002A39E5" w:rsidRDefault="002A39E5">
      <w:pPr>
        <w:pStyle w:val="FootnoteText"/>
        <w:rPr>
          <w:rFonts w:ascii="Times New Roman" w:hAnsi="Times New Roman" w:cs="Times New Roman"/>
          <w:sz w:val="18"/>
          <w:szCs w:val="18"/>
        </w:rPr>
      </w:pPr>
      <w:r>
        <w:rPr>
          <w:rStyle w:val="FootnoteReference"/>
        </w:rPr>
        <w:footnoteRef/>
      </w:r>
      <w:r>
        <w:t xml:space="preserve"> </w:t>
      </w:r>
      <w:r w:rsidRPr="002A39E5">
        <w:rPr>
          <w:rFonts w:ascii="Times New Roman" w:hAnsi="Times New Roman" w:cs="Times New Roman"/>
          <w:sz w:val="18"/>
          <w:szCs w:val="18"/>
        </w:rPr>
        <w:t>Genetic-based effective population size monitoring (e.g., Hargrove 2022, Ackerman 2017) is another potential example of low- or high-resolution monitoring; however, estimates of effective population size or effective number of breeders must be converted to abundance which is still a relatively new and untested technique.</w:t>
      </w:r>
    </w:p>
  </w:footnote>
  <w:footnote w:id="3">
    <w:p w14:paraId="702492D1" w14:textId="0F68F90A" w:rsidR="00421032" w:rsidRPr="00421032" w:rsidRDefault="00421032">
      <w:pPr>
        <w:pStyle w:val="FootnoteText"/>
        <w:rPr>
          <w:rFonts w:ascii="Times New Roman" w:hAnsi="Times New Roman" w:cs="Times New Roman"/>
          <w:sz w:val="18"/>
          <w:szCs w:val="18"/>
        </w:rPr>
      </w:pPr>
      <w:r>
        <w:rPr>
          <w:rStyle w:val="FootnoteReference"/>
        </w:rPr>
        <w:footnoteRef/>
      </w:r>
      <w:r>
        <w:t xml:space="preserve"> </w:t>
      </w:r>
      <w:r w:rsidRPr="00421032">
        <w:rPr>
          <w:rFonts w:ascii="Times New Roman" w:hAnsi="Times New Roman" w:cs="Times New Roman"/>
          <w:sz w:val="18"/>
          <w:szCs w:val="18"/>
        </w:rPr>
        <w:t xml:space="preserve">For </w:t>
      </w:r>
      <w:proofErr w:type="spellStart"/>
      <w:r w:rsidRPr="00421032">
        <w:rPr>
          <w:rFonts w:ascii="Times New Roman" w:hAnsi="Times New Roman" w:cs="Times New Roman"/>
          <w:sz w:val="18"/>
          <w:szCs w:val="18"/>
        </w:rPr>
        <w:t>sp</w:t>
      </w:r>
      <w:proofErr w:type="spellEnd"/>
      <w:r w:rsidRPr="00421032">
        <w:rPr>
          <w:rFonts w:ascii="Times New Roman" w:hAnsi="Times New Roman" w:cs="Times New Roman"/>
          <w:sz w:val="18"/>
          <w:szCs w:val="18"/>
        </w:rPr>
        <w:t>/sum Chinook salmon, annual adult status and trend data should be collected at high-intensity monitoring for at least one population per run-type (spring versus summer-run) within each MPG (</w:t>
      </w:r>
      <w:r w:rsidRPr="00421032">
        <w:rPr>
          <w:rFonts w:ascii="Times New Roman" w:hAnsi="Times New Roman" w:cs="Times New Roman"/>
          <w:sz w:val="18"/>
          <w:szCs w:val="18"/>
        </w:rPr>
        <w:t>CBCAMW 2010</w:t>
      </w:r>
      <w:r w:rsidRPr="00421032">
        <w:rPr>
          <w:rFonts w:ascii="Times New Roman" w:hAnsi="Times New Roman" w:cs="Times New Roman"/>
          <w:sz w:val="18"/>
          <w:szCs w:val="18"/>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83069"/>
    <w:multiLevelType w:val="hybridMultilevel"/>
    <w:tmpl w:val="DD5EF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0C4E1A"/>
    <w:multiLevelType w:val="hybridMultilevel"/>
    <w:tmpl w:val="4D369D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F66AD6C0">
      <w:start w:val="1"/>
      <w:numFmt w:val="lowerRoman"/>
      <w:lvlText w:val="%3."/>
      <w:lvlJc w:val="right"/>
      <w:pPr>
        <w:ind w:left="216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FA182A"/>
    <w:multiLevelType w:val="hybridMultilevel"/>
    <w:tmpl w:val="6A84C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8734D8"/>
    <w:multiLevelType w:val="hybridMultilevel"/>
    <w:tmpl w:val="FB2C8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CC40CF"/>
    <w:multiLevelType w:val="hybridMultilevel"/>
    <w:tmpl w:val="F6A4B7AC"/>
    <w:lvl w:ilvl="0" w:tplc="EC74C166">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B03061"/>
    <w:multiLevelType w:val="hybridMultilevel"/>
    <w:tmpl w:val="797C1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233E84"/>
    <w:multiLevelType w:val="hybridMultilevel"/>
    <w:tmpl w:val="978C7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A76AA5"/>
    <w:multiLevelType w:val="hybridMultilevel"/>
    <w:tmpl w:val="86EC997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16899687">
    <w:abstractNumId w:val="6"/>
  </w:num>
  <w:num w:numId="2" w16cid:durableId="295837715">
    <w:abstractNumId w:val="1"/>
  </w:num>
  <w:num w:numId="3" w16cid:durableId="270819319">
    <w:abstractNumId w:val="3"/>
  </w:num>
  <w:num w:numId="4" w16cid:durableId="898907464">
    <w:abstractNumId w:val="2"/>
  </w:num>
  <w:num w:numId="5" w16cid:durableId="985166865">
    <w:abstractNumId w:val="0"/>
  </w:num>
  <w:num w:numId="6" w16cid:durableId="1512837582">
    <w:abstractNumId w:val="5"/>
  </w:num>
  <w:num w:numId="7" w16cid:durableId="386998980">
    <w:abstractNumId w:val="7"/>
  </w:num>
  <w:num w:numId="8" w16cid:durableId="19094166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0E1"/>
    <w:rsid w:val="000160F5"/>
    <w:rsid w:val="0001722A"/>
    <w:rsid w:val="00032534"/>
    <w:rsid w:val="000C422D"/>
    <w:rsid w:val="000F2DA6"/>
    <w:rsid w:val="000F3CC1"/>
    <w:rsid w:val="00110D73"/>
    <w:rsid w:val="0012185F"/>
    <w:rsid w:val="00141564"/>
    <w:rsid w:val="00141B42"/>
    <w:rsid w:val="002878C4"/>
    <w:rsid w:val="002A1432"/>
    <w:rsid w:val="002A39E5"/>
    <w:rsid w:val="002C6507"/>
    <w:rsid w:val="002D28A1"/>
    <w:rsid w:val="00303B40"/>
    <w:rsid w:val="00305646"/>
    <w:rsid w:val="00327D10"/>
    <w:rsid w:val="00350099"/>
    <w:rsid w:val="00393A12"/>
    <w:rsid w:val="003B3C30"/>
    <w:rsid w:val="003C5676"/>
    <w:rsid w:val="003E4E69"/>
    <w:rsid w:val="00410823"/>
    <w:rsid w:val="00421032"/>
    <w:rsid w:val="00421BBD"/>
    <w:rsid w:val="00427D79"/>
    <w:rsid w:val="00456D09"/>
    <w:rsid w:val="0045782A"/>
    <w:rsid w:val="00465B97"/>
    <w:rsid w:val="00485899"/>
    <w:rsid w:val="004A490E"/>
    <w:rsid w:val="004C6495"/>
    <w:rsid w:val="004F6A40"/>
    <w:rsid w:val="005016D0"/>
    <w:rsid w:val="0051458D"/>
    <w:rsid w:val="00535F67"/>
    <w:rsid w:val="005521DF"/>
    <w:rsid w:val="005566AC"/>
    <w:rsid w:val="00567A86"/>
    <w:rsid w:val="00597A13"/>
    <w:rsid w:val="005E3B22"/>
    <w:rsid w:val="005E4DDF"/>
    <w:rsid w:val="005E5AC8"/>
    <w:rsid w:val="006377EF"/>
    <w:rsid w:val="006720C9"/>
    <w:rsid w:val="00677DF7"/>
    <w:rsid w:val="006E62AF"/>
    <w:rsid w:val="006F4996"/>
    <w:rsid w:val="00705E53"/>
    <w:rsid w:val="00720AE8"/>
    <w:rsid w:val="00797C9A"/>
    <w:rsid w:val="007A1E19"/>
    <w:rsid w:val="007E5CA2"/>
    <w:rsid w:val="00807F8E"/>
    <w:rsid w:val="00820919"/>
    <w:rsid w:val="0084406A"/>
    <w:rsid w:val="00862F38"/>
    <w:rsid w:val="0089096A"/>
    <w:rsid w:val="008C4BCA"/>
    <w:rsid w:val="008D560B"/>
    <w:rsid w:val="00945952"/>
    <w:rsid w:val="00A14C61"/>
    <w:rsid w:val="00A44238"/>
    <w:rsid w:val="00A46243"/>
    <w:rsid w:val="00A57537"/>
    <w:rsid w:val="00A72EAA"/>
    <w:rsid w:val="00AB0ED4"/>
    <w:rsid w:val="00AB53A5"/>
    <w:rsid w:val="00AC0353"/>
    <w:rsid w:val="00AD1A03"/>
    <w:rsid w:val="00AD386E"/>
    <w:rsid w:val="00AF154A"/>
    <w:rsid w:val="00B02B87"/>
    <w:rsid w:val="00B06F9F"/>
    <w:rsid w:val="00B10F24"/>
    <w:rsid w:val="00BA1DEF"/>
    <w:rsid w:val="00BB08B4"/>
    <w:rsid w:val="00BC30D8"/>
    <w:rsid w:val="00BC3D87"/>
    <w:rsid w:val="00BD1AE4"/>
    <w:rsid w:val="00C177F8"/>
    <w:rsid w:val="00CB288D"/>
    <w:rsid w:val="00D153BC"/>
    <w:rsid w:val="00D34D91"/>
    <w:rsid w:val="00D74A0F"/>
    <w:rsid w:val="00D85DD4"/>
    <w:rsid w:val="00E10C97"/>
    <w:rsid w:val="00E12CD3"/>
    <w:rsid w:val="00E17D13"/>
    <w:rsid w:val="00E27E92"/>
    <w:rsid w:val="00E323E6"/>
    <w:rsid w:val="00E82E29"/>
    <w:rsid w:val="00ED0BE9"/>
    <w:rsid w:val="00ED7D46"/>
    <w:rsid w:val="00F50506"/>
    <w:rsid w:val="00F559E0"/>
    <w:rsid w:val="00F75DE8"/>
    <w:rsid w:val="00F836DB"/>
    <w:rsid w:val="00F97286"/>
    <w:rsid w:val="00FA1EC1"/>
    <w:rsid w:val="00FD20E1"/>
    <w:rsid w:val="00FD4373"/>
    <w:rsid w:val="00FE5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22641"/>
  <w15:chartTrackingRefBased/>
  <w15:docId w15:val="{E6FBECBF-8F35-41C7-84FF-5699408E0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E5A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5AC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65B97"/>
    <w:pPr>
      <w:ind w:left="720"/>
      <w:contextualSpacing/>
    </w:pPr>
    <w:rPr>
      <w:rFonts w:ascii="Times New Roman" w:hAnsi="Times New Roman"/>
    </w:rPr>
  </w:style>
  <w:style w:type="paragraph" w:styleId="Caption">
    <w:name w:val="caption"/>
    <w:basedOn w:val="Normal"/>
    <w:next w:val="Normal"/>
    <w:uiPriority w:val="35"/>
    <w:unhideWhenUsed/>
    <w:qFormat/>
    <w:rsid w:val="00465B97"/>
    <w:pPr>
      <w:spacing w:after="200" w:line="240" w:lineRule="auto"/>
    </w:pPr>
    <w:rPr>
      <w:rFonts w:ascii="Times New Roman" w:hAnsi="Times New Roman"/>
      <w:i/>
      <w:iCs/>
      <w:sz w:val="20"/>
      <w:szCs w:val="18"/>
    </w:rPr>
  </w:style>
  <w:style w:type="table" w:styleId="TableGrid">
    <w:name w:val="Table Grid"/>
    <w:basedOn w:val="TableNormal"/>
    <w:uiPriority w:val="39"/>
    <w:rsid w:val="00BC3D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BC3D8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FootnoteText">
    <w:name w:val="footnote text"/>
    <w:basedOn w:val="Normal"/>
    <w:link w:val="FootnoteTextChar"/>
    <w:uiPriority w:val="99"/>
    <w:semiHidden/>
    <w:unhideWhenUsed/>
    <w:rsid w:val="00677DF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77DF7"/>
    <w:rPr>
      <w:sz w:val="20"/>
      <w:szCs w:val="20"/>
    </w:rPr>
  </w:style>
  <w:style w:type="character" w:styleId="FootnoteReference">
    <w:name w:val="footnote reference"/>
    <w:basedOn w:val="DefaultParagraphFont"/>
    <w:uiPriority w:val="99"/>
    <w:semiHidden/>
    <w:unhideWhenUsed/>
    <w:rsid w:val="00677DF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E316C856B046464094687854AC4248F1" ma:contentTypeVersion="4" ma:contentTypeDescription="Create a new document." ma:contentTypeScope="" ma:versionID="b90aa8284cbb6c666eccc904c311b7c7">
  <xsd:schema xmlns:xsd="http://www.w3.org/2001/XMLSchema" xmlns:xs="http://www.w3.org/2001/XMLSchema" xmlns:p="http://schemas.microsoft.com/office/2006/metadata/properties" xmlns:ns2="fe7e0862-69f8-487b-985b-a27c1a079809" targetNamespace="http://schemas.microsoft.com/office/2006/metadata/properties" ma:root="true" ma:fieldsID="8e3d496c73df692e6467a45912750761" ns2:_="">
    <xsd:import namespace="fe7e0862-69f8-487b-985b-a27c1a07980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7e0862-69f8-487b-985b-a27c1a0798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156BEED-2C18-4B0A-B821-994FF64A18DD}">
  <ds:schemaRefs>
    <ds:schemaRef ds:uri="http://schemas.openxmlformats.org/officeDocument/2006/bibliography"/>
  </ds:schemaRefs>
</ds:datastoreItem>
</file>

<file path=customXml/itemProps2.xml><?xml version="1.0" encoding="utf-8"?>
<ds:datastoreItem xmlns:ds="http://schemas.openxmlformats.org/officeDocument/2006/customXml" ds:itemID="{3B9D973F-A5A2-4990-B215-FADF6C05A7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7e0862-69f8-487b-985b-a27c1a0798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022F712-303E-442D-AB89-F9DB9D8CAE9D}">
  <ds:schemaRefs>
    <ds:schemaRef ds:uri="http://schemas.microsoft.com/sharepoint/v3/contenttype/forms"/>
  </ds:schemaRefs>
</ds:datastoreItem>
</file>

<file path=customXml/itemProps4.xml><?xml version="1.0" encoding="utf-8"?>
<ds:datastoreItem xmlns:ds="http://schemas.openxmlformats.org/officeDocument/2006/customXml" ds:itemID="{EDFEC2EA-BF41-420D-BF20-35396D13C41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5072</TotalTime>
  <Pages>8</Pages>
  <Words>1823</Words>
  <Characters>10396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Ackerman</dc:creator>
  <cp:keywords/>
  <dc:description/>
  <cp:lastModifiedBy>Mike Ackerman</cp:lastModifiedBy>
  <cp:revision>73</cp:revision>
  <dcterms:created xsi:type="dcterms:W3CDTF">2023-05-30T22:00:00Z</dcterms:created>
  <dcterms:modified xsi:type="dcterms:W3CDTF">2023-06-14T19:47:00Z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0x010100E316C856B046464094687854AC4248F1</vt:lpwstr>
  </property>
</Properties>
</file>