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C031" w14:textId="42806CF8" w:rsidR="002A1432" w:rsidRDefault="001B2B95" w:rsidP="00A14C61">
      <w:pPr>
        <w:pStyle w:val="Title"/>
        <w:jc w:val="center"/>
        <w:rPr>
          <w:rFonts w:ascii="Times New Roman" w:hAnsi="Times New Roman" w:cs="Times New Roman"/>
          <w:b/>
          <w:bCs/>
          <w:sz w:val="28"/>
          <w:szCs w:val="28"/>
        </w:rPr>
      </w:pPr>
      <w:r>
        <w:rPr>
          <w:rFonts w:ascii="Times New Roman" w:eastAsiaTheme="minorHAnsi" w:hAnsi="Times New Roman" w:cs="Times New Roman"/>
          <w:b/>
          <w:spacing w:val="0"/>
          <w:kern w:val="0"/>
          <w:sz w:val="28"/>
          <w:szCs w:val="22"/>
          <w14:ligatures w14:val="none"/>
        </w:rPr>
        <w:t xml:space="preserve">Snake River Basin </w:t>
      </w:r>
      <w:r w:rsidR="000F3CC1">
        <w:rPr>
          <w:rFonts w:ascii="Times New Roman" w:hAnsi="Times New Roman" w:cs="Times New Roman"/>
          <w:b/>
          <w:bCs/>
          <w:sz w:val="28"/>
          <w:szCs w:val="28"/>
        </w:rPr>
        <w:t>Instream PIT Tag Detection Systems</w:t>
      </w:r>
      <w:r>
        <w:rPr>
          <w:rFonts w:ascii="Times New Roman" w:hAnsi="Times New Roman" w:cs="Times New Roman"/>
          <w:b/>
          <w:bCs/>
          <w:sz w:val="28"/>
          <w:szCs w:val="28"/>
        </w:rPr>
        <w:t xml:space="preserve"> Prioritization – Implementation Plan</w:t>
      </w:r>
    </w:p>
    <w:p w14:paraId="20B52162" w14:textId="77777777" w:rsidR="00F97286" w:rsidRDefault="00F97286" w:rsidP="00F97286">
      <w:pPr>
        <w:jc w:val="center"/>
        <w:rPr>
          <w:rFonts w:cs="Times New Roman"/>
          <w:sz w:val="24"/>
          <w:szCs w:val="24"/>
        </w:rPr>
      </w:pPr>
    </w:p>
    <w:p w14:paraId="6CFE377C" w14:textId="62FE14CD" w:rsidR="007664E3" w:rsidRDefault="00F97286" w:rsidP="00DF55E9">
      <w:pPr>
        <w:jc w:val="center"/>
        <w:rPr>
          <w:rFonts w:cs="Times New Roman"/>
          <w:sz w:val="24"/>
          <w:szCs w:val="24"/>
        </w:rPr>
      </w:pPr>
      <w:r w:rsidRPr="00C3017F">
        <w:rPr>
          <w:rFonts w:cs="Times New Roman"/>
          <w:b/>
          <w:bCs/>
          <w:sz w:val="24"/>
          <w:szCs w:val="24"/>
        </w:rPr>
        <w:t>Version:</w:t>
      </w:r>
      <w:r w:rsidRPr="00F97286">
        <w:rPr>
          <w:rFonts w:cs="Times New Roman"/>
          <w:sz w:val="24"/>
          <w:szCs w:val="24"/>
        </w:rPr>
        <w:t xml:space="preserve"> </w:t>
      </w:r>
      <w:r w:rsidR="009B4B55">
        <w:rPr>
          <w:rFonts w:cs="Times New Roman"/>
          <w:sz w:val="24"/>
          <w:szCs w:val="24"/>
        </w:rPr>
        <w:t>April 8</w:t>
      </w:r>
      <w:r w:rsidRPr="00F97286">
        <w:rPr>
          <w:rFonts w:cs="Times New Roman"/>
          <w:sz w:val="24"/>
          <w:szCs w:val="24"/>
        </w:rPr>
        <w:t>, 202</w:t>
      </w:r>
      <w:r w:rsidR="00E44661">
        <w:rPr>
          <w:rFonts w:cs="Times New Roman"/>
          <w:sz w:val="24"/>
          <w:szCs w:val="24"/>
        </w:rPr>
        <w:t>5</w:t>
      </w:r>
    </w:p>
    <w:p w14:paraId="7087F3FA" w14:textId="77777777" w:rsidR="00227ACE" w:rsidRDefault="00227ACE" w:rsidP="007664E3">
      <w:pPr>
        <w:jc w:val="center"/>
        <w:rPr>
          <w:rFonts w:cs="Times New Roman"/>
          <w:sz w:val="24"/>
          <w:szCs w:val="24"/>
        </w:rPr>
      </w:pPr>
    </w:p>
    <w:p w14:paraId="23488BAD" w14:textId="562C6060" w:rsidR="007664E3" w:rsidRPr="00F97286" w:rsidRDefault="007664E3" w:rsidP="00F97286">
      <w:pPr>
        <w:jc w:val="center"/>
        <w:rPr>
          <w:rFonts w:cs="Times New Roman"/>
          <w:sz w:val="24"/>
          <w:szCs w:val="24"/>
        </w:rPr>
      </w:pPr>
      <w:r>
        <w:rPr>
          <w:noProof/>
        </w:rPr>
        <w:drawing>
          <wp:inline distT="0" distB="0" distL="0" distR="0" wp14:anchorId="330DE980" wp14:editId="3D84C460">
            <wp:extent cx="4176301" cy="5568401"/>
            <wp:effectExtent l="38100" t="38100" r="34290" b="32385"/>
            <wp:docPr id="135718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83897"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176301" cy="5568401"/>
                    </a:xfrm>
                    <a:prstGeom prst="rect">
                      <a:avLst/>
                    </a:prstGeom>
                    <a:noFill/>
                    <a:ln w="28575">
                      <a:solidFill>
                        <a:schemeClr val="accent4">
                          <a:lumMod val="75000"/>
                        </a:schemeClr>
                      </a:solidFill>
                    </a:ln>
                  </pic:spPr>
                </pic:pic>
              </a:graphicData>
            </a:graphic>
          </wp:inline>
        </w:drawing>
      </w:r>
    </w:p>
    <w:p w14:paraId="7636C94B" w14:textId="704043AF" w:rsidR="00FA1452" w:rsidRDefault="00FA1452" w:rsidP="00FA1452">
      <w:pPr>
        <w:jc w:val="center"/>
        <w:rPr>
          <w:b/>
          <w:bCs/>
        </w:rPr>
      </w:pPr>
      <w:r>
        <w:rPr>
          <w:b/>
          <w:bCs/>
        </w:rPr>
        <w:t>Snake River Instream PIT-tag Detection Systems Prioritization</w:t>
      </w:r>
      <w:r w:rsidR="00E02309">
        <w:rPr>
          <w:b/>
          <w:bCs/>
        </w:rPr>
        <w:t xml:space="preserve"> – Implementation Team</w:t>
      </w:r>
    </w:p>
    <w:p w14:paraId="0661BA4C" w14:textId="77777777" w:rsidR="001B25BC" w:rsidRDefault="001B25BC" w:rsidP="001E50CA">
      <w:pPr>
        <w:jc w:val="both"/>
        <w:rPr>
          <w:b/>
          <w:bCs/>
        </w:rPr>
      </w:pPr>
    </w:p>
    <w:p w14:paraId="2ED52C32" w14:textId="36FF9772" w:rsidR="00FA1452" w:rsidRDefault="00FA1452" w:rsidP="001E50CA">
      <w:pPr>
        <w:jc w:val="both"/>
      </w:pPr>
      <w:r>
        <w:rPr>
          <w:b/>
          <w:bCs/>
        </w:rPr>
        <w:t xml:space="preserve">Primary Contributors: </w:t>
      </w:r>
      <w:r>
        <w:t>Michael W. Ackerman (NPT),</w:t>
      </w:r>
      <w:r w:rsidR="006C745A">
        <w:t xml:space="preserve"> </w:t>
      </w:r>
      <w:r w:rsidR="00E02309">
        <w:t>Ben Winkler (</w:t>
      </w:r>
      <w:proofErr w:type="spellStart"/>
      <w:r w:rsidR="00E02309">
        <w:t>Biomark</w:t>
      </w:r>
      <w:proofErr w:type="spellEnd"/>
      <w:r w:rsidR="00E02309">
        <w:t xml:space="preserve">), </w:t>
      </w:r>
      <w:r w:rsidR="006C745A">
        <w:t>Cameron Albee (NPT),</w:t>
      </w:r>
      <w:r>
        <w:t xml:space="preserve"> Timothy Copeland (IDFG), Ethan Crawford (WDFW), Joseph W. </w:t>
      </w:r>
      <w:proofErr w:type="spellStart"/>
      <w:r>
        <w:t>Feldhaus</w:t>
      </w:r>
      <w:proofErr w:type="spellEnd"/>
      <w:r>
        <w:t xml:space="preserve"> (ODFW)</w:t>
      </w:r>
    </w:p>
    <w:p w14:paraId="3E84324B" w14:textId="49E5C89B" w:rsidR="00C3017F" w:rsidRDefault="001E50CA" w:rsidP="009C2944">
      <w:pPr>
        <w:jc w:val="center"/>
        <w:rPr>
          <w:color w:val="A6A6A6" w:themeColor="background1" w:themeShade="A6"/>
        </w:rPr>
      </w:pPr>
      <w:r>
        <w:rPr>
          <w:color w:val="A6A6A6" w:themeColor="background1" w:themeShade="A6"/>
        </w:rPr>
        <w:br w:type="page"/>
      </w:r>
      <w:r w:rsidR="00C3017F" w:rsidRPr="00C3017F">
        <w:rPr>
          <w:color w:val="A6A6A6" w:themeColor="background1" w:themeShade="A6"/>
        </w:rPr>
        <w:lastRenderedPageBreak/>
        <w:t>(this page intentionally left blank)</w:t>
      </w:r>
    </w:p>
    <w:p w14:paraId="3E186ADF" w14:textId="77777777" w:rsidR="00111303" w:rsidRDefault="00692306" w:rsidP="00C3017F">
      <w:pPr>
        <w:sectPr w:rsidR="00111303" w:rsidSect="00111303">
          <w:footerReference w:type="default" r:id="rId12"/>
          <w:pgSz w:w="12240" w:h="15840"/>
          <w:pgMar w:top="1440" w:right="1440" w:bottom="1440" w:left="1440" w:header="720" w:footer="720" w:gutter="0"/>
          <w:pgNumType w:fmt="lowerRoman" w:start="1"/>
          <w:cols w:space="720"/>
          <w:docGrid w:linePitch="360"/>
        </w:sectPr>
      </w:pPr>
      <w:r>
        <w:br w:type="page"/>
      </w:r>
    </w:p>
    <w:sdt>
      <w:sdtPr>
        <w:rPr>
          <w:rFonts w:eastAsiaTheme="minorHAnsi" w:cstheme="minorBidi"/>
          <w:b w:val="0"/>
          <w:caps w:val="0"/>
          <w:kern w:val="2"/>
          <w:sz w:val="22"/>
          <w:szCs w:val="22"/>
          <w14:ligatures w14:val="standardContextual"/>
        </w:rPr>
        <w:id w:val="-2140948593"/>
        <w:docPartObj>
          <w:docPartGallery w:val="Table of Contents"/>
          <w:docPartUnique/>
        </w:docPartObj>
      </w:sdtPr>
      <w:sdtEndPr>
        <w:rPr>
          <w:bCs/>
          <w:noProof/>
        </w:rPr>
      </w:sdtEndPr>
      <w:sdtContent>
        <w:p w14:paraId="7140189B" w14:textId="7A7045C8" w:rsidR="00692306" w:rsidRDefault="00692306">
          <w:pPr>
            <w:pStyle w:val="TOCHeading"/>
          </w:pPr>
          <w:r>
            <w:t>Table of Contents</w:t>
          </w:r>
        </w:p>
        <w:p w14:paraId="2BD1AA20" w14:textId="2FF32C33" w:rsidR="001B25BC" w:rsidRDefault="00692306">
          <w:pPr>
            <w:pStyle w:val="TOC1"/>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95002561" w:history="1">
            <w:r w:rsidR="001B25BC" w:rsidRPr="009A0C7C">
              <w:rPr>
                <w:rStyle w:val="Hyperlink"/>
                <w:noProof/>
              </w:rPr>
              <w:t>BACKGROUND</w:t>
            </w:r>
            <w:r w:rsidR="001B25BC">
              <w:rPr>
                <w:noProof/>
                <w:webHidden/>
              </w:rPr>
              <w:tab/>
            </w:r>
            <w:r w:rsidR="001B25BC">
              <w:rPr>
                <w:noProof/>
                <w:webHidden/>
              </w:rPr>
              <w:fldChar w:fldCharType="begin"/>
            </w:r>
            <w:r w:rsidR="001B25BC">
              <w:rPr>
                <w:noProof/>
                <w:webHidden/>
              </w:rPr>
              <w:instrText xml:space="preserve"> PAGEREF _Toc195002561 \h </w:instrText>
            </w:r>
            <w:r w:rsidR="001B25BC">
              <w:rPr>
                <w:noProof/>
                <w:webHidden/>
              </w:rPr>
            </w:r>
            <w:r w:rsidR="001B25BC">
              <w:rPr>
                <w:noProof/>
                <w:webHidden/>
              </w:rPr>
              <w:fldChar w:fldCharType="separate"/>
            </w:r>
            <w:r w:rsidR="001B25BC">
              <w:rPr>
                <w:noProof/>
                <w:webHidden/>
              </w:rPr>
              <w:t>3</w:t>
            </w:r>
            <w:r w:rsidR="001B25BC">
              <w:rPr>
                <w:noProof/>
                <w:webHidden/>
              </w:rPr>
              <w:fldChar w:fldCharType="end"/>
            </w:r>
          </w:hyperlink>
        </w:p>
        <w:p w14:paraId="25785602" w14:textId="39BEE4F2" w:rsidR="001B25BC" w:rsidRDefault="001B25BC">
          <w:pPr>
            <w:pStyle w:val="TOC2"/>
            <w:tabs>
              <w:tab w:val="right" w:leader="dot" w:pos="9350"/>
            </w:tabs>
            <w:rPr>
              <w:rFonts w:asciiTheme="minorHAnsi" w:eastAsiaTheme="minorEastAsia" w:hAnsiTheme="minorHAnsi"/>
              <w:noProof/>
              <w:sz w:val="24"/>
              <w:szCs w:val="24"/>
            </w:rPr>
          </w:pPr>
          <w:hyperlink w:anchor="_Toc195002562" w:history="1">
            <w:r w:rsidRPr="009A0C7C">
              <w:rPr>
                <w:rStyle w:val="Hyperlink"/>
                <w:noProof/>
              </w:rPr>
              <w:t>Objectives</w:t>
            </w:r>
            <w:r>
              <w:rPr>
                <w:noProof/>
                <w:webHidden/>
              </w:rPr>
              <w:tab/>
            </w:r>
            <w:r>
              <w:rPr>
                <w:noProof/>
                <w:webHidden/>
              </w:rPr>
              <w:fldChar w:fldCharType="begin"/>
            </w:r>
            <w:r>
              <w:rPr>
                <w:noProof/>
                <w:webHidden/>
              </w:rPr>
              <w:instrText xml:space="preserve"> PAGEREF _Toc195002562 \h </w:instrText>
            </w:r>
            <w:r>
              <w:rPr>
                <w:noProof/>
                <w:webHidden/>
              </w:rPr>
            </w:r>
            <w:r>
              <w:rPr>
                <w:noProof/>
                <w:webHidden/>
              </w:rPr>
              <w:fldChar w:fldCharType="separate"/>
            </w:r>
            <w:r>
              <w:rPr>
                <w:noProof/>
                <w:webHidden/>
              </w:rPr>
              <w:t>3</w:t>
            </w:r>
            <w:r>
              <w:rPr>
                <w:noProof/>
                <w:webHidden/>
              </w:rPr>
              <w:fldChar w:fldCharType="end"/>
            </w:r>
          </w:hyperlink>
        </w:p>
        <w:p w14:paraId="1488500A" w14:textId="317DE89C" w:rsidR="001B25BC" w:rsidRDefault="001B25BC">
          <w:pPr>
            <w:pStyle w:val="TOC1"/>
            <w:rPr>
              <w:rFonts w:asciiTheme="minorHAnsi" w:eastAsiaTheme="minorEastAsia" w:hAnsiTheme="minorHAnsi"/>
              <w:noProof/>
              <w:sz w:val="24"/>
              <w:szCs w:val="24"/>
            </w:rPr>
          </w:pPr>
          <w:hyperlink w:anchor="_Toc195002563" w:history="1">
            <w:r w:rsidRPr="009A0C7C">
              <w:rPr>
                <w:rStyle w:val="Hyperlink"/>
                <w:noProof/>
              </w:rPr>
              <w:t>RECOMMENDATIONS</w:t>
            </w:r>
            <w:r>
              <w:rPr>
                <w:noProof/>
                <w:webHidden/>
              </w:rPr>
              <w:tab/>
            </w:r>
            <w:r>
              <w:rPr>
                <w:noProof/>
                <w:webHidden/>
              </w:rPr>
              <w:fldChar w:fldCharType="begin"/>
            </w:r>
            <w:r>
              <w:rPr>
                <w:noProof/>
                <w:webHidden/>
              </w:rPr>
              <w:instrText xml:space="preserve"> PAGEREF _Toc195002563 \h </w:instrText>
            </w:r>
            <w:r>
              <w:rPr>
                <w:noProof/>
                <w:webHidden/>
              </w:rPr>
            </w:r>
            <w:r>
              <w:rPr>
                <w:noProof/>
                <w:webHidden/>
              </w:rPr>
              <w:fldChar w:fldCharType="separate"/>
            </w:r>
            <w:r>
              <w:rPr>
                <w:noProof/>
                <w:webHidden/>
              </w:rPr>
              <w:t>3</w:t>
            </w:r>
            <w:r>
              <w:rPr>
                <w:noProof/>
                <w:webHidden/>
              </w:rPr>
              <w:fldChar w:fldCharType="end"/>
            </w:r>
          </w:hyperlink>
        </w:p>
        <w:p w14:paraId="4C7343C8" w14:textId="22562DA6" w:rsidR="001B25BC" w:rsidRDefault="001B25BC">
          <w:pPr>
            <w:pStyle w:val="TOC2"/>
            <w:tabs>
              <w:tab w:val="right" w:leader="dot" w:pos="9350"/>
            </w:tabs>
            <w:rPr>
              <w:rFonts w:asciiTheme="minorHAnsi" w:eastAsiaTheme="minorEastAsia" w:hAnsiTheme="minorHAnsi"/>
              <w:noProof/>
              <w:sz w:val="24"/>
              <w:szCs w:val="24"/>
            </w:rPr>
          </w:pPr>
          <w:hyperlink w:anchor="_Toc195002564" w:history="1">
            <w:r w:rsidRPr="009A0C7C">
              <w:rPr>
                <w:rStyle w:val="Hyperlink"/>
                <w:noProof/>
              </w:rPr>
              <w:t>Continue Funding</w:t>
            </w:r>
            <w:r>
              <w:rPr>
                <w:noProof/>
                <w:webHidden/>
              </w:rPr>
              <w:tab/>
            </w:r>
            <w:r>
              <w:rPr>
                <w:noProof/>
                <w:webHidden/>
              </w:rPr>
              <w:fldChar w:fldCharType="begin"/>
            </w:r>
            <w:r>
              <w:rPr>
                <w:noProof/>
                <w:webHidden/>
              </w:rPr>
              <w:instrText xml:space="preserve"> PAGEREF _Toc195002564 \h </w:instrText>
            </w:r>
            <w:r>
              <w:rPr>
                <w:noProof/>
                <w:webHidden/>
              </w:rPr>
            </w:r>
            <w:r>
              <w:rPr>
                <w:noProof/>
                <w:webHidden/>
              </w:rPr>
              <w:fldChar w:fldCharType="separate"/>
            </w:r>
            <w:r>
              <w:rPr>
                <w:noProof/>
                <w:webHidden/>
              </w:rPr>
              <w:t>3</w:t>
            </w:r>
            <w:r>
              <w:rPr>
                <w:noProof/>
                <w:webHidden/>
              </w:rPr>
              <w:fldChar w:fldCharType="end"/>
            </w:r>
          </w:hyperlink>
        </w:p>
        <w:p w14:paraId="7CFC39AD" w14:textId="5D98C577" w:rsidR="001B25BC" w:rsidRDefault="001B25BC">
          <w:pPr>
            <w:pStyle w:val="TOC2"/>
            <w:tabs>
              <w:tab w:val="right" w:leader="dot" w:pos="9350"/>
            </w:tabs>
            <w:rPr>
              <w:rFonts w:asciiTheme="minorHAnsi" w:eastAsiaTheme="minorEastAsia" w:hAnsiTheme="minorHAnsi"/>
              <w:noProof/>
              <w:sz w:val="24"/>
              <w:szCs w:val="24"/>
            </w:rPr>
          </w:pPr>
          <w:hyperlink w:anchor="_Toc195002565" w:history="1">
            <w:r w:rsidRPr="009A0C7C">
              <w:rPr>
                <w:rStyle w:val="Hyperlink"/>
                <w:noProof/>
              </w:rPr>
              <w:t>Candidates to Transfer to IPTDS O&amp;M Project</w:t>
            </w:r>
            <w:r>
              <w:rPr>
                <w:noProof/>
                <w:webHidden/>
              </w:rPr>
              <w:tab/>
            </w:r>
            <w:r>
              <w:rPr>
                <w:noProof/>
                <w:webHidden/>
              </w:rPr>
              <w:fldChar w:fldCharType="begin"/>
            </w:r>
            <w:r>
              <w:rPr>
                <w:noProof/>
                <w:webHidden/>
              </w:rPr>
              <w:instrText xml:space="preserve"> PAGEREF _Toc195002565 \h </w:instrText>
            </w:r>
            <w:r>
              <w:rPr>
                <w:noProof/>
                <w:webHidden/>
              </w:rPr>
            </w:r>
            <w:r>
              <w:rPr>
                <w:noProof/>
                <w:webHidden/>
              </w:rPr>
              <w:fldChar w:fldCharType="separate"/>
            </w:r>
            <w:r>
              <w:rPr>
                <w:noProof/>
                <w:webHidden/>
              </w:rPr>
              <w:t>4</w:t>
            </w:r>
            <w:r>
              <w:rPr>
                <w:noProof/>
                <w:webHidden/>
              </w:rPr>
              <w:fldChar w:fldCharType="end"/>
            </w:r>
          </w:hyperlink>
        </w:p>
        <w:p w14:paraId="733DA2DF" w14:textId="333015CA" w:rsidR="001B25BC" w:rsidRDefault="001B25BC">
          <w:pPr>
            <w:pStyle w:val="TOC2"/>
            <w:tabs>
              <w:tab w:val="right" w:leader="dot" w:pos="9350"/>
            </w:tabs>
            <w:rPr>
              <w:rFonts w:asciiTheme="minorHAnsi" w:eastAsiaTheme="minorEastAsia" w:hAnsiTheme="minorHAnsi"/>
              <w:noProof/>
              <w:sz w:val="24"/>
              <w:szCs w:val="24"/>
            </w:rPr>
          </w:pPr>
          <w:hyperlink w:anchor="_Toc195002566" w:history="1">
            <w:r w:rsidRPr="009A0C7C">
              <w:rPr>
                <w:rStyle w:val="Hyperlink"/>
                <w:noProof/>
              </w:rPr>
              <w:t>Decommission, Remove, or Transfer from IPTDS O&amp;M Project</w:t>
            </w:r>
            <w:r>
              <w:rPr>
                <w:noProof/>
                <w:webHidden/>
              </w:rPr>
              <w:tab/>
            </w:r>
            <w:r>
              <w:rPr>
                <w:noProof/>
                <w:webHidden/>
              </w:rPr>
              <w:fldChar w:fldCharType="begin"/>
            </w:r>
            <w:r>
              <w:rPr>
                <w:noProof/>
                <w:webHidden/>
              </w:rPr>
              <w:instrText xml:space="preserve"> PAGEREF _Toc195002566 \h </w:instrText>
            </w:r>
            <w:r>
              <w:rPr>
                <w:noProof/>
                <w:webHidden/>
              </w:rPr>
            </w:r>
            <w:r>
              <w:rPr>
                <w:noProof/>
                <w:webHidden/>
              </w:rPr>
              <w:fldChar w:fldCharType="separate"/>
            </w:r>
            <w:r>
              <w:rPr>
                <w:noProof/>
                <w:webHidden/>
              </w:rPr>
              <w:t>4</w:t>
            </w:r>
            <w:r>
              <w:rPr>
                <w:noProof/>
                <w:webHidden/>
              </w:rPr>
              <w:fldChar w:fldCharType="end"/>
            </w:r>
          </w:hyperlink>
        </w:p>
        <w:p w14:paraId="1E9E3D20" w14:textId="4D250565" w:rsidR="001B25BC" w:rsidRDefault="001B25BC">
          <w:pPr>
            <w:pStyle w:val="TOC2"/>
            <w:tabs>
              <w:tab w:val="right" w:leader="dot" w:pos="9350"/>
            </w:tabs>
            <w:rPr>
              <w:rFonts w:asciiTheme="minorHAnsi" w:eastAsiaTheme="minorEastAsia" w:hAnsiTheme="minorHAnsi"/>
              <w:noProof/>
              <w:sz w:val="24"/>
              <w:szCs w:val="24"/>
            </w:rPr>
          </w:pPr>
          <w:hyperlink w:anchor="_Toc195002567" w:history="1">
            <w:r w:rsidRPr="009A0C7C">
              <w:rPr>
                <w:rStyle w:val="Hyperlink"/>
                <w:noProof/>
              </w:rPr>
              <w:t>Proposed New Sites to Address Data Gaps</w:t>
            </w:r>
            <w:r>
              <w:rPr>
                <w:noProof/>
                <w:webHidden/>
              </w:rPr>
              <w:tab/>
            </w:r>
            <w:r>
              <w:rPr>
                <w:noProof/>
                <w:webHidden/>
              </w:rPr>
              <w:fldChar w:fldCharType="begin"/>
            </w:r>
            <w:r>
              <w:rPr>
                <w:noProof/>
                <w:webHidden/>
              </w:rPr>
              <w:instrText xml:space="preserve"> PAGEREF _Toc195002567 \h </w:instrText>
            </w:r>
            <w:r>
              <w:rPr>
                <w:noProof/>
                <w:webHidden/>
              </w:rPr>
            </w:r>
            <w:r>
              <w:rPr>
                <w:noProof/>
                <w:webHidden/>
              </w:rPr>
              <w:fldChar w:fldCharType="separate"/>
            </w:r>
            <w:r>
              <w:rPr>
                <w:noProof/>
                <w:webHidden/>
              </w:rPr>
              <w:t>5</w:t>
            </w:r>
            <w:r>
              <w:rPr>
                <w:noProof/>
                <w:webHidden/>
              </w:rPr>
              <w:fldChar w:fldCharType="end"/>
            </w:r>
          </w:hyperlink>
        </w:p>
        <w:p w14:paraId="379BAEB2" w14:textId="6BAEA986" w:rsidR="001B25BC" w:rsidRDefault="001B25BC">
          <w:pPr>
            <w:pStyle w:val="TOC1"/>
            <w:rPr>
              <w:rFonts w:asciiTheme="minorHAnsi" w:eastAsiaTheme="minorEastAsia" w:hAnsiTheme="minorHAnsi"/>
              <w:noProof/>
              <w:sz w:val="24"/>
              <w:szCs w:val="24"/>
            </w:rPr>
          </w:pPr>
          <w:hyperlink w:anchor="_Toc195002568" w:history="1">
            <w:r w:rsidRPr="009A0C7C">
              <w:rPr>
                <w:rStyle w:val="Hyperlink"/>
                <w:noProof/>
              </w:rPr>
              <w:t>DISCUSSION</w:t>
            </w:r>
            <w:r>
              <w:rPr>
                <w:noProof/>
                <w:webHidden/>
              </w:rPr>
              <w:tab/>
            </w:r>
            <w:r>
              <w:rPr>
                <w:noProof/>
                <w:webHidden/>
              </w:rPr>
              <w:fldChar w:fldCharType="begin"/>
            </w:r>
            <w:r>
              <w:rPr>
                <w:noProof/>
                <w:webHidden/>
              </w:rPr>
              <w:instrText xml:space="preserve"> PAGEREF _Toc195002568 \h </w:instrText>
            </w:r>
            <w:r>
              <w:rPr>
                <w:noProof/>
                <w:webHidden/>
              </w:rPr>
            </w:r>
            <w:r>
              <w:rPr>
                <w:noProof/>
                <w:webHidden/>
              </w:rPr>
              <w:fldChar w:fldCharType="separate"/>
            </w:r>
            <w:r>
              <w:rPr>
                <w:noProof/>
                <w:webHidden/>
              </w:rPr>
              <w:t>6</w:t>
            </w:r>
            <w:r>
              <w:rPr>
                <w:noProof/>
                <w:webHidden/>
              </w:rPr>
              <w:fldChar w:fldCharType="end"/>
            </w:r>
          </w:hyperlink>
        </w:p>
        <w:p w14:paraId="6A89B3BC" w14:textId="16E22C70" w:rsidR="001B25BC" w:rsidRDefault="001B25BC">
          <w:pPr>
            <w:pStyle w:val="TOC1"/>
            <w:rPr>
              <w:rFonts w:asciiTheme="minorHAnsi" w:eastAsiaTheme="minorEastAsia" w:hAnsiTheme="minorHAnsi"/>
              <w:noProof/>
              <w:sz w:val="24"/>
              <w:szCs w:val="24"/>
            </w:rPr>
          </w:pPr>
          <w:hyperlink w:anchor="_Toc195002569" w:history="1">
            <w:r w:rsidRPr="009A0C7C">
              <w:rPr>
                <w:rStyle w:val="Hyperlink"/>
                <w:noProof/>
              </w:rPr>
              <w:t>LITERATURE CITED</w:t>
            </w:r>
            <w:r>
              <w:rPr>
                <w:noProof/>
                <w:webHidden/>
              </w:rPr>
              <w:tab/>
            </w:r>
            <w:r>
              <w:rPr>
                <w:noProof/>
                <w:webHidden/>
              </w:rPr>
              <w:fldChar w:fldCharType="begin"/>
            </w:r>
            <w:r>
              <w:rPr>
                <w:noProof/>
                <w:webHidden/>
              </w:rPr>
              <w:instrText xml:space="preserve"> PAGEREF _Toc195002569 \h </w:instrText>
            </w:r>
            <w:r>
              <w:rPr>
                <w:noProof/>
                <w:webHidden/>
              </w:rPr>
            </w:r>
            <w:r>
              <w:rPr>
                <w:noProof/>
                <w:webHidden/>
              </w:rPr>
              <w:fldChar w:fldCharType="separate"/>
            </w:r>
            <w:r>
              <w:rPr>
                <w:noProof/>
                <w:webHidden/>
              </w:rPr>
              <w:t>7</w:t>
            </w:r>
            <w:r>
              <w:rPr>
                <w:noProof/>
                <w:webHidden/>
              </w:rPr>
              <w:fldChar w:fldCharType="end"/>
            </w:r>
          </w:hyperlink>
        </w:p>
        <w:p w14:paraId="42FCE074" w14:textId="3FC121AB" w:rsidR="00692306" w:rsidRDefault="00692306">
          <w:r>
            <w:rPr>
              <w:b/>
              <w:bCs/>
              <w:noProof/>
            </w:rPr>
            <w:fldChar w:fldCharType="end"/>
          </w:r>
        </w:p>
      </w:sdtContent>
    </w:sdt>
    <w:p w14:paraId="7BBAED45" w14:textId="77777777" w:rsidR="003E564D" w:rsidRDefault="003E564D">
      <w:pPr>
        <w:rPr>
          <w:b/>
          <w:bCs/>
        </w:rPr>
      </w:pPr>
      <w:r>
        <w:rPr>
          <w:b/>
          <w:bCs/>
        </w:rPr>
        <w:br w:type="page"/>
      </w:r>
    </w:p>
    <w:p w14:paraId="310321FC" w14:textId="189A8A5E" w:rsidR="007664E3" w:rsidRDefault="007664E3">
      <w:pPr>
        <w:rPr>
          <w:b/>
          <w:bCs/>
        </w:rPr>
      </w:pPr>
      <w:r w:rsidRPr="007664E3">
        <w:rPr>
          <w:b/>
          <w:bCs/>
        </w:rPr>
        <w:lastRenderedPageBreak/>
        <w:t>Suggested Citation:</w:t>
      </w:r>
    </w:p>
    <w:p w14:paraId="110302FC" w14:textId="4D71DB79" w:rsidR="00111303" w:rsidRDefault="00C3017F" w:rsidP="00227ACE">
      <w:pPr>
        <w:ind w:left="360" w:hanging="360"/>
        <w:jc w:val="both"/>
      </w:pPr>
      <w:r>
        <w:t xml:space="preserve">Snake River Instream PIT-tag Detection Systems Prioritization </w:t>
      </w:r>
      <w:r w:rsidR="00E02309">
        <w:t>– Implementation Team</w:t>
      </w:r>
      <w:r>
        <w:t xml:space="preserve"> (SR IPTDS </w:t>
      </w:r>
      <w:r w:rsidR="00E02309">
        <w:t>IT</w:t>
      </w:r>
      <w:r>
        <w:t>). 202</w:t>
      </w:r>
      <w:r w:rsidR="006C745A">
        <w:t>5</w:t>
      </w:r>
      <w:r>
        <w:t xml:space="preserve">. </w:t>
      </w:r>
      <w:r w:rsidR="00C837CE">
        <w:t>Snake River Basin</w:t>
      </w:r>
      <w:r>
        <w:t xml:space="preserve"> </w:t>
      </w:r>
      <w:r w:rsidR="00227ACE">
        <w:t>Instream PIT Tag Detection Systems</w:t>
      </w:r>
      <w:r w:rsidR="00C837CE">
        <w:t xml:space="preserve"> Prioritization – Implementation Plan</w:t>
      </w:r>
      <w:r w:rsidR="009B43BF">
        <w:t>. BPA Project # 20</w:t>
      </w:r>
      <w:r w:rsidR="008022DD">
        <w:t>25</w:t>
      </w:r>
      <w:r w:rsidR="009B43BF">
        <w:t>-</w:t>
      </w:r>
      <w:r w:rsidR="008022DD">
        <w:t>002</w:t>
      </w:r>
      <w:r w:rsidR="009B43BF">
        <w:t>-00.</w:t>
      </w:r>
    </w:p>
    <w:p w14:paraId="1C87C308" w14:textId="77777777" w:rsidR="00227ACE" w:rsidRDefault="00227ACE" w:rsidP="00C3017F">
      <w:pPr>
        <w:ind w:left="360" w:hanging="360"/>
      </w:pPr>
    </w:p>
    <w:p w14:paraId="1D54105B" w14:textId="77777777" w:rsidR="00227ACE" w:rsidRDefault="00227ACE" w:rsidP="00C3017F">
      <w:pPr>
        <w:ind w:left="360" w:hanging="360"/>
      </w:pPr>
    </w:p>
    <w:p w14:paraId="6C04C0FC" w14:textId="7A7B73D4" w:rsidR="00227ACE" w:rsidRDefault="00227ACE" w:rsidP="00C3017F">
      <w:pPr>
        <w:ind w:left="360" w:hanging="360"/>
        <w:sectPr w:rsidR="00227ACE" w:rsidSect="00111303">
          <w:footerReference w:type="default" r:id="rId13"/>
          <w:pgSz w:w="12240" w:h="15840"/>
          <w:pgMar w:top="1440" w:right="1440" w:bottom="1440" w:left="1440" w:header="720" w:footer="720" w:gutter="0"/>
          <w:pgNumType w:fmt="lowerRoman" w:start="1"/>
          <w:cols w:space="720"/>
          <w:docGrid w:linePitch="360"/>
        </w:sectPr>
      </w:pPr>
    </w:p>
    <w:p w14:paraId="3B3B25EB" w14:textId="66336F7A" w:rsidR="00F97286" w:rsidRDefault="00F97286" w:rsidP="003627F5">
      <w:pPr>
        <w:pStyle w:val="Heading1"/>
      </w:pPr>
      <w:bookmarkStart w:id="0" w:name="_Toc195002561"/>
      <w:r>
        <w:lastRenderedPageBreak/>
        <w:t>BACKGROUND</w:t>
      </w:r>
      <w:bookmarkEnd w:id="0"/>
    </w:p>
    <w:p w14:paraId="5A5E6ECB" w14:textId="182DE56E" w:rsidR="0086376C" w:rsidRDefault="0086376C" w:rsidP="001F0EB0">
      <w:pPr>
        <w:jc w:val="both"/>
        <w:rPr>
          <w:rFonts w:cs="Times New Roman"/>
        </w:rPr>
      </w:pPr>
      <w:r>
        <w:rPr>
          <w:rFonts w:cs="Times New Roman"/>
        </w:rPr>
        <w:t>Numerous Instream PIT Tag Detection Systems (IPTDS) have been installed throughout the Snake River basin to support various habitat action effectiveness and status and trends monitoring initiatives. The Int</w:t>
      </w:r>
      <w:r>
        <w:rPr>
          <w:rFonts w:cs="Times New Roman"/>
        </w:rPr>
        <w:t>egrated IPTDS Operations and Maintenance (O&amp;M) project (BPA project number 2018-002-00)</w:t>
      </w:r>
      <w:r>
        <w:rPr>
          <w:rFonts w:cs="Times New Roman"/>
        </w:rPr>
        <w:t xml:space="preserve"> was established in 2018 to oversee O&amp;M for a subset of these IPTDS. Initially, it was unclear which IPTDS and monitoring objectives should be prioritized under the project. It has since been determined that the primary </w:t>
      </w:r>
      <w:r>
        <w:rPr>
          <w:rFonts w:cs="Times New Roman"/>
        </w:rPr>
        <w:t>goal for prioritization and selection of IPTDS managed under the project is to provide the requisite adult status and trends information for summer-run steelhead (steelhead) and spring/summer run Chinook salmon (</w:t>
      </w:r>
      <w:proofErr w:type="spellStart"/>
      <w:r>
        <w:rPr>
          <w:rFonts w:cs="Times New Roman"/>
        </w:rPr>
        <w:t>sp</w:t>
      </w:r>
      <w:proofErr w:type="spellEnd"/>
      <w:r>
        <w:rPr>
          <w:rFonts w:cs="Times New Roman"/>
        </w:rPr>
        <w:t xml:space="preserve">/sum Chinook salmon) populations </w:t>
      </w:r>
      <w:r>
        <w:rPr>
          <w:rFonts w:cs="Times New Roman"/>
        </w:rPr>
        <w:t>using guidance from</w:t>
      </w:r>
      <w:r>
        <w:rPr>
          <w:rFonts w:cs="Times New Roman"/>
        </w:rPr>
        <w:t xml:space="preserve"> the Anadromous Salmonid Monitoring Strategy (ASMS; CBCAMW 2010).</w:t>
      </w:r>
      <w:r>
        <w:rPr>
          <w:rFonts w:cs="Times New Roman"/>
        </w:rPr>
        <w:t xml:space="preserve"> In 2024, a group of representatives from Snake River basin co-managers convened to evaluate IPTDS coverage and provide recommendations to ensure alignment with ASMS objectives (SR IPTDS PW 2024). This document summarizes those recommendations and outlines a</w:t>
      </w:r>
      <w:r w:rsidR="00232C6B">
        <w:rPr>
          <w:rFonts w:cs="Times New Roman"/>
        </w:rPr>
        <w:t xml:space="preserve"> brief</w:t>
      </w:r>
      <w:r>
        <w:rPr>
          <w:rFonts w:cs="Times New Roman"/>
        </w:rPr>
        <w:t xml:space="preserve"> implementation plan</w:t>
      </w:r>
      <w:r w:rsidR="00232C6B">
        <w:rPr>
          <w:rFonts w:cs="Times New Roman"/>
        </w:rPr>
        <w:t>.</w:t>
      </w:r>
    </w:p>
    <w:p w14:paraId="199E477E" w14:textId="5C7F6DEF" w:rsidR="00485899" w:rsidRDefault="00485899" w:rsidP="003627F5">
      <w:pPr>
        <w:pStyle w:val="Heading2"/>
      </w:pPr>
      <w:bookmarkStart w:id="1" w:name="_Toc195002562"/>
      <w:r>
        <w:t>Objectives</w:t>
      </w:r>
      <w:bookmarkEnd w:id="1"/>
    </w:p>
    <w:p w14:paraId="79BC7863" w14:textId="77777777" w:rsidR="001162FC" w:rsidRDefault="001162FC" w:rsidP="00CB0B1B">
      <w:pPr>
        <w:jc w:val="both"/>
      </w:pPr>
      <w:r>
        <w:t>The Snake River basin IPTDS prioritization process resulted in recommendations that fall under the following four categories:</w:t>
      </w:r>
    </w:p>
    <w:p w14:paraId="00C54D5D" w14:textId="78849524" w:rsidR="00856045" w:rsidRDefault="00856045" w:rsidP="00CB0B1B">
      <w:pPr>
        <w:pStyle w:val="ListParagraph"/>
        <w:numPr>
          <w:ilvl w:val="0"/>
          <w:numId w:val="14"/>
        </w:numPr>
        <w:jc w:val="both"/>
      </w:pPr>
      <w:r>
        <w:t>Site recommended for continued funding under the IPTDS O&amp;M project,</w:t>
      </w:r>
    </w:p>
    <w:p w14:paraId="59C15FC3" w14:textId="04122BC3" w:rsidR="00856045" w:rsidRDefault="00856045" w:rsidP="00CB0B1B">
      <w:pPr>
        <w:pStyle w:val="ListParagraph"/>
        <w:numPr>
          <w:ilvl w:val="0"/>
          <w:numId w:val="14"/>
        </w:numPr>
        <w:jc w:val="both"/>
      </w:pPr>
      <w:r>
        <w:t>Existing sites, currently funded under another project, recommended for funding under the IPTDS O&amp;M project,</w:t>
      </w:r>
    </w:p>
    <w:p w14:paraId="6258DFDD" w14:textId="197E441D" w:rsidR="00856045" w:rsidRDefault="00856045" w:rsidP="00CB0B1B">
      <w:pPr>
        <w:pStyle w:val="ListParagraph"/>
        <w:numPr>
          <w:ilvl w:val="0"/>
          <w:numId w:val="14"/>
        </w:numPr>
        <w:jc w:val="both"/>
      </w:pPr>
      <w:r>
        <w:t>Proposed new sites to address data gaps to be managed under the IPTDS O&amp;M project, and</w:t>
      </w:r>
    </w:p>
    <w:p w14:paraId="71D3B3F2" w14:textId="7EDF8EA9" w:rsidR="00856045" w:rsidRDefault="00856045" w:rsidP="00CB0B1B">
      <w:pPr>
        <w:pStyle w:val="ListParagraph"/>
        <w:numPr>
          <w:ilvl w:val="0"/>
          <w:numId w:val="14"/>
        </w:numPr>
        <w:jc w:val="both"/>
      </w:pPr>
      <w:r>
        <w:t>Candidate sites for decommissioning, removal, or transfer from the IPTDS O&amp;M project.</w:t>
      </w:r>
    </w:p>
    <w:p w14:paraId="41FDF881" w14:textId="13151B5D" w:rsidR="00856045" w:rsidRDefault="00CB0B1B" w:rsidP="00CB0B1B">
      <w:pPr>
        <w:jc w:val="both"/>
      </w:pPr>
      <w:r>
        <w:t>Here, we summarize IPTDS sites that fall under each of these categories and recommendations for each.</w:t>
      </w:r>
      <w:r w:rsidR="006266EB">
        <w:t xml:space="preserve"> Site</w:t>
      </w:r>
      <w:r w:rsidR="00272AB4">
        <w:t xml:space="preserve"> </w:t>
      </w:r>
      <w:r w:rsidR="006266EB">
        <w:t xml:space="preserve">recommendations are also displayed on the </w:t>
      </w:r>
      <w:hyperlink r:id="rId14" w:history="1">
        <w:r w:rsidR="006266EB" w:rsidRPr="006266EB">
          <w:rPr>
            <w:rStyle w:val="Hyperlink"/>
          </w:rPr>
          <w:t>Snake River IP</w:t>
        </w:r>
        <w:r w:rsidR="006266EB" w:rsidRPr="006266EB">
          <w:rPr>
            <w:rStyle w:val="Hyperlink"/>
          </w:rPr>
          <w:t>T</w:t>
        </w:r>
        <w:r w:rsidR="006266EB" w:rsidRPr="006266EB">
          <w:rPr>
            <w:rStyle w:val="Hyperlink"/>
          </w:rPr>
          <w:t>DS interactive web map</w:t>
        </w:r>
      </w:hyperlink>
      <w:r w:rsidR="006266EB">
        <w:t>.</w:t>
      </w:r>
    </w:p>
    <w:p w14:paraId="023F0B4D" w14:textId="0613588F" w:rsidR="00D85DD4" w:rsidRPr="00E23872" w:rsidRDefault="00D40A08" w:rsidP="00CC1DC7">
      <w:pPr>
        <w:pStyle w:val="Heading1"/>
        <w:jc w:val="both"/>
      </w:pPr>
      <w:bookmarkStart w:id="2" w:name="_Toc195002563"/>
      <w:r w:rsidRPr="00E23872">
        <w:t>RECOMMENDATIONS</w:t>
      </w:r>
      <w:bookmarkEnd w:id="2"/>
    </w:p>
    <w:p w14:paraId="72AAFA3A" w14:textId="7580829C" w:rsidR="00CB0B1B" w:rsidRDefault="00CB0B1B" w:rsidP="00CB0B1B">
      <w:pPr>
        <w:pStyle w:val="Heading2"/>
      </w:pPr>
      <w:bookmarkStart w:id="3" w:name="_Toc195002564"/>
      <w:r>
        <w:t>Continue Funding</w:t>
      </w:r>
      <w:bookmarkEnd w:id="3"/>
    </w:p>
    <w:p w14:paraId="6EA25921" w14:textId="491E7627" w:rsidR="00CB0B1B" w:rsidRDefault="006266EB" w:rsidP="006266EB">
      <w:pPr>
        <w:jc w:val="both"/>
      </w:pPr>
      <w:r>
        <w:t>Of the 32 IPTDS currently managed under the IPTDS O&amp;M project, we recommend continued funding under the project for 23 of those (SR IPTDS PW 2024). For most, O&amp;M can continue as-is. However, we provide the following recommendations for a subset of sites to provide improved and/or requisite monitoring.</w:t>
      </w:r>
    </w:p>
    <w:p w14:paraId="71EB30E9" w14:textId="77777777" w:rsidR="006266EB" w:rsidRDefault="006266EB" w:rsidP="006266EB">
      <w:pPr>
        <w:pStyle w:val="Caption"/>
        <w:jc w:val="both"/>
      </w:pPr>
      <w:bookmarkStart w:id="4" w:name="_Ref136929152"/>
      <w:bookmarkStart w:id="5" w:name="_Ref163715149"/>
      <w:bookmarkStart w:id="6" w:name="_Ref163737132"/>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1</w:t>
      </w:r>
      <w:r w:rsidRPr="00E82E29">
        <w:rPr>
          <w:b/>
          <w:bCs/>
        </w:rPr>
        <w:fldChar w:fldCharType="end"/>
      </w:r>
      <w:bookmarkEnd w:id="4"/>
      <w:bookmarkEnd w:id="5"/>
      <w:bookmarkEnd w:id="6"/>
      <w:r>
        <w:t>. Recommendations for a subset of IPTDS sites in which funding should be continued.</w:t>
      </w:r>
    </w:p>
    <w:tbl>
      <w:tblPr>
        <w:tblStyle w:val="GridTable4"/>
        <w:tblW w:w="0" w:type="auto"/>
        <w:tblLook w:val="04A0" w:firstRow="1" w:lastRow="0" w:firstColumn="1" w:lastColumn="0" w:noHBand="0" w:noVBand="1"/>
      </w:tblPr>
      <w:tblGrid>
        <w:gridCol w:w="805"/>
        <w:gridCol w:w="990"/>
        <w:gridCol w:w="7555"/>
      </w:tblGrid>
      <w:tr w:rsidR="006266EB" w:rsidRPr="006266EB" w14:paraId="729EA71B" w14:textId="77777777" w:rsidTr="00DA29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10C1FEC" w14:textId="0552AB92" w:rsidR="006266EB" w:rsidRPr="006266EB" w:rsidRDefault="006266EB" w:rsidP="006A1F42">
            <w:pPr>
              <w:jc w:val="center"/>
              <w:rPr>
                <w:sz w:val="20"/>
                <w:szCs w:val="20"/>
              </w:rPr>
            </w:pPr>
            <w:r w:rsidRPr="006266EB">
              <w:rPr>
                <w:sz w:val="20"/>
                <w:szCs w:val="20"/>
              </w:rPr>
              <w:t>Site Code</w:t>
            </w:r>
          </w:p>
        </w:tc>
        <w:tc>
          <w:tcPr>
            <w:tcW w:w="990" w:type="dxa"/>
            <w:vAlign w:val="center"/>
          </w:tcPr>
          <w:p w14:paraId="79319B77" w14:textId="00F78642" w:rsidR="006266EB" w:rsidRPr="006266EB" w:rsidRDefault="006266EB" w:rsidP="006A1F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c>
          <w:tcPr>
            <w:tcW w:w="7555" w:type="dxa"/>
            <w:vAlign w:val="center"/>
          </w:tcPr>
          <w:p w14:paraId="7F261272" w14:textId="08EB62F3" w:rsidR="006266EB" w:rsidRPr="006266EB" w:rsidRDefault="006266EB" w:rsidP="006A1F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Recommendation</w:t>
            </w:r>
          </w:p>
        </w:tc>
      </w:tr>
      <w:tr w:rsidR="006266EB" w:rsidRPr="006266EB" w14:paraId="21340BAF"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B7DB536" w14:textId="163759B9" w:rsidR="006266EB" w:rsidRPr="006A1F42" w:rsidRDefault="006266EB" w:rsidP="006A1F42">
            <w:pPr>
              <w:jc w:val="center"/>
              <w:rPr>
                <w:b w:val="0"/>
                <w:bCs w:val="0"/>
                <w:sz w:val="20"/>
                <w:szCs w:val="20"/>
              </w:rPr>
            </w:pPr>
            <w:r w:rsidRPr="006A1F42">
              <w:rPr>
                <w:b w:val="0"/>
                <w:bCs w:val="0"/>
                <w:sz w:val="20"/>
                <w:szCs w:val="20"/>
              </w:rPr>
              <w:t>USE</w:t>
            </w:r>
          </w:p>
        </w:tc>
        <w:tc>
          <w:tcPr>
            <w:tcW w:w="990" w:type="dxa"/>
            <w:vAlign w:val="center"/>
          </w:tcPr>
          <w:p w14:paraId="309DC2F1" w14:textId="6BC6D49B"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2F4C67BA" w14:textId="7A348BC7" w:rsidR="006266EB" w:rsidRPr="006A1F42" w:rsidRDefault="00DA295B"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span the river and increase read range.</w:t>
            </w:r>
          </w:p>
        </w:tc>
      </w:tr>
      <w:tr w:rsidR="006266EB" w:rsidRPr="006266EB" w14:paraId="539397C9"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79F046D3" w14:textId="405F88F3" w:rsidR="006266EB" w:rsidRPr="006A1F42" w:rsidRDefault="006A1F42" w:rsidP="006A1F42">
            <w:pPr>
              <w:jc w:val="center"/>
              <w:rPr>
                <w:b w:val="0"/>
                <w:bCs w:val="0"/>
                <w:sz w:val="20"/>
                <w:szCs w:val="20"/>
              </w:rPr>
            </w:pPr>
            <w:r>
              <w:rPr>
                <w:b w:val="0"/>
                <w:bCs w:val="0"/>
                <w:sz w:val="20"/>
                <w:szCs w:val="20"/>
              </w:rPr>
              <w:t>ESS</w:t>
            </w:r>
          </w:p>
        </w:tc>
        <w:tc>
          <w:tcPr>
            <w:tcW w:w="990" w:type="dxa"/>
            <w:vAlign w:val="center"/>
          </w:tcPr>
          <w:p w14:paraId="11DA0750" w14:textId="1156CD98"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w:t>
            </w:r>
          </w:p>
        </w:tc>
        <w:tc>
          <w:tcPr>
            <w:tcW w:w="7555" w:type="dxa"/>
            <w:vAlign w:val="center"/>
          </w:tcPr>
          <w:p w14:paraId="745748DF" w14:textId="6BE1054E" w:rsidR="006266EB" w:rsidRPr="006A1F42" w:rsidRDefault="00DA295B"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Needs to remain a tandem site. The downstream array </w:t>
            </w:r>
            <w:r w:rsidR="008D3B86">
              <w:rPr>
                <w:sz w:val="20"/>
                <w:szCs w:val="20"/>
              </w:rPr>
              <w:t>should be upgraded to a FS1001 MUX or IS1001 Master Controller, in time, to increase read range.</w:t>
            </w:r>
          </w:p>
        </w:tc>
      </w:tr>
      <w:tr w:rsidR="006266EB" w:rsidRPr="006266EB" w14:paraId="7ABDF11B"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6032CEC3" w14:textId="797DF70B" w:rsidR="006266EB" w:rsidRPr="006A1F42" w:rsidRDefault="006A1F42" w:rsidP="006A1F42">
            <w:pPr>
              <w:jc w:val="center"/>
              <w:rPr>
                <w:b w:val="0"/>
                <w:bCs w:val="0"/>
                <w:sz w:val="20"/>
                <w:szCs w:val="20"/>
              </w:rPr>
            </w:pPr>
            <w:r>
              <w:rPr>
                <w:b w:val="0"/>
                <w:bCs w:val="0"/>
                <w:sz w:val="20"/>
                <w:szCs w:val="20"/>
              </w:rPr>
              <w:t>SC2</w:t>
            </w:r>
          </w:p>
        </w:tc>
        <w:tc>
          <w:tcPr>
            <w:tcW w:w="990" w:type="dxa"/>
            <w:vAlign w:val="center"/>
          </w:tcPr>
          <w:p w14:paraId="1832F964" w14:textId="0031921E"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7555" w:type="dxa"/>
            <w:vAlign w:val="center"/>
          </w:tcPr>
          <w:p w14:paraId="7696300A" w14:textId="04484D84" w:rsidR="006266EB" w:rsidRPr="006A1F42" w:rsidRDefault="008D3B86"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SC2 should be moved to the lower boundary of the CRSFC-s population to improve monitoring for the SCUMA and CRSFC-s</w:t>
            </w:r>
            <w:r w:rsidR="00E47DFE">
              <w:rPr>
                <w:sz w:val="20"/>
                <w:szCs w:val="20"/>
              </w:rPr>
              <w:t xml:space="preserve"> populations</w:t>
            </w:r>
            <w:r>
              <w:rPr>
                <w:sz w:val="20"/>
                <w:szCs w:val="20"/>
              </w:rPr>
              <w:t>. SC2 could be installed as a tandem array if arrays could be adequately spaced to ensure independent detections, or preferably,</w:t>
            </w:r>
            <w:r w:rsidR="00E47DFE">
              <w:rPr>
                <w:sz w:val="20"/>
                <w:szCs w:val="20"/>
              </w:rPr>
              <w:t xml:space="preserve"> SC2 could be installed as a single array and</w:t>
            </w:r>
            <w:r>
              <w:rPr>
                <w:sz w:val="20"/>
                <w:szCs w:val="20"/>
              </w:rPr>
              <w:t xml:space="preserve"> SC4 should be considered for</w:t>
            </w:r>
            <w:r w:rsidR="00E47DFE">
              <w:rPr>
                <w:sz w:val="20"/>
                <w:szCs w:val="20"/>
              </w:rPr>
              <w:t xml:space="preserve"> long-term</w:t>
            </w:r>
            <w:r>
              <w:rPr>
                <w:sz w:val="20"/>
                <w:szCs w:val="20"/>
              </w:rPr>
              <w:t xml:space="preserve"> funding under the IPTDS O&amp;M project to ensure estimates of detection probability and abundance at SC2. </w:t>
            </w:r>
          </w:p>
        </w:tc>
      </w:tr>
      <w:tr w:rsidR="006266EB" w:rsidRPr="006266EB" w14:paraId="1598ED93"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63D79437" w14:textId="357E9B13" w:rsidR="006266EB" w:rsidRPr="006A1F42" w:rsidRDefault="006A1F42" w:rsidP="006A1F42">
            <w:pPr>
              <w:jc w:val="center"/>
              <w:rPr>
                <w:b w:val="0"/>
                <w:bCs w:val="0"/>
                <w:sz w:val="20"/>
                <w:szCs w:val="20"/>
              </w:rPr>
            </w:pPr>
            <w:r>
              <w:rPr>
                <w:b w:val="0"/>
                <w:bCs w:val="0"/>
                <w:sz w:val="20"/>
                <w:szCs w:val="20"/>
              </w:rPr>
              <w:lastRenderedPageBreak/>
              <w:t>LC1</w:t>
            </w:r>
          </w:p>
        </w:tc>
        <w:tc>
          <w:tcPr>
            <w:tcW w:w="990" w:type="dxa"/>
            <w:vAlign w:val="center"/>
          </w:tcPr>
          <w:p w14:paraId="605DE21D" w14:textId="140E39E5"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555" w:type="dxa"/>
            <w:vAlign w:val="center"/>
          </w:tcPr>
          <w:p w14:paraId="0CB84E1A" w14:textId="0A9FE07F" w:rsidR="006266EB" w:rsidRPr="006A1F42" w:rsidRDefault="008D3B86"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consider upgrading to a IS1001 Master Controller to increase read range.</w:t>
            </w:r>
          </w:p>
        </w:tc>
      </w:tr>
      <w:tr w:rsidR="006266EB" w:rsidRPr="006266EB" w14:paraId="675F1604"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9B2EB1F" w14:textId="75773239" w:rsidR="006266EB" w:rsidRPr="006A1F42" w:rsidRDefault="006A1F42" w:rsidP="006A1F42">
            <w:pPr>
              <w:jc w:val="center"/>
              <w:rPr>
                <w:b w:val="0"/>
                <w:bCs w:val="0"/>
                <w:sz w:val="20"/>
                <w:szCs w:val="20"/>
              </w:rPr>
            </w:pPr>
            <w:r>
              <w:rPr>
                <w:b w:val="0"/>
                <w:bCs w:val="0"/>
                <w:sz w:val="20"/>
                <w:szCs w:val="20"/>
              </w:rPr>
              <w:t>LC2</w:t>
            </w:r>
          </w:p>
        </w:tc>
        <w:tc>
          <w:tcPr>
            <w:tcW w:w="990" w:type="dxa"/>
            <w:vAlign w:val="center"/>
          </w:tcPr>
          <w:p w14:paraId="5FF2F8EC" w14:textId="18954CB0"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555" w:type="dxa"/>
            <w:vAlign w:val="center"/>
          </w:tcPr>
          <w:p w14:paraId="07446EE6" w14:textId="62A73158" w:rsidR="006266EB" w:rsidRPr="006A1F42" w:rsidRDefault="008D3B86"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LC2 is currently</w:t>
            </w:r>
            <w:r w:rsidR="00E47DFE">
              <w:rPr>
                <w:sz w:val="20"/>
                <w:szCs w:val="20"/>
              </w:rPr>
              <w:t xml:space="preserve"> in a</w:t>
            </w:r>
            <w:r>
              <w:rPr>
                <w:sz w:val="20"/>
                <w:szCs w:val="20"/>
              </w:rPr>
              <w:t xml:space="preserve"> difficult location for O&amp;M. If it could reduce long-term costs, LC2 could be moved</w:t>
            </w:r>
            <w:r w:rsidR="00586CF7">
              <w:rPr>
                <w:sz w:val="20"/>
                <w:szCs w:val="20"/>
              </w:rPr>
              <w:t xml:space="preserve"> to an easier location upstream (but below core spawning areas), or alternately, LC1 could be converted to a tandem array if arrays could be spaced adequately for independent detections. Regardless, alternated configurations could be considered to reduce time and costs.</w:t>
            </w:r>
          </w:p>
        </w:tc>
      </w:tr>
      <w:tr w:rsidR="006266EB" w:rsidRPr="006266EB" w14:paraId="3FAA065B"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3DDCE3C3" w14:textId="18066591" w:rsidR="006266EB" w:rsidRPr="006A1F42" w:rsidRDefault="006A1F42" w:rsidP="006A1F42">
            <w:pPr>
              <w:jc w:val="center"/>
              <w:rPr>
                <w:b w:val="0"/>
                <w:bCs w:val="0"/>
                <w:sz w:val="20"/>
                <w:szCs w:val="20"/>
              </w:rPr>
            </w:pPr>
            <w:r>
              <w:rPr>
                <w:b w:val="0"/>
                <w:bCs w:val="0"/>
                <w:sz w:val="20"/>
                <w:szCs w:val="20"/>
              </w:rPr>
              <w:t>IR1</w:t>
            </w:r>
          </w:p>
        </w:tc>
        <w:tc>
          <w:tcPr>
            <w:tcW w:w="990" w:type="dxa"/>
            <w:vAlign w:val="center"/>
          </w:tcPr>
          <w:p w14:paraId="5E1A91FF" w14:textId="1025F9F7"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w:t>
            </w:r>
          </w:p>
        </w:tc>
        <w:tc>
          <w:tcPr>
            <w:tcW w:w="7555" w:type="dxa"/>
            <w:vAlign w:val="center"/>
          </w:tcPr>
          <w:p w14:paraId="3C5FBB87" w14:textId="1B9C9A89" w:rsidR="006266EB" w:rsidRPr="006A1F42" w:rsidRDefault="00586CF7"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Upgrade to a IS1001 Master Controller to increase read range and improve site reliability, especially </w:t>
            </w:r>
            <w:r w:rsidR="00232C6B">
              <w:rPr>
                <w:sz w:val="20"/>
                <w:szCs w:val="20"/>
              </w:rPr>
              <w:t>if/before</w:t>
            </w:r>
            <w:r>
              <w:rPr>
                <w:sz w:val="20"/>
                <w:szCs w:val="20"/>
              </w:rPr>
              <w:t xml:space="preserve"> IR2 is removed or decommissioned.</w:t>
            </w:r>
          </w:p>
        </w:tc>
      </w:tr>
      <w:tr w:rsidR="006266EB" w:rsidRPr="006266EB" w14:paraId="46812CBA"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26DEE7BC" w14:textId="53094C5A" w:rsidR="006266EB" w:rsidRPr="006A1F42" w:rsidRDefault="006A1F42" w:rsidP="006A1F42">
            <w:pPr>
              <w:jc w:val="center"/>
              <w:rPr>
                <w:b w:val="0"/>
                <w:bCs w:val="0"/>
                <w:sz w:val="20"/>
                <w:szCs w:val="20"/>
              </w:rPr>
            </w:pPr>
            <w:r>
              <w:rPr>
                <w:b w:val="0"/>
                <w:bCs w:val="0"/>
                <w:sz w:val="20"/>
                <w:szCs w:val="20"/>
              </w:rPr>
              <w:t>UGR</w:t>
            </w:r>
          </w:p>
        </w:tc>
        <w:tc>
          <w:tcPr>
            <w:tcW w:w="990" w:type="dxa"/>
            <w:vAlign w:val="center"/>
          </w:tcPr>
          <w:p w14:paraId="506CEE23" w14:textId="49F17ABD"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555" w:type="dxa"/>
            <w:vAlign w:val="center"/>
          </w:tcPr>
          <w:p w14:paraId="7DF8A28E" w14:textId="251A8B17" w:rsidR="006266EB" w:rsidRPr="006A1F42" w:rsidRDefault="00586CF7"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increase read range.</w:t>
            </w:r>
          </w:p>
        </w:tc>
      </w:tr>
      <w:tr w:rsidR="006266EB" w:rsidRPr="006266EB" w14:paraId="7DA04EAF"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649DC13F" w14:textId="2969BCFD" w:rsidR="006266EB" w:rsidRPr="006A1F42" w:rsidRDefault="006A1F42" w:rsidP="006A1F42">
            <w:pPr>
              <w:jc w:val="center"/>
              <w:rPr>
                <w:b w:val="0"/>
                <w:bCs w:val="0"/>
                <w:sz w:val="20"/>
                <w:szCs w:val="20"/>
              </w:rPr>
            </w:pPr>
            <w:r>
              <w:rPr>
                <w:b w:val="0"/>
                <w:bCs w:val="0"/>
                <w:sz w:val="20"/>
                <w:szCs w:val="20"/>
              </w:rPr>
              <w:t>WR1</w:t>
            </w:r>
          </w:p>
        </w:tc>
        <w:tc>
          <w:tcPr>
            <w:tcW w:w="990" w:type="dxa"/>
            <w:vAlign w:val="center"/>
          </w:tcPr>
          <w:p w14:paraId="130B7A63" w14:textId="72EDB695"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w:t>
            </w:r>
          </w:p>
        </w:tc>
        <w:tc>
          <w:tcPr>
            <w:tcW w:w="7555" w:type="dxa"/>
            <w:vAlign w:val="center"/>
          </w:tcPr>
          <w:p w14:paraId="3A62DC0A" w14:textId="33C90130" w:rsidR="006266EB" w:rsidRPr="006A1F42" w:rsidRDefault="00586CF7"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consider upgrading to a IS1001 Master Controller to increase read range.</w:t>
            </w:r>
          </w:p>
        </w:tc>
      </w:tr>
    </w:tbl>
    <w:p w14:paraId="25E51E91" w14:textId="77777777" w:rsidR="006266EB" w:rsidRDefault="006266EB" w:rsidP="006266EB">
      <w:pPr>
        <w:jc w:val="both"/>
      </w:pPr>
    </w:p>
    <w:p w14:paraId="74FD87F3" w14:textId="1324191A" w:rsidR="00CB0B1B" w:rsidRDefault="00CB0B1B" w:rsidP="00CB0B1B">
      <w:pPr>
        <w:pStyle w:val="Heading2"/>
      </w:pPr>
      <w:bookmarkStart w:id="7" w:name="_Toc195002565"/>
      <w:r>
        <w:t>Candidates to Transfer to IPTDS O&amp;M Project</w:t>
      </w:r>
      <w:bookmarkEnd w:id="7"/>
    </w:p>
    <w:p w14:paraId="3D557867" w14:textId="6DD274D7" w:rsidR="00CB0B1B" w:rsidRDefault="00232C6B" w:rsidP="003E0AFF">
      <w:pPr>
        <w:jc w:val="both"/>
      </w:pPr>
      <w:r>
        <w:t>Ten</w:t>
      </w:r>
      <w:r w:rsidR="003E0AFF">
        <w:t xml:space="preserve"> sites currently funded under other projects are recommended to transfer to the IPTDS O&amp;M project to provide continued requisite monitoring. If proponents for any of the sites do not desire transfer, adequate O&amp;M and funding should be ensured, long-term.</w:t>
      </w:r>
    </w:p>
    <w:p w14:paraId="3CF29301" w14:textId="131E00A2" w:rsidR="0061405C" w:rsidRDefault="0061405C" w:rsidP="0061405C">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2</w:t>
      </w:r>
      <w:r w:rsidRPr="00E82E29">
        <w:rPr>
          <w:b/>
          <w:bCs/>
        </w:rPr>
        <w:fldChar w:fldCharType="end"/>
      </w:r>
      <w:r>
        <w:t>. Recommendations and funding considerations for existing sites, currently funded under another project, recommended for funding under the IPTDS O&amp;M project.</w:t>
      </w:r>
    </w:p>
    <w:tbl>
      <w:tblPr>
        <w:tblStyle w:val="GridTable4"/>
        <w:tblW w:w="9355" w:type="dxa"/>
        <w:tblLook w:val="04A0" w:firstRow="1" w:lastRow="0" w:firstColumn="1" w:lastColumn="0" w:noHBand="0" w:noVBand="1"/>
      </w:tblPr>
      <w:tblGrid>
        <w:gridCol w:w="715"/>
        <w:gridCol w:w="900"/>
        <w:gridCol w:w="7740"/>
      </w:tblGrid>
      <w:tr w:rsidR="00274689" w:rsidRPr="008A5753" w14:paraId="1FB4583F" w14:textId="77777777" w:rsidTr="00274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7FDF4AC" w14:textId="5B64D3E4" w:rsidR="00274689" w:rsidRPr="008A5753" w:rsidRDefault="00274689" w:rsidP="008A5753">
            <w:pPr>
              <w:jc w:val="center"/>
              <w:rPr>
                <w:sz w:val="20"/>
                <w:szCs w:val="20"/>
              </w:rPr>
            </w:pPr>
            <w:r w:rsidRPr="008A5753">
              <w:rPr>
                <w:sz w:val="20"/>
                <w:szCs w:val="20"/>
              </w:rPr>
              <w:t>Site Code</w:t>
            </w:r>
          </w:p>
        </w:tc>
        <w:tc>
          <w:tcPr>
            <w:tcW w:w="900" w:type="dxa"/>
            <w:vAlign w:val="center"/>
          </w:tcPr>
          <w:p w14:paraId="14A04FCA" w14:textId="3DDB0042" w:rsidR="00274689" w:rsidRPr="008A5753" w:rsidRDefault="00274689"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c>
          <w:tcPr>
            <w:tcW w:w="7740" w:type="dxa"/>
            <w:vAlign w:val="center"/>
          </w:tcPr>
          <w:p w14:paraId="6521C209" w14:textId="1D64D1DA" w:rsidR="00274689" w:rsidRPr="008A5753" w:rsidRDefault="00274689"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Recommendation</w:t>
            </w:r>
          </w:p>
        </w:tc>
      </w:tr>
      <w:tr w:rsidR="00274689" w:rsidRPr="008A5753" w14:paraId="7DE1DB6E"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4AA32EA" w14:textId="357024C0" w:rsidR="00274689" w:rsidRPr="008A5753" w:rsidRDefault="00274689" w:rsidP="008A5753">
            <w:pPr>
              <w:jc w:val="center"/>
              <w:rPr>
                <w:b w:val="0"/>
                <w:bCs w:val="0"/>
                <w:sz w:val="20"/>
                <w:szCs w:val="20"/>
              </w:rPr>
            </w:pPr>
            <w:r w:rsidRPr="008A5753">
              <w:rPr>
                <w:b w:val="0"/>
                <w:bCs w:val="0"/>
                <w:sz w:val="20"/>
                <w:szCs w:val="20"/>
              </w:rPr>
              <w:t>YFK</w:t>
            </w:r>
          </w:p>
        </w:tc>
        <w:tc>
          <w:tcPr>
            <w:tcW w:w="900" w:type="dxa"/>
            <w:vAlign w:val="center"/>
          </w:tcPr>
          <w:p w14:paraId="70702687" w14:textId="2D8F48B7"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1982FBFC" w14:textId="03FF9993"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Keep as a tandem array to ensure estimates of detection probability. Long-term, consider upgrading to a IS1001 Master Controller to increase read range.</w:t>
            </w:r>
          </w:p>
        </w:tc>
      </w:tr>
      <w:tr w:rsidR="00274689" w:rsidRPr="008A5753" w14:paraId="2BA9A1C6"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5CAC01B9" w14:textId="2BC76780" w:rsidR="00274689" w:rsidRPr="008A5753" w:rsidRDefault="00274689" w:rsidP="008A5753">
            <w:pPr>
              <w:jc w:val="center"/>
              <w:rPr>
                <w:b w:val="0"/>
                <w:bCs w:val="0"/>
                <w:sz w:val="20"/>
                <w:szCs w:val="20"/>
              </w:rPr>
            </w:pPr>
            <w:r>
              <w:rPr>
                <w:b w:val="0"/>
                <w:bCs w:val="0"/>
                <w:sz w:val="20"/>
                <w:szCs w:val="20"/>
              </w:rPr>
              <w:t>PCA</w:t>
            </w:r>
          </w:p>
        </w:tc>
        <w:tc>
          <w:tcPr>
            <w:tcW w:w="900" w:type="dxa"/>
            <w:vAlign w:val="center"/>
          </w:tcPr>
          <w:p w14:paraId="4DCAEC4D" w14:textId="64B145B7"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7CD8147E" w14:textId="7FB33C3E"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Keep as a tandem array to ensure estimates of detection probability.</w:t>
            </w:r>
          </w:p>
        </w:tc>
      </w:tr>
      <w:tr w:rsidR="00274689" w:rsidRPr="008A5753" w14:paraId="03A33CFD"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25AFEBEB" w14:textId="09429607" w:rsidR="00274689" w:rsidRPr="008A5753" w:rsidRDefault="00274689" w:rsidP="008A5753">
            <w:pPr>
              <w:jc w:val="center"/>
              <w:rPr>
                <w:b w:val="0"/>
                <w:bCs w:val="0"/>
                <w:sz w:val="20"/>
                <w:szCs w:val="20"/>
              </w:rPr>
            </w:pPr>
            <w:r>
              <w:rPr>
                <w:b w:val="0"/>
                <w:bCs w:val="0"/>
                <w:sz w:val="20"/>
                <w:szCs w:val="20"/>
              </w:rPr>
              <w:t>SW1</w:t>
            </w:r>
          </w:p>
        </w:tc>
        <w:tc>
          <w:tcPr>
            <w:tcW w:w="900" w:type="dxa"/>
            <w:vAlign w:val="center"/>
          </w:tcPr>
          <w:p w14:paraId="68FA58AE" w14:textId="6392F11F"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7740" w:type="dxa"/>
            <w:vAlign w:val="center"/>
          </w:tcPr>
          <w:p w14:paraId="672901E5" w14:textId="1A1B1E4C"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274689" w:rsidRPr="008A5753" w14:paraId="6D0D09DD"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28677AEC" w14:textId="350BD4FB" w:rsidR="00274689" w:rsidRPr="008A5753" w:rsidRDefault="00274689" w:rsidP="008A5753">
            <w:pPr>
              <w:jc w:val="center"/>
              <w:rPr>
                <w:b w:val="0"/>
                <w:bCs w:val="0"/>
                <w:sz w:val="20"/>
                <w:szCs w:val="20"/>
              </w:rPr>
            </w:pPr>
            <w:r>
              <w:rPr>
                <w:b w:val="0"/>
                <w:bCs w:val="0"/>
                <w:sz w:val="20"/>
                <w:szCs w:val="20"/>
              </w:rPr>
              <w:t>SW2</w:t>
            </w:r>
          </w:p>
        </w:tc>
        <w:tc>
          <w:tcPr>
            <w:tcW w:w="900" w:type="dxa"/>
            <w:vAlign w:val="center"/>
          </w:tcPr>
          <w:p w14:paraId="24E36E60" w14:textId="2B1C4BC7"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740" w:type="dxa"/>
            <w:vAlign w:val="center"/>
          </w:tcPr>
          <w:p w14:paraId="440E2D05" w14:textId="2059D7A3"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if desired, SW2 could be moved to the end of the Selway Road which would allow parsing of the SEMOO and SEUMA Chinook salmon populations from SEMEA, but if completed, would need to be a tandem array to facilitate estimates of detection probability and abundance.</w:t>
            </w:r>
          </w:p>
        </w:tc>
      </w:tr>
      <w:tr w:rsidR="00274689" w:rsidRPr="008A5753" w14:paraId="5A7E02A8"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3D4F34F" w14:textId="0364C1AE" w:rsidR="00274689" w:rsidRPr="008A5753" w:rsidRDefault="00274689" w:rsidP="008A5753">
            <w:pPr>
              <w:jc w:val="center"/>
              <w:rPr>
                <w:b w:val="0"/>
                <w:bCs w:val="0"/>
                <w:sz w:val="20"/>
                <w:szCs w:val="20"/>
              </w:rPr>
            </w:pPr>
            <w:r>
              <w:rPr>
                <w:b w:val="0"/>
                <w:bCs w:val="0"/>
                <w:sz w:val="20"/>
                <w:szCs w:val="20"/>
              </w:rPr>
              <w:t>SC4</w:t>
            </w:r>
          </w:p>
        </w:tc>
        <w:tc>
          <w:tcPr>
            <w:tcW w:w="900" w:type="dxa"/>
            <w:vAlign w:val="center"/>
          </w:tcPr>
          <w:p w14:paraId="6B86CEB3" w14:textId="08328008"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2DB4A14A" w14:textId="1A90B90E"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SC4 would ensure an estimate of detection probability and abundance at SC2.</w:t>
            </w:r>
          </w:p>
        </w:tc>
      </w:tr>
      <w:tr w:rsidR="00274689" w:rsidRPr="008A5753" w14:paraId="51126A8D"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2F38D627" w14:textId="10F9B419" w:rsidR="00274689" w:rsidRPr="008A5753" w:rsidRDefault="00274689" w:rsidP="008A5753">
            <w:pPr>
              <w:jc w:val="center"/>
              <w:rPr>
                <w:b w:val="0"/>
                <w:bCs w:val="0"/>
                <w:sz w:val="20"/>
                <w:szCs w:val="20"/>
              </w:rPr>
            </w:pPr>
            <w:r>
              <w:rPr>
                <w:b w:val="0"/>
                <w:bCs w:val="0"/>
                <w:sz w:val="20"/>
                <w:szCs w:val="20"/>
              </w:rPr>
              <w:t>LAP</w:t>
            </w:r>
          </w:p>
        </w:tc>
        <w:tc>
          <w:tcPr>
            <w:tcW w:w="900" w:type="dxa"/>
            <w:vAlign w:val="center"/>
          </w:tcPr>
          <w:p w14:paraId="327C57F5" w14:textId="61046D94"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740" w:type="dxa"/>
            <w:vAlign w:val="center"/>
          </w:tcPr>
          <w:p w14:paraId="674717E9" w14:textId="0A071601"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274689" w:rsidRPr="008A5753" w14:paraId="14280E73"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5767DB4" w14:textId="43A2B342" w:rsidR="00274689" w:rsidRPr="008A5753" w:rsidRDefault="00274689" w:rsidP="008A5753">
            <w:pPr>
              <w:jc w:val="center"/>
              <w:rPr>
                <w:b w:val="0"/>
                <w:bCs w:val="0"/>
                <w:sz w:val="20"/>
                <w:szCs w:val="20"/>
              </w:rPr>
            </w:pPr>
            <w:r w:rsidRPr="008A5753">
              <w:rPr>
                <w:b w:val="0"/>
                <w:bCs w:val="0"/>
                <w:sz w:val="20"/>
                <w:szCs w:val="20"/>
              </w:rPr>
              <w:t>WR2</w:t>
            </w:r>
          </w:p>
        </w:tc>
        <w:tc>
          <w:tcPr>
            <w:tcW w:w="900" w:type="dxa"/>
            <w:vAlign w:val="center"/>
          </w:tcPr>
          <w:p w14:paraId="1DC123BB" w14:textId="45386387"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7740" w:type="dxa"/>
            <w:vAlign w:val="center"/>
          </w:tcPr>
          <w:p w14:paraId="15847F66" w14:textId="4CE3CC4D"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274689" w:rsidRPr="008A5753" w14:paraId="53F362E2"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4FF7F28D" w14:textId="2118E2B6" w:rsidR="00274689" w:rsidRPr="008A5753" w:rsidRDefault="00274689" w:rsidP="008A5753">
            <w:pPr>
              <w:jc w:val="center"/>
              <w:rPr>
                <w:b w:val="0"/>
                <w:bCs w:val="0"/>
                <w:sz w:val="20"/>
                <w:szCs w:val="20"/>
              </w:rPr>
            </w:pPr>
            <w:r>
              <w:rPr>
                <w:b w:val="0"/>
                <w:bCs w:val="0"/>
                <w:sz w:val="20"/>
                <w:szCs w:val="20"/>
              </w:rPr>
              <w:t>MR1</w:t>
            </w:r>
          </w:p>
        </w:tc>
        <w:tc>
          <w:tcPr>
            <w:tcW w:w="900" w:type="dxa"/>
            <w:vAlign w:val="center"/>
          </w:tcPr>
          <w:p w14:paraId="7620F624" w14:textId="4934B94D"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740" w:type="dxa"/>
            <w:vAlign w:val="center"/>
          </w:tcPr>
          <w:p w14:paraId="698FCAFF" w14:textId="5A2178B1" w:rsidR="00274689" w:rsidRPr="008A5753" w:rsidRDefault="00274689"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274689" w:rsidRPr="008A5753" w14:paraId="49982580" w14:textId="77777777" w:rsidTr="0027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5050738" w14:textId="15AA306D" w:rsidR="00274689" w:rsidRPr="008A5753" w:rsidRDefault="00274689" w:rsidP="008A5753">
            <w:pPr>
              <w:jc w:val="center"/>
              <w:rPr>
                <w:b w:val="0"/>
                <w:bCs w:val="0"/>
                <w:sz w:val="20"/>
                <w:szCs w:val="20"/>
              </w:rPr>
            </w:pPr>
            <w:r>
              <w:rPr>
                <w:b w:val="0"/>
                <w:bCs w:val="0"/>
                <w:sz w:val="20"/>
                <w:szCs w:val="20"/>
              </w:rPr>
              <w:t>WEN</w:t>
            </w:r>
          </w:p>
        </w:tc>
        <w:tc>
          <w:tcPr>
            <w:tcW w:w="900" w:type="dxa"/>
            <w:vAlign w:val="center"/>
          </w:tcPr>
          <w:p w14:paraId="1CF2B302" w14:textId="74B6F79E"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740" w:type="dxa"/>
            <w:vAlign w:val="center"/>
          </w:tcPr>
          <w:p w14:paraId="25CA0807" w14:textId="2432AE04" w:rsidR="00274689" w:rsidRPr="008A5753" w:rsidRDefault="00274689"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increasing distance between arrays to ensure independent detection nodes.</w:t>
            </w:r>
          </w:p>
        </w:tc>
      </w:tr>
      <w:tr w:rsidR="00232C6B" w:rsidRPr="008A5753" w14:paraId="1837621C" w14:textId="77777777" w:rsidTr="00274689">
        <w:tc>
          <w:tcPr>
            <w:cnfStyle w:val="001000000000" w:firstRow="0" w:lastRow="0" w:firstColumn="1" w:lastColumn="0" w:oddVBand="0" w:evenVBand="0" w:oddHBand="0" w:evenHBand="0" w:firstRowFirstColumn="0" w:firstRowLastColumn="0" w:lastRowFirstColumn="0" w:lastRowLastColumn="0"/>
            <w:tcW w:w="715" w:type="dxa"/>
            <w:vAlign w:val="center"/>
          </w:tcPr>
          <w:p w14:paraId="24E08828" w14:textId="727A1D74" w:rsidR="00232C6B" w:rsidRPr="00232C6B" w:rsidRDefault="00232C6B" w:rsidP="008A5753">
            <w:pPr>
              <w:jc w:val="center"/>
              <w:rPr>
                <w:b w:val="0"/>
                <w:bCs w:val="0"/>
                <w:sz w:val="20"/>
                <w:szCs w:val="20"/>
              </w:rPr>
            </w:pPr>
            <w:r w:rsidRPr="00232C6B">
              <w:rPr>
                <w:b w:val="0"/>
                <w:bCs w:val="0"/>
                <w:sz w:val="20"/>
                <w:szCs w:val="20"/>
              </w:rPr>
              <w:t>ACM</w:t>
            </w:r>
          </w:p>
        </w:tc>
        <w:tc>
          <w:tcPr>
            <w:tcW w:w="900" w:type="dxa"/>
            <w:vAlign w:val="center"/>
          </w:tcPr>
          <w:p w14:paraId="54D427F1" w14:textId="3994A5F3" w:rsidR="00232C6B" w:rsidRPr="00232C6B" w:rsidRDefault="00232C6B"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w:t>
            </w:r>
          </w:p>
        </w:tc>
        <w:tc>
          <w:tcPr>
            <w:tcW w:w="7740" w:type="dxa"/>
            <w:vAlign w:val="center"/>
          </w:tcPr>
          <w:p w14:paraId="6A0D3857" w14:textId="597ECFA6" w:rsidR="00232C6B" w:rsidRPr="00232C6B" w:rsidRDefault="00232C6B"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Consider adding remote communications.</w:t>
            </w:r>
          </w:p>
        </w:tc>
      </w:tr>
    </w:tbl>
    <w:p w14:paraId="7F5A2C84" w14:textId="77777777" w:rsidR="003E0AFF" w:rsidRDefault="003E0AFF" w:rsidP="003E0AFF">
      <w:pPr>
        <w:jc w:val="both"/>
      </w:pPr>
    </w:p>
    <w:p w14:paraId="12F8DC77" w14:textId="01CFA9CA" w:rsidR="00CB0B1B" w:rsidRDefault="00CB0B1B" w:rsidP="00CB0B1B">
      <w:pPr>
        <w:pStyle w:val="Heading2"/>
      </w:pPr>
      <w:bookmarkStart w:id="8" w:name="_Toc195002566"/>
      <w:r>
        <w:t xml:space="preserve">Decommission, Remove, or Transfer </w:t>
      </w:r>
      <w:r w:rsidR="009C5C44">
        <w:t>from</w:t>
      </w:r>
      <w:r>
        <w:t xml:space="preserve"> IPTDS O&amp;M Project</w:t>
      </w:r>
      <w:bookmarkEnd w:id="8"/>
    </w:p>
    <w:p w14:paraId="702E7AEC" w14:textId="65A52C7D" w:rsidR="00CB0B1B" w:rsidRDefault="00B6774E" w:rsidP="00B6774E">
      <w:pPr>
        <w:jc w:val="both"/>
        <w:rPr>
          <w:rFonts w:cs="Times New Roman"/>
        </w:rPr>
      </w:pPr>
      <w:r>
        <w:t>Nine sites currently funded under the IPTDS O&amp;M</w:t>
      </w:r>
      <w:r w:rsidR="00B942CF">
        <w:t xml:space="preserve"> project</w:t>
      </w:r>
      <w:r>
        <w:t xml:space="preserve"> are recommended for removal, decommissioning, or transfer to another project. </w:t>
      </w:r>
      <w:r w:rsidRPr="00F926E0">
        <w:rPr>
          <w:rFonts w:cs="Times New Roman"/>
        </w:rPr>
        <w:t xml:space="preserve">These sites don’t necessarily need to be removed in the short-term. </w:t>
      </w:r>
      <w:r w:rsidR="00B942CF">
        <w:rPr>
          <w:rFonts w:cs="Times New Roman"/>
        </w:rPr>
        <w:t>These s</w:t>
      </w:r>
      <w:r w:rsidRPr="00F926E0">
        <w:rPr>
          <w:rFonts w:cs="Times New Roman"/>
        </w:rPr>
        <w:t>ites are not necessarily required for population monitoring</w:t>
      </w:r>
      <w:r w:rsidR="00B942CF">
        <w:rPr>
          <w:rFonts w:cs="Times New Roman"/>
        </w:rPr>
        <w:t xml:space="preserve"> and</w:t>
      </w:r>
      <w:r w:rsidRPr="00F926E0">
        <w:rPr>
          <w:rFonts w:cs="Times New Roman"/>
        </w:rPr>
        <w:t xml:space="preserve"> could be “naturally phased out” i.e., sites that are currently operating reliably at low cost could remain instream until equipment aging or failure or environmental conditions (e.g., high flows, debris removing antennas and/or arrays) results in unreliable data for RM&amp;E. Until then, detections from those sites might assist adult escapement monitoring and/or other RM&amp;E objectives. Further, the opportunity should be provided for other projects to take over funding of those sites if the IPTDS supports their objectives.</w:t>
      </w:r>
      <w:r w:rsidR="00D20FE9">
        <w:rPr>
          <w:rFonts w:cs="Times New Roman"/>
        </w:rPr>
        <w:t xml:space="preserve"> </w:t>
      </w:r>
      <w:proofErr w:type="gramStart"/>
      <w:r w:rsidR="00D20FE9">
        <w:rPr>
          <w:rFonts w:cs="Times New Roman"/>
        </w:rPr>
        <w:t>If and when</w:t>
      </w:r>
      <w:proofErr w:type="gramEnd"/>
      <w:r w:rsidR="00D20FE9">
        <w:rPr>
          <w:rFonts w:cs="Times New Roman"/>
        </w:rPr>
        <w:t xml:space="preserve"> removed or </w:t>
      </w:r>
      <w:r w:rsidR="00D20FE9">
        <w:rPr>
          <w:rFonts w:cs="Times New Roman"/>
        </w:rPr>
        <w:lastRenderedPageBreak/>
        <w:t>decommissioned, usable infrastructure or resources could be used elsewhere at other sites managed under the IPTDS O&amp;M project.</w:t>
      </w:r>
    </w:p>
    <w:p w14:paraId="5F6B036A" w14:textId="474AA4CC" w:rsidR="00B6774E" w:rsidRDefault="00B6774E" w:rsidP="00B6774E">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3</w:t>
      </w:r>
      <w:r w:rsidRPr="00E82E29">
        <w:rPr>
          <w:b/>
          <w:bCs/>
        </w:rPr>
        <w:fldChar w:fldCharType="end"/>
      </w:r>
      <w:r>
        <w:t>. Recommendations and funding considerations for candidate sites for decommissioning, removal, and/or transfer from the IPTDS O&amp;M project.</w:t>
      </w:r>
    </w:p>
    <w:tbl>
      <w:tblPr>
        <w:tblStyle w:val="GridTable4"/>
        <w:tblW w:w="9445" w:type="dxa"/>
        <w:tblLook w:val="04A0" w:firstRow="1" w:lastRow="0" w:firstColumn="1" w:lastColumn="0" w:noHBand="0" w:noVBand="1"/>
      </w:tblPr>
      <w:tblGrid>
        <w:gridCol w:w="805"/>
        <w:gridCol w:w="900"/>
        <w:gridCol w:w="7740"/>
      </w:tblGrid>
      <w:tr w:rsidR="00B942CF" w:rsidRPr="007720DE" w14:paraId="5E1C0BA2" w14:textId="77777777" w:rsidTr="00B94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23434C3" w14:textId="4BFC6E6D" w:rsidR="00B942CF" w:rsidRPr="007720DE" w:rsidRDefault="00B942CF" w:rsidP="007720DE">
            <w:pPr>
              <w:jc w:val="center"/>
              <w:rPr>
                <w:sz w:val="20"/>
                <w:szCs w:val="20"/>
              </w:rPr>
            </w:pPr>
            <w:r w:rsidRPr="007720DE">
              <w:rPr>
                <w:sz w:val="20"/>
                <w:szCs w:val="20"/>
              </w:rPr>
              <w:t>Site Code</w:t>
            </w:r>
          </w:p>
        </w:tc>
        <w:tc>
          <w:tcPr>
            <w:tcW w:w="900" w:type="dxa"/>
            <w:vAlign w:val="center"/>
          </w:tcPr>
          <w:p w14:paraId="37D907EA" w14:textId="79A57548" w:rsidR="00B942CF" w:rsidRPr="007720DE" w:rsidRDefault="00B942CF"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Priority</w:t>
            </w:r>
          </w:p>
        </w:tc>
        <w:tc>
          <w:tcPr>
            <w:tcW w:w="7740" w:type="dxa"/>
            <w:vAlign w:val="center"/>
          </w:tcPr>
          <w:p w14:paraId="1C116524" w14:textId="49654021" w:rsidR="00B942CF" w:rsidRPr="007720DE" w:rsidRDefault="00B942CF"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Recommendation</w:t>
            </w:r>
          </w:p>
        </w:tc>
      </w:tr>
      <w:tr w:rsidR="00B942CF" w:rsidRPr="007720DE" w14:paraId="55952D5B"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4F7339E" w14:textId="1FE08605" w:rsidR="00B942CF" w:rsidRPr="007720DE" w:rsidRDefault="00B942CF" w:rsidP="007720DE">
            <w:pPr>
              <w:jc w:val="center"/>
              <w:rPr>
                <w:b w:val="0"/>
                <w:bCs w:val="0"/>
                <w:sz w:val="20"/>
                <w:szCs w:val="20"/>
              </w:rPr>
            </w:pPr>
            <w:r w:rsidRPr="007720DE">
              <w:rPr>
                <w:b w:val="0"/>
                <w:bCs w:val="0"/>
                <w:sz w:val="20"/>
                <w:szCs w:val="20"/>
              </w:rPr>
              <w:t>USI</w:t>
            </w:r>
          </w:p>
        </w:tc>
        <w:tc>
          <w:tcPr>
            <w:tcW w:w="900" w:type="dxa"/>
            <w:vAlign w:val="center"/>
          </w:tcPr>
          <w:p w14:paraId="4A843892" w14:textId="0E8B1CE3"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4D7B22C3" w14:textId="5B1CF599"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Already out of </w:t>
            </w:r>
            <w:r w:rsidR="008A2E53">
              <w:rPr>
                <w:sz w:val="20"/>
                <w:szCs w:val="20"/>
              </w:rPr>
              <w:t>operation,</w:t>
            </w:r>
            <w:r>
              <w:rPr>
                <w:sz w:val="20"/>
                <w:szCs w:val="20"/>
              </w:rPr>
              <w:t xml:space="preserve"> USI can be removed.</w:t>
            </w:r>
          </w:p>
        </w:tc>
      </w:tr>
      <w:tr w:rsidR="00B942CF" w:rsidRPr="007720DE" w14:paraId="52575C8F"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56F9CCFB" w14:textId="33D5EDEB" w:rsidR="00B942CF" w:rsidRPr="007720DE" w:rsidRDefault="00B942CF" w:rsidP="007720DE">
            <w:pPr>
              <w:jc w:val="center"/>
              <w:rPr>
                <w:b w:val="0"/>
                <w:bCs w:val="0"/>
                <w:sz w:val="20"/>
                <w:szCs w:val="20"/>
              </w:rPr>
            </w:pPr>
            <w:r>
              <w:rPr>
                <w:b w:val="0"/>
                <w:bCs w:val="0"/>
                <w:sz w:val="20"/>
                <w:szCs w:val="20"/>
              </w:rPr>
              <w:t>CAC</w:t>
            </w:r>
          </w:p>
        </w:tc>
        <w:tc>
          <w:tcPr>
            <w:tcW w:w="900" w:type="dxa"/>
            <w:vAlign w:val="center"/>
          </w:tcPr>
          <w:p w14:paraId="4839999E" w14:textId="3F43D181"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64C71378" w14:textId="3E10983E"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B942CF" w:rsidRPr="007720DE" w14:paraId="01DF1D58"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C86C911" w14:textId="4170A8EC" w:rsidR="00B942CF" w:rsidRPr="007720DE" w:rsidRDefault="00B942CF" w:rsidP="007720DE">
            <w:pPr>
              <w:jc w:val="center"/>
              <w:rPr>
                <w:b w:val="0"/>
                <w:bCs w:val="0"/>
                <w:sz w:val="20"/>
                <w:szCs w:val="20"/>
              </w:rPr>
            </w:pPr>
            <w:r>
              <w:rPr>
                <w:b w:val="0"/>
                <w:bCs w:val="0"/>
                <w:sz w:val="20"/>
                <w:szCs w:val="20"/>
              </w:rPr>
              <w:t>BTL</w:t>
            </w:r>
          </w:p>
        </w:tc>
        <w:tc>
          <w:tcPr>
            <w:tcW w:w="900" w:type="dxa"/>
            <w:vAlign w:val="center"/>
          </w:tcPr>
          <w:p w14:paraId="59DC7953" w14:textId="5AE25B14"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7A275192" w14:textId="34F9542B"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is an anticipated increase in project development in Big Timber Creek; alternate funding and proponent(s) should be identified before BTL is removed or decommissioned.</w:t>
            </w:r>
          </w:p>
        </w:tc>
      </w:tr>
      <w:tr w:rsidR="00B942CF" w:rsidRPr="007720DE" w14:paraId="2F05C16B"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67755896" w14:textId="408FF186" w:rsidR="00B942CF" w:rsidRPr="007720DE" w:rsidRDefault="00B942CF" w:rsidP="007720DE">
            <w:pPr>
              <w:jc w:val="center"/>
              <w:rPr>
                <w:b w:val="0"/>
                <w:bCs w:val="0"/>
                <w:sz w:val="20"/>
                <w:szCs w:val="20"/>
              </w:rPr>
            </w:pPr>
            <w:r>
              <w:rPr>
                <w:b w:val="0"/>
                <w:bCs w:val="0"/>
                <w:sz w:val="20"/>
                <w:szCs w:val="20"/>
              </w:rPr>
              <w:t>LLS</w:t>
            </w:r>
          </w:p>
        </w:tc>
        <w:tc>
          <w:tcPr>
            <w:tcW w:w="900" w:type="dxa"/>
            <w:vAlign w:val="center"/>
          </w:tcPr>
          <w:p w14:paraId="1BD4655D" w14:textId="41996D68"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3E41565C" w14:textId="1EC5CD12"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B942CF" w:rsidRPr="007720DE" w14:paraId="3724851E"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0AD9FEAA" w14:textId="06E42492" w:rsidR="00B942CF" w:rsidRPr="007720DE" w:rsidRDefault="00B942CF" w:rsidP="007720DE">
            <w:pPr>
              <w:jc w:val="center"/>
              <w:rPr>
                <w:b w:val="0"/>
                <w:bCs w:val="0"/>
                <w:sz w:val="20"/>
                <w:szCs w:val="20"/>
              </w:rPr>
            </w:pPr>
            <w:r>
              <w:rPr>
                <w:b w:val="0"/>
                <w:bCs w:val="0"/>
                <w:sz w:val="20"/>
                <w:szCs w:val="20"/>
              </w:rPr>
              <w:t>BHC</w:t>
            </w:r>
          </w:p>
        </w:tc>
        <w:tc>
          <w:tcPr>
            <w:tcW w:w="900" w:type="dxa"/>
            <w:vAlign w:val="center"/>
          </w:tcPr>
          <w:p w14:paraId="680B7C99" w14:textId="64CB554E"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1BB7E64E" w14:textId="2558F891"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B942CF" w:rsidRPr="007720DE" w14:paraId="4651F4B8"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0F13AFE3" w14:textId="67CECAD1" w:rsidR="00B942CF" w:rsidRPr="007720DE" w:rsidRDefault="00B942CF" w:rsidP="007720DE">
            <w:pPr>
              <w:jc w:val="center"/>
              <w:rPr>
                <w:b w:val="0"/>
                <w:bCs w:val="0"/>
                <w:sz w:val="20"/>
                <w:szCs w:val="20"/>
              </w:rPr>
            </w:pPr>
            <w:r>
              <w:rPr>
                <w:b w:val="0"/>
                <w:bCs w:val="0"/>
                <w:sz w:val="20"/>
                <w:szCs w:val="20"/>
              </w:rPr>
              <w:t>SFG</w:t>
            </w:r>
          </w:p>
        </w:tc>
        <w:tc>
          <w:tcPr>
            <w:tcW w:w="900" w:type="dxa"/>
            <w:vAlign w:val="center"/>
          </w:tcPr>
          <w:p w14:paraId="014F3EBB" w14:textId="667EBA22"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5826464D" w14:textId="6B98D4D6"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Important site for in-season adult monitoring and juvenile survival monitoring.</w:t>
            </w:r>
            <w:r w:rsidR="00E02309">
              <w:rPr>
                <w:sz w:val="20"/>
                <w:szCs w:val="20"/>
              </w:rPr>
              <w:t xml:space="preserve"> Important in-season harvest monitoring and management impacts would occur, if removed. Consider LSRCP or other projects for funding.</w:t>
            </w:r>
          </w:p>
        </w:tc>
      </w:tr>
      <w:tr w:rsidR="00B942CF" w:rsidRPr="007720DE" w14:paraId="26E4E9A2"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1261F85" w14:textId="4615DDB9" w:rsidR="00B942CF" w:rsidRPr="007720DE" w:rsidRDefault="00B942CF" w:rsidP="007720DE">
            <w:pPr>
              <w:jc w:val="center"/>
              <w:rPr>
                <w:b w:val="0"/>
                <w:bCs w:val="0"/>
                <w:sz w:val="20"/>
                <w:szCs w:val="20"/>
              </w:rPr>
            </w:pPr>
            <w:r>
              <w:rPr>
                <w:b w:val="0"/>
                <w:bCs w:val="0"/>
                <w:sz w:val="20"/>
                <w:szCs w:val="20"/>
              </w:rPr>
              <w:t>BSC</w:t>
            </w:r>
          </w:p>
        </w:tc>
        <w:tc>
          <w:tcPr>
            <w:tcW w:w="900" w:type="dxa"/>
            <w:vAlign w:val="center"/>
          </w:tcPr>
          <w:p w14:paraId="3E9401A4" w14:textId="18C6A4EA"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4F0FBFA0" w14:textId="6144A206"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B942CF" w:rsidRPr="007720DE" w14:paraId="035767C9" w14:textId="77777777" w:rsidTr="00B942CF">
        <w:tc>
          <w:tcPr>
            <w:cnfStyle w:val="001000000000" w:firstRow="0" w:lastRow="0" w:firstColumn="1" w:lastColumn="0" w:oddVBand="0" w:evenVBand="0" w:oddHBand="0" w:evenHBand="0" w:firstRowFirstColumn="0" w:firstRowLastColumn="0" w:lastRowFirstColumn="0" w:lastRowLastColumn="0"/>
            <w:tcW w:w="805" w:type="dxa"/>
            <w:vAlign w:val="center"/>
          </w:tcPr>
          <w:p w14:paraId="76903A7A" w14:textId="356D3552" w:rsidR="00B942CF" w:rsidRPr="007720DE" w:rsidRDefault="00B942CF" w:rsidP="007720DE">
            <w:pPr>
              <w:jc w:val="center"/>
              <w:rPr>
                <w:b w:val="0"/>
                <w:bCs w:val="0"/>
                <w:sz w:val="20"/>
                <w:szCs w:val="20"/>
              </w:rPr>
            </w:pPr>
            <w:r>
              <w:rPr>
                <w:b w:val="0"/>
                <w:bCs w:val="0"/>
                <w:sz w:val="20"/>
                <w:szCs w:val="20"/>
              </w:rPr>
              <w:t>COC</w:t>
            </w:r>
          </w:p>
        </w:tc>
        <w:tc>
          <w:tcPr>
            <w:tcW w:w="900" w:type="dxa"/>
            <w:vAlign w:val="center"/>
          </w:tcPr>
          <w:p w14:paraId="162055F4" w14:textId="7FCD1801" w:rsidR="00B942CF" w:rsidRPr="007720DE" w:rsidRDefault="00B942CF"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740" w:type="dxa"/>
            <w:vAlign w:val="center"/>
          </w:tcPr>
          <w:p w14:paraId="718E4063" w14:textId="08FE09AF" w:rsidR="00B942CF" w:rsidRPr="007720DE" w:rsidRDefault="00B216C4"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COC only monitors approximately 5% of available steelhead spawning habitat in the </w:t>
            </w:r>
            <w:r w:rsidR="00057E38">
              <w:rPr>
                <w:sz w:val="20"/>
                <w:szCs w:val="20"/>
              </w:rPr>
              <w:t>IRMAI-s population and escapement estimates are already available from COC for run years 2011 – 2024. COC can be decommissioned and removed, when convenient.</w:t>
            </w:r>
          </w:p>
        </w:tc>
      </w:tr>
      <w:tr w:rsidR="00B942CF" w:rsidRPr="007720DE" w14:paraId="008564FC" w14:textId="77777777" w:rsidTr="00B9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613B5D6" w14:textId="03420266" w:rsidR="00B942CF" w:rsidRPr="007720DE" w:rsidRDefault="00B942CF" w:rsidP="007720DE">
            <w:pPr>
              <w:jc w:val="center"/>
              <w:rPr>
                <w:b w:val="0"/>
                <w:bCs w:val="0"/>
                <w:sz w:val="20"/>
                <w:szCs w:val="20"/>
              </w:rPr>
            </w:pPr>
            <w:r>
              <w:rPr>
                <w:b w:val="0"/>
                <w:bCs w:val="0"/>
                <w:sz w:val="20"/>
                <w:szCs w:val="20"/>
              </w:rPr>
              <w:t>IR2</w:t>
            </w:r>
          </w:p>
        </w:tc>
        <w:tc>
          <w:tcPr>
            <w:tcW w:w="900" w:type="dxa"/>
            <w:vAlign w:val="center"/>
          </w:tcPr>
          <w:p w14:paraId="4D33C7A2" w14:textId="7BB7296F" w:rsidR="00B942CF" w:rsidRPr="007720DE" w:rsidRDefault="00B942CF"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740" w:type="dxa"/>
            <w:vAlign w:val="center"/>
          </w:tcPr>
          <w:p w14:paraId="567E5E94" w14:textId="41FB7A1D" w:rsidR="00B942CF" w:rsidRPr="007720DE" w:rsidRDefault="00057E38"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Upstream sites in the Imnaha River (e.g., IR3, IR4, IR5) provide sufficient detections to estimate a detection probability for IR1; however, </w:t>
            </w:r>
            <w:r w:rsidR="008721B9">
              <w:rPr>
                <w:sz w:val="20"/>
                <w:szCs w:val="20"/>
              </w:rPr>
              <w:t>long-term funding at upstream sites should be ensure, and if not, IR2 should continue to be operated or could be re-installed at a future date.</w:t>
            </w:r>
          </w:p>
        </w:tc>
      </w:tr>
    </w:tbl>
    <w:p w14:paraId="55F6280B" w14:textId="77777777" w:rsidR="00B6774E" w:rsidRDefault="00B6774E" w:rsidP="00B6774E">
      <w:pPr>
        <w:jc w:val="both"/>
      </w:pPr>
    </w:p>
    <w:p w14:paraId="422EAAB1" w14:textId="39883268" w:rsidR="00CB0B1B" w:rsidRDefault="00CB0B1B" w:rsidP="00CB0B1B">
      <w:pPr>
        <w:pStyle w:val="Heading2"/>
      </w:pPr>
      <w:bookmarkStart w:id="9" w:name="_Toc195002567"/>
      <w:r>
        <w:t>Proposed New Sites to Address Data Gaps</w:t>
      </w:r>
      <w:bookmarkEnd w:id="9"/>
    </w:p>
    <w:p w14:paraId="135724FD" w14:textId="7E96AE22" w:rsidR="00CB0B1B" w:rsidRDefault="009C5C44" w:rsidP="009C5C44">
      <w:pPr>
        <w:jc w:val="both"/>
      </w:pPr>
      <w:r>
        <w:t xml:space="preserve">Up to four IPTDS sites are being proposed to address existing adult status and trends monitoring gaps. In each case, site feasibility will need to be evaluated, and depending, alternate sites or configurations </w:t>
      </w:r>
      <w:r w:rsidR="008A2E53">
        <w:t>c</w:t>
      </w:r>
      <w:r>
        <w:t>ould be considered. Proposed site locations will be discussed among relevant stakeholders in each case before any installation occurs.</w:t>
      </w:r>
    </w:p>
    <w:p w14:paraId="6B3B7811" w14:textId="78F6D71C" w:rsidR="00B6774E" w:rsidRDefault="00B6774E" w:rsidP="00B6774E">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4</w:t>
      </w:r>
      <w:r w:rsidRPr="00E82E29">
        <w:rPr>
          <w:b/>
          <w:bCs/>
        </w:rPr>
        <w:fldChar w:fldCharType="end"/>
      </w:r>
      <w:r>
        <w:t>. Recommendations for proposed sites to address adult population monitoring data gaps.</w:t>
      </w:r>
    </w:p>
    <w:tbl>
      <w:tblPr>
        <w:tblStyle w:val="GridTable4"/>
        <w:tblW w:w="0" w:type="auto"/>
        <w:tblLook w:val="04A0" w:firstRow="1" w:lastRow="0" w:firstColumn="1" w:lastColumn="0" w:noHBand="0" w:noVBand="1"/>
      </w:tblPr>
      <w:tblGrid>
        <w:gridCol w:w="684"/>
        <w:gridCol w:w="897"/>
        <w:gridCol w:w="844"/>
        <w:gridCol w:w="6925"/>
      </w:tblGrid>
      <w:tr w:rsidR="009C5C44" w:rsidRPr="007720DE" w14:paraId="0BC071FF" w14:textId="77777777" w:rsidTr="009C5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64329A8A" w14:textId="4376F12A" w:rsidR="009C5C44" w:rsidRPr="007720DE" w:rsidRDefault="009C5C44" w:rsidP="007720DE">
            <w:pPr>
              <w:jc w:val="center"/>
              <w:rPr>
                <w:sz w:val="20"/>
                <w:szCs w:val="20"/>
              </w:rPr>
            </w:pPr>
            <w:r w:rsidRPr="007720DE">
              <w:rPr>
                <w:sz w:val="20"/>
                <w:szCs w:val="20"/>
              </w:rPr>
              <w:t>Site Code</w:t>
            </w:r>
          </w:p>
        </w:tc>
        <w:tc>
          <w:tcPr>
            <w:tcW w:w="897" w:type="dxa"/>
            <w:vAlign w:val="center"/>
          </w:tcPr>
          <w:p w14:paraId="045F8118" w14:textId="2E8378BC" w:rsidR="009C5C44" w:rsidRPr="007720DE" w:rsidRDefault="009C5C44"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Priority</w:t>
            </w:r>
          </w:p>
        </w:tc>
        <w:tc>
          <w:tcPr>
            <w:tcW w:w="844" w:type="dxa"/>
            <w:vAlign w:val="center"/>
          </w:tcPr>
          <w:p w14:paraId="570B9D3F" w14:textId="7B560E59" w:rsidR="009C5C44" w:rsidRPr="007720DE" w:rsidRDefault="009C5C44" w:rsidP="009C5C4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Arrays</w:t>
            </w:r>
          </w:p>
        </w:tc>
        <w:tc>
          <w:tcPr>
            <w:tcW w:w="6925" w:type="dxa"/>
            <w:vAlign w:val="center"/>
          </w:tcPr>
          <w:p w14:paraId="5EE82AD7" w14:textId="79C35E75" w:rsidR="009C5C44" w:rsidRPr="007720DE" w:rsidRDefault="009C5C44"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Recommendation</w:t>
            </w:r>
          </w:p>
        </w:tc>
      </w:tr>
      <w:tr w:rsidR="00D12F69" w:rsidRPr="007720DE" w14:paraId="23564FFB" w14:textId="77777777" w:rsidTr="00F26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70E1E8B9" w14:textId="358E2E27" w:rsidR="00D12F69" w:rsidRPr="007720DE" w:rsidRDefault="00D12F69" w:rsidP="007720DE">
            <w:pPr>
              <w:jc w:val="center"/>
              <w:rPr>
                <w:b w:val="0"/>
                <w:bCs w:val="0"/>
                <w:sz w:val="20"/>
                <w:szCs w:val="20"/>
              </w:rPr>
            </w:pPr>
            <w:r>
              <w:rPr>
                <w:b w:val="0"/>
                <w:bCs w:val="0"/>
                <w:sz w:val="20"/>
                <w:szCs w:val="20"/>
              </w:rPr>
              <w:t>USC</w:t>
            </w:r>
          </w:p>
        </w:tc>
        <w:tc>
          <w:tcPr>
            <w:tcW w:w="897" w:type="dxa"/>
            <w:vAlign w:val="center"/>
          </w:tcPr>
          <w:p w14:paraId="25A9FE0A" w14:textId="36979271" w:rsidR="00D12F69" w:rsidRPr="007720DE" w:rsidRDefault="00D12F69"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844" w:type="dxa"/>
            <w:vAlign w:val="center"/>
          </w:tcPr>
          <w:p w14:paraId="51F6B934" w14:textId="2F71663E" w:rsidR="00D12F69" w:rsidRPr="007720DE" w:rsidRDefault="00D12F69" w:rsidP="009C5C4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6925" w:type="dxa"/>
            <w:vMerge w:val="restart"/>
            <w:shd w:val="clear" w:color="auto" w:fill="FFFFFF" w:themeFill="background1"/>
            <w:vAlign w:val="center"/>
          </w:tcPr>
          <w:p w14:paraId="058390CA" w14:textId="55F9E32B" w:rsidR="00D12F69" w:rsidRPr="007720DE" w:rsidRDefault="00D12F69"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Little/no adult escapement monitoring currently occurs in the SREFS-s population. One IPTDS near the lower boundary of the SREFS-s population (downstream of Morgan Creek near Challis, ID) on the Salmon River should be considered. In addition, an IPTDS near the lower boundary of the SRUMA-s (near Clayton, ID) on the Salmon River would improve monitoring of the SRUMA-s, SREFS-s, and SRPAH-s populations. Depending on cost and feasibility, an IPTDS in the lower East Fork Salmon River could alternately be considered. Alternate configurations should be discussed among co-managers prior to action/installation to determine locations, but two new IPTDS would improve adult escapement monitoring for </w:t>
            </w:r>
            <w:proofErr w:type="spellStart"/>
            <w:r>
              <w:rPr>
                <w:sz w:val="20"/>
                <w:szCs w:val="20"/>
              </w:rPr>
              <w:t>sp</w:t>
            </w:r>
            <w:proofErr w:type="spellEnd"/>
            <w:r>
              <w:rPr>
                <w:sz w:val="20"/>
                <w:szCs w:val="20"/>
              </w:rPr>
              <w:t>/sum Chinook salmon and steelhead in the upper Salmon subbasin. USI, at its current location, has been problematic and is not necessary for population status and trends monitoring and usable infrastructure could be used at proposed locations.</w:t>
            </w:r>
          </w:p>
        </w:tc>
      </w:tr>
      <w:tr w:rsidR="00D12F69" w:rsidRPr="007720DE" w14:paraId="50463A5C" w14:textId="77777777" w:rsidTr="00F26B11">
        <w:tc>
          <w:tcPr>
            <w:cnfStyle w:val="001000000000" w:firstRow="0" w:lastRow="0" w:firstColumn="1" w:lastColumn="0" w:oddVBand="0" w:evenVBand="0" w:oddHBand="0" w:evenHBand="0" w:firstRowFirstColumn="0" w:firstRowLastColumn="0" w:lastRowFirstColumn="0" w:lastRowLastColumn="0"/>
            <w:tcW w:w="684" w:type="dxa"/>
            <w:vAlign w:val="center"/>
          </w:tcPr>
          <w:p w14:paraId="4147054F" w14:textId="61D52E21" w:rsidR="00D12F69" w:rsidRPr="007720DE" w:rsidRDefault="00D12F69" w:rsidP="007720DE">
            <w:pPr>
              <w:jc w:val="center"/>
              <w:rPr>
                <w:b w:val="0"/>
                <w:bCs w:val="0"/>
                <w:sz w:val="20"/>
                <w:szCs w:val="20"/>
              </w:rPr>
            </w:pPr>
            <w:r>
              <w:rPr>
                <w:b w:val="0"/>
                <w:bCs w:val="0"/>
                <w:sz w:val="20"/>
                <w:szCs w:val="20"/>
              </w:rPr>
              <w:t>USP</w:t>
            </w:r>
          </w:p>
        </w:tc>
        <w:tc>
          <w:tcPr>
            <w:tcW w:w="897" w:type="dxa"/>
            <w:vAlign w:val="center"/>
          </w:tcPr>
          <w:p w14:paraId="5CA37938" w14:textId="2E522A17" w:rsidR="00D12F69" w:rsidRPr="007720DE" w:rsidRDefault="00D12F69"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844" w:type="dxa"/>
            <w:vAlign w:val="center"/>
          </w:tcPr>
          <w:p w14:paraId="0B831EA4" w14:textId="2C6C2062" w:rsidR="00D12F69" w:rsidRPr="007720DE" w:rsidRDefault="00D12F69" w:rsidP="009C5C4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6925" w:type="dxa"/>
            <w:vMerge/>
            <w:shd w:val="clear" w:color="auto" w:fill="FFFFFF" w:themeFill="background1"/>
            <w:vAlign w:val="center"/>
          </w:tcPr>
          <w:p w14:paraId="066E4B2A" w14:textId="012BE1D3" w:rsidR="00D12F69" w:rsidRPr="007720DE" w:rsidRDefault="00D12F69"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C5C44" w:rsidRPr="007720DE" w14:paraId="77BD7D93" w14:textId="77777777" w:rsidTr="009C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3139CCCA" w14:textId="193D1FB9" w:rsidR="009C5C44" w:rsidRPr="007720DE" w:rsidRDefault="009C5C44" w:rsidP="007720DE">
            <w:pPr>
              <w:jc w:val="center"/>
              <w:rPr>
                <w:b w:val="0"/>
                <w:bCs w:val="0"/>
                <w:sz w:val="20"/>
                <w:szCs w:val="20"/>
              </w:rPr>
            </w:pPr>
            <w:r>
              <w:rPr>
                <w:b w:val="0"/>
                <w:bCs w:val="0"/>
                <w:sz w:val="20"/>
                <w:szCs w:val="20"/>
              </w:rPr>
              <w:t>CHA</w:t>
            </w:r>
          </w:p>
        </w:tc>
        <w:tc>
          <w:tcPr>
            <w:tcW w:w="897" w:type="dxa"/>
            <w:vAlign w:val="center"/>
          </w:tcPr>
          <w:p w14:paraId="11723468" w14:textId="74AC0C16" w:rsidR="009C5C44" w:rsidRPr="007720DE" w:rsidRDefault="009C5C44"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844" w:type="dxa"/>
            <w:vAlign w:val="center"/>
          </w:tcPr>
          <w:p w14:paraId="3B7575A7" w14:textId="4B230A7F" w:rsidR="009C5C44" w:rsidRPr="007720DE" w:rsidRDefault="009C5C44" w:rsidP="009C5C4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6925" w:type="dxa"/>
            <w:vAlign w:val="center"/>
          </w:tcPr>
          <w:p w14:paraId="65513725" w14:textId="22BAF6D9" w:rsidR="009C5C44" w:rsidRPr="007720DE" w:rsidRDefault="00F26B11"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SRCHA-s and SRCHA populations are both “data gaps</w:t>
            </w:r>
            <w:r w:rsidR="00724098">
              <w:rPr>
                <w:sz w:val="20"/>
                <w:szCs w:val="20"/>
              </w:rPr>
              <w:t>”</w:t>
            </w:r>
            <w:r>
              <w:rPr>
                <w:sz w:val="20"/>
                <w:szCs w:val="20"/>
              </w:rPr>
              <w:t xml:space="preserve"> for adult escapement monitoring. An IPTDS should be considered in these populations. Ideally, the site would be located near the lower end of Chamberlain Creek, the only major spawning area within both populations. Secondary options include upper </w:t>
            </w:r>
            <w:r>
              <w:rPr>
                <w:sz w:val="20"/>
                <w:szCs w:val="20"/>
              </w:rPr>
              <w:lastRenderedPageBreak/>
              <w:t>Chamberlain Creek (near the airstrip), or in one of the five steelhead minor spawning areas (Sabe, Bargamin, Warren, Crooked, or Sheep creeks). Feasibility will need to be evaluated before any actions or installation occurs.</w:t>
            </w:r>
          </w:p>
        </w:tc>
      </w:tr>
      <w:tr w:rsidR="009C5C44" w:rsidRPr="007720DE" w14:paraId="0E9C3CA6" w14:textId="77777777" w:rsidTr="009C5C44">
        <w:tc>
          <w:tcPr>
            <w:cnfStyle w:val="001000000000" w:firstRow="0" w:lastRow="0" w:firstColumn="1" w:lastColumn="0" w:oddVBand="0" w:evenVBand="0" w:oddHBand="0" w:evenHBand="0" w:firstRowFirstColumn="0" w:firstRowLastColumn="0" w:lastRowFirstColumn="0" w:lastRowLastColumn="0"/>
            <w:tcW w:w="684" w:type="dxa"/>
            <w:vAlign w:val="center"/>
          </w:tcPr>
          <w:p w14:paraId="3B876943" w14:textId="748E3031" w:rsidR="009C5C44" w:rsidRPr="007720DE" w:rsidRDefault="009C5C44" w:rsidP="007720DE">
            <w:pPr>
              <w:jc w:val="center"/>
              <w:rPr>
                <w:b w:val="0"/>
                <w:bCs w:val="0"/>
                <w:sz w:val="20"/>
                <w:szCs w:val="20"/>
              </w:rPr>
            </w:pPr>
            <w:r>
              <w:rPr>
                <w:b w:val="0"/>
                <w:bCs w:val="0"/>
                <w:sz w:val="20"/>
                <w:szCs w:val="20"/>
              </w:rPr>
              <w:lastRenderedPageBreak/>
              <w:t>LSR</w:t>
            </w:r>
          </w:p>
        </w:tc>
        <w:tc>
          <w:tcPr>
            <w:tcW w:w="897" w:type="dxa"/>
            <w:vAlign w:val="center"/>
          </w:tcPr>
          <w:p w14:paraId="54DE08BA" w14:textId="50371202" w:rsidR="009C5C44" w:rsidRPr="007720DE" w:rsidRDefault="009C5C44"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844" w:type="dxa"/>
            <w:vAlign w:val="center"/>
          </w:tcPr>
          <w:p w14:paraId="494F234D" w14:textId="1A567B23" w:rsidR="009C5C44" w:rsidRPr="007720DE" w:rsidRDefault="009C5C44" w:rsidP="009C5C4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6925" w:type="dxa"/>
            <w:vAlign w:val="center"/>
          </w:tcPr>
          <w:p w14:paraId="6501BC28" w14:textId="12C4111E" w:rsidR="009C5C44" w:rsidRPr="007720DE" w:rsidRDefault="00F26B11"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SRLSR-s and SRLSR populations are both “data gaps</w:t>
            </w:r>
            <w:r w:rsidR="00724098">
              <w:rPr>
                <w:sz w:val="20"/>
                <w:szCs w:val="20"/>
              </w:rPr>
              <w:t>”</w:t>
            </w:r>
            <w:r>
              <w:rPr>
                <w:sz w:val="20"/>
                <w:szCs w:val="20"/>
              </w:rPr>
              <w:t xml:space="preserve"> for adult escapement monitoring. An IPTDS should be considered in these populations. Proposed locations include the lower Little Salmon River, Slate Creek, or </w:t>
            </w:r>
            <w:proofErr w:type="spellStart"/>
            <w:r>
              <w:rPr>
                <w:sz w:val="20"/>
                <w:szCs w:val="20"/>
              </w:rPr>
              <w:t>Whitebird</w:t>
            </w:r>
            <w:proofErr w:type="spellEnd"/>
            <w:r>
              <w:rPr>
                <w:sz w:val="20"/>
                <w:szCs w:val="20"/>
              </w:rPr>
              <w:t xml:space="preserve"> Creek.</w:t>
            </w:r>
          </w:p>
        </w:tc>
      </w:tr>
    </w:tbl>
    <w:p w14:paraId="01531439" w14:textId="77777777" w:rsidR="00B6774E" w:rsidRDefault="00B6774E" w:rsidP="00CB0B1B"/>
    <w:p w14:paraId="70F92BF5" w14:textId="37CB710F" w:rsidR="00A72EAA" w:rsidRDefault="00D40A08" w:rsidP="00C054E0">
      <w:pPr>
        <w:pStyle w:val="Heading1"/>
        <w:jc w:val="both"/>
      </w:pPr>
      <w:bookmarkStart w:id="10" w:name="_Toc195002568"/>
      <w:r w:rsidRPr="00CB0B1B">
        <w:t>DISCUSSION</w:t>
      </w:r>
      <w:bookmarkEnd w:id="10"/>
    </w:p>
    <w:p w14:paraId="0F52EC39" w14:textId="44F69AE2" w:rsidR="00AE1063" w:rsidRDefault="00AE1063" w:rsidP="009C5C44">
      <w:pPr>
        <w:jc w:val="both"/>
      </w:pPr>
      <w:r w:rsidRPr="00AE1063">
        <w:t>Each of the actions</w:t>
      </w:r>
      <w:r>
        <w:t xml:space="preserve"> presented in this document are assigned a low, medium, or high priority. All sites designated as candidates for decommissioning, removal, or transfer from the IPTDS O&amp;M project are assigned “low” priority. These sites could be “naturally phased out” and/or time should be allowed for project proponents to take over funding for those sites. Alternately, all proposed new sites are assigned a “high” priority to address current adult status and trends monitoring “data gaps”. In general, the aim could be for high priority actions to occur in the next 1-2 years whereas low priority actions could take place in 3-5 years. Regardless, we will need to evaluate field work plans annually to consider the actions that take place each year and re-evaluate depending on funding, resources, available staff, etc. For example, specialized staff may only be available to replace existing or install new sites for 1-3 sites annually. As such, annual work plans can be flexible to consider actions that can be facilitated each year. </w:t>
      </w:r>
    </w:p>
    <w:p w14:paraId="7B3CFDA0" w14:textId="511F678C" w:rsidR="00AE1063" w:rsidRDefault="00AE1063" w:rsidP="00AE1063">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5</w:t>
      </w:r>
      <w:r w:rsidRPr="00E82E29">
        <w:rPr>
          <w:b/>
          <w:bCs/>
        </w:rPr>
        <w:fldChar w:fldCharType="end"/>
      </w:r>
      <w:r>
        <w:t>. General guidelines for timelines to address recommended actions following the Snake River basin IPTDS prioritization process (SR IPTDS PW 2024).</w:t>
      </w:r>
    </w:p>
    <w:tbl>
      <w:tblPr>
        <w:tblStyle w:val="GridTable4"/>
        <w:tblW w:w="0" w:type="auto"/>
        <w:jc w:val="center"/>
        <w:tblLook w:val="04A0" w:firstRow="1" w:lastRow="0" w:firstColumn="1" w:lastColumn="0" w:noHBand="0" w:noVBand="1"/>
      </w:tblPr>
      <w:tblGrid>
        <w:gridCol w:w="1075"/>
        <w:gridCol w:w="2610"/>
      </w:tblGrid>
      <w:tr w:rsidR="00AE1063" w:rsidRPr="00AE1063" w14:paraId="5A38F086" w14:textId="77777777" w:rsidTr="003700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455AA6F" w14:textId="6A8DADBE" w:rsidR="00AE1063" w:rsidRPr="00AE1063" w:rsidRDefault="00AE1063" w:rsidP="00AE1063">
            <w:pPr>
              <w:jc w:val="center"/>
              <w:rPr>
                <w:sz w:val="20"/>
                <w:szCs w:val="20"/>
              </w:rPr>
            </w:pPr>
            <w:r w:rsidRPr="00AE1063">
              <w:rPr>
                <w:sz w:val="20"/>
                <w:szCs w:val="20"/>
              </w:rPr>
              <w:t>Priority</w:t>
            </w:r>
          </w:p>
        </w:tc>
        <w:tc>
          <w:tcPr>
            <w:tcW w:w="2610" w:type="dxa"/>
            <w:vAlign w:val="center"/>
          </w:tcPr>
          <w:p w14:paraId="35781135" w14:textId="2E86EE39" w:rsidR="00AE1063" w:rsidRPr="00AE1063" w:rsidRDefault="00AE1063" w:rsidP="00AE106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E1063">
              <w:rPr>
                <w:sz w:val="20"/>
                <w:szCs w:val="20"/>
              </w:rPr>
              <w:t>General Guidelines for Years of Action</w:t>
            </w:r>
          </w:p>
        </w:tc>
      </w:tr>
      <w:tr w:rsidR="00AE1063" w:rsidRPr="00AE1063" w14:paraId="69C92F96" w14:textId="77777777" w:rsidTr="003700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55702F74" w14:textId="12408391" w:rsidR="00AE1063" w:rsidRPr="00AE1063" w:rsidRDefault="00AE1063" w:rsidP="00AE1063">
            <w:pPr>
              <w:jc w:val="center"/>
              <w:rPr>
                <w:b w:val="0"/>
                <w:bCs w:val="0"/>
                <w:sz w:val="20"/>
                <w:szCs w:val="20"/>
              </w:rPr>
            </w:pPr>
            <w:r>
              <w:rPr>
                <w:b w:val="0"/>
                <w:bCs w:val="0"/>
                <w:sz w:val="20"/>
                <w:szCs w:val="20"/>
              </w:rPr>
              <w:t>High</w:t>
            </w:r>
          </w:p>
        </w:tc>
        <w:tc>
          <w:tcPr>
            <w:tcW w:w="2610" w:type="dxa"/>
            <w:vAlign w:val="center"/>
          </w:tcPr>
          <w:p w14:paraId="4BD948C3" w14:textId="712B0C89" w:rsidR="00AE1063" w:rsidRPr="00AE1063" w:rsidRDefault="00AE1063" w:rsidP="00AE106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2025 – 2026</w:t>
            </w:r>
          </w:p>
        </w:tc>
      </w:tr>
      <w:tr w:rsidR="00AE1063" w:rsidRPr="00AE1063" w14:paraId="3A3EF2FD" w14:textId="77777777" w:rsidTr="00370006">
        <w:trPr>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66338A05" w14:textId="3E7E19C9" w:rsidR="00AE1063" w:rsidRPr="00AE1063" w:rsidRDefault="00AE1063" w:rsidP="00AE1063">
            <w:pPr>
              <w:jc w:val="center"/>
              <w:rPr>
                <w:b w:val="0"/>
                <w:bCs w:val="0"/>
                <w:sz w:val="20"/>
                <w:szCs w:val="20"/>
              </w:rPr>
            </w:pPr>
            <w:r w:rsidRPr="00AE1063">
              <w:rPr>
                <w:b w:val="0"/>
                <w:bCs w:val="0"/>
                <w:sz w:val="20"/>
                <w:szCs w:val="20"/>
              </w:rPr>
              <w:t>Medium</w:t>
            </w:r>
          </w:p>
        </w:tc>
        <w:tc>
          <w:tcPr>
            <w:tcW w:w="2610" w:type="dxa"/>
            <w:vAlign w:val="center"/>
          </w:tcPr>
          <w:p w14:paraId="6242DDAC" w14:textId="25A4BC06" w:rsidR="00AE1063" w:rsidRPr="00AE1063" w:rsidRDefault="00AE1063" w:rsidP="00AE106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2026 - 2028</w:t>
            </w:r>
          </w:p>
        </w:tc>
      </w:tr>
      <w:tr w:rsidR="00AE1063" w:rsidRPr="00AE1063" w14:paraId="7C8E0C60" w14:textId="77777777" w:rsidTr="003700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BFCB625" w14:textId="29A94FEA" w:rsidR="00AE1063" w:rsidRPr="00AE1063" w:rsidRDefault="00AE1063" w:rsidP="00AE1063">
            <w:pPr>
              <w:jc w:val="center"/>
              <w:rPr>
                <w:b w:val="0"/>
                <w:bCs w:val="0"/>
                <w:sz w:val="20"/>
                <w:szCs w:val="20"/>
              </w:rPr>
            </w:pPr>
            <w:r>
              <w:rPr>
                <w:b w:val="0"/>
                <w:bCs w:val="0"/>
                <w:sz w:val="20"/>
                <w:szCs w:val="20"/>
              </w:rPr>
              <w:t>Low</w:t>
            </w:r>
          </w:p>
        </w:tc>
        <w:tc>
          <w:tcPr>
            <w:tcW w:w="2610" w:type="dxa"/>
            <w:vAlign w:val="center"/>
          </w:tcPr>
          <w:p w14:paraId="48E461F0" w14:textId="6C804571" w:rsidR="00AE1063" w:rsidRPr="00AE1063" w:rsidRDefault="00AE1063" w:rsidP="00AE106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2027 - 2029</w:t>
            </w:r>
          </w:p>
        </w:tc>
      </w:tr>
    </w:tbl>
    <w:p w14:paraId="3588689B" w14:textId="77777777" w:rsidR="00AE1063" w:rsidRPr="00AE1063" w:rsidRDefault="00AE1063" w:rsidP="00AE1063"/>
    <w:p w14:paraId="7D1FBB32" w14:textId="7D310A9A" w:rsidR="00F27407" w:rsidRPr="00F27407" w:rsidRDefault="00F27407" w:rsidP="009C5C44">
      <w:pPr>
        <w:jc w:val="both"/>
      </w:pPr>
      <w:r w:rsidRPr="00F27407">
        <w:t>The recommendations provided from the Snake River IPTDS Prioritization process (SR IPTDS PW)</w:t>
      </w:r>
      <w:r>
        <w:t xml:space="preserve"> are estimated to increase overall, annual infrastructure</w:t>
      </w:r>
      <w:r w:rsidR="003C1845">
        <w:t xml:space="preserve"> replacement</w:t>
      </w:r>
      <w:r>
        <w:t xml:space="preserve"> and O&amp;M costs by approximately $</w:t>
      </w:r>
      <w:r w:rsidR="001B25BC">
        <w:t>71</w:t>
      </w:r>
      <w:r>
        <w:t>,</w:t>
      </w:r>
      <w:r w:rsidR="001B25BC">
        <w:t>0</w:t>
      </w:r>
      <w:r>
        <w:t>00</w:t>
      </w:r>
      <w:r w:rsidR="003C1845">
        <w:t xml:space="preserve"> for the IPTDS O&amp;M project</w:t>
      </w:r>
      <w:r>
        <w:t>, which is 2</w:t>
      </w:r>
      <w:r w:rsidR="001B25BC">
        <w:t>5</w:t>
      </w:r>
      <w:r>
        <w:t xml:space="preserve">% greater than current estimated costs, when considered altogether. These estimates do not include staffing, travel and per diem, vehicles, and additional costs not directly related to up-front infrastructure or O&amp;M to IPTDS sites but provide a “ballpark” in changes to O&amp;M costs for the IPTDS O&amp;M project. Potential changes in costs, including how it affects each project proponent involved, will need to be discussed and addressed prior to contracting decisions and recommended actions are implemented. </w:t>
      </w:r>
    </w:p>
    <w:p w14:paraId="677379FA" w14:textId="1E9C1EBC" w:rsidR="001162FC" w:rsidRPr="006B577F" w:rsidRDefault="006B577F" w:rsidP="009C5C44">
      <w:pPr>
        <w:jc w:val="both"/>
        <w:rPr>
          <w:rFonts w:cs="Times New Roman"/>
        </w:rPr>
      </w:pPr>
      <w:r w:rsidRPr="006B577F">
        <w:rPr>
          <w:rFonts w:cs="Times New Roman"/>
        </w:rPr>
        <w:t>A primary goal of the Integrated IPTDS O&amp;M project is to provide the necessary O&amp;M for IPTDS deemed necessary for requisite adult status and trends monitoring throughout the Snake River basin. However, the project could adopt IPTDS that support other RM&amp;E monitoring or research objectives as the project could provide specialized staff and resources to perform O&amp;M efficiently and at reduced costs. However, the costs for any site considered for adoption would need to be reviewed and appropriate funding should be provided to the IPTDS O&amp;M project to ensure that adequate staff and resources are available to perform necessary O&amp;M for those sites. Finally, discussions would need to occur among co-managers to decide additional RM&amp;E objectives that could/should be supported by the project.</w:t>
      </w:r>
      <w:r w:rsidR="001162FC">
        <w:br w:type="page"/>
      </w:r>
    </w:p>
    <w:p w14:paraId="6CFA008B" w14:textId="28B59521" w:rsidR="001162FC" w:rsidRPr="00CB0B1B" w:rsidRDefault="009C5C44" w:rsidP="001162FC">
      <w:pPr>
        <w:pStyle w:val="Heading1"/>
        <w:jc w:val="both"/>
      </w:pPr>
      <w:bookmarkStart w:id="11" w:name="_Toc195002569"/>
      <w:r>
        <w:lastRenderedPageBreak/>
        <w:t>LITERATURE CITED</w:t>
      </w:r>
      <w:bookmarkEnd w:id="11"/>
    </w:p>
    <w:p w14:paraId="0184BD50" w14:textId="77777777" w:rsidR="001162FC" w:rsidRDefault="001162FC" w:rsidP="001162FC">
      <w:pPr>
        <w:ind w:left="360" w:hanging="360"/>
        <w:jc w:val="both"/>
        <w:rPr>
          <w:rFonts w:cs="Times New Roman"/>
        </w:rPr>
      </w:pPr>
      <w:r>
        <w:rPr>
          <w:rFonts w:cs="Times New Roman"/>
        </w:rPr>
        <w:t>Columbia Basin Coordinated Anadromous Monitoring Workshop (CBCAMW). 2010. Anadromous Salmonid Monitoring Strategy Viable Salmonid Population Criteria and Subset of Tributary Habitat and Hatchery Effectiveness, Version 30062010. 59 pp.</w:t>
      </w:r>
    </w:p>
    <w:p w14:paraId="604130B8" w14:textId="59F9A44C" w:rsidR="001162FC" w:rsidRPr="001162FC" w:rsidRDefault="001162FC" w:rsidP="001162FC">
      <w:pPr>
        <w:ind w:left="360" w:hanging="360"/>
        <w:jc w:val="both"/>
      </w:pPr>
      <w:r>
        <w:t>Snake River Instream PIT-tag Detection Systems Prioritization Workgroup (SR IPTDS PW). 2024. Prioritization of Instream PIT Tag Detection Systems for Requisite Monitoring of Steelhead and Spring-Summer Chinook Salmon Adult Abundance and Life History, Snake River Basin. BPA Project # 2010-057-00.</w:t>
      </w:r>
    </w:p>
    <w:p w14:paraId="00F25D82" w14:textId="77777777" w:rsidR="001162FC" w:rsidRDefault="001162FC" w:rsidP="00E23872"/>
    <w:sectPr w:rsidR="001162FC" w:rsidSect="00E2387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D77B5" w14:textId="77777777" w:rsidR="00C73B4C" w:rsidRDefault="00C73B4C" w:rsidP="00677DF7">
      <w:pPr>
        <w:spacing w:after="0" w:line="240" w:lineRule="auto"/>
      </w:pPr>
      <w:r>
        <w:separator/>
      </w:r>
    </w:p>
  </w:endnote>
  <w:endnote w:type="continuationSeparator" w:id="0">
    <w:p w14:paraId="4D3BFC43" w14:textId="77777777" w:rsidR="00C73B4C" w:rsidRDefault="00C73B4C" w:rsidP="0067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128A" w14:textId="77777777" w:rsidR="00111303" w:rsidRDefault="00111303" w:rsidP="0011130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07920"/>
      <w:docPartObj>
        <w:docPartGallery w:val="Page Numbers (Bottom of Page)"/>
        <w:docPartUnique/>
      </w:docPartObj>
    </w:sdtPr>
    <w:sdtEndPr>
      <w:rPr>
        <w:noProof/>
      </w:rPr>
    </w:sdtEndPr>
    <w:sdtContent>
      <w:p w14:paraId="1A7DED18" w14:textId="77777777" w:rsidR="00EC65B9" w:rsidRDefault="00EC6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FD8230" w14:textId="77777777" w:rsidR="00EC65B9" w:rsidRDefault="00EC65B9" w:rsidP="001113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60185" w14:textId="77777777" w:rsidR="00C73B4C" w:rsidRDefault="00C73B4C" w:rsidP="00677DF7">
      <w:pPr>
        <w:spacing w:after="0" w:line="240" w:lineRule="auto"/>
      </w:pPr>
      <w:r>
        <w:separator/>
      </w:r>
    </w:p>
  </w:footnote>
  <w:footnote w:type="continuationSeparator" w:id="0">
    <w:p w14:paraId="076F3CF5" w14:textId="77777777" w:rsidR="00C73B4C" w:rsidRDefault="00C73B4C" w:rsidP="00677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3069"/>
    <w:multiLevelType w:val="hybridMultilevel"/>
    <w:tmpl w:val="36E44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C4E1A"/>
    <w:multiLevelType w:val="hybridMultilevel"/>
    <w:tmpl w:val="4D369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66AD6C0">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A182A"/>
    <w:multiLevelType w:val="hybridMultilevel"/>
    <w:tmpl w:val="6A84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734D8"/>
    <w:multiLevelType w:val="hybridMultilevel"/>
    <w:tmpl w:val="FB2C8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C40CF"/>
    <w:multiLevelType w:val="hybridMultilevel"/>
    <w:tmpl w:val="F6A4B7AC"/>
    <w:lvl w:ilvl="0" w:tplc="EC74C16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93CE0"/>
    <w:multiLevelType w:val="hybridMultilevel"/>
    <w:tmpl w:val="B616D812"/>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5D497C"/>
    <w:multiLevelType w:val="hybridMultilevel"/>
    <w:tmpl w:val="BE0A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03061"/>
    <w:multiLevelType w:val="hybridMultilevel"/>
    <w:tmpl w:val="797C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44A18"/>
    <w:multiLevelType w:val="hybridMultilevel"/>
    <w:tmpl w:val="35B6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33E84"/>
    <w:multiLevelType w:val="hybridMultilevel"/>
    <w:tmpl w:val="978C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70FF8"/>
    <w:multiLevelType w:val="hybridMultilevel"/>
    <w:tmpl w:val="03E00D98"/>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A76AA5"/>
    <w:multiLevelType w:val="hybridMultilevel"/>
    <w:tmpl w:val="86EC99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307B57"/>
    <w:multiLevelType w:val="hybridMultilevel"/>
    <w:tmpl w:val="18FC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F0D2F"/>
    <w:multiLevelType w:val="hybridMultilevel"/>
    <w:tmpl w:val="07C2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899687">
    <w:abstractNumId w:val="9"/>
  </w:num>
  <w:num w:numId="2" w16cid:durableId="295837715">
    <w:abstractNumId w:val="1"/>
  </w:num>
  <w:num w:numId="3" w16cid:durableId="270819319">
    <w:abstractNumId w:val="3"/>
  </w:num>
  <w:num w:numId="4" w16cid:durableId="898907464">
    <w:abstractNumId w:val="2"/>
  </w:num>
  <w:num w:numId="5" w16cid:durableId="985166865">
    <w:abstractNumId w:val="0"/>
  </w:num>
  <w:num w:numId="6" w16cid:durableId="1512837582">
    <w:abstractNumId w:val="7"/>
  </w:num>
  <w:num w:numId="7" w16cid:durableId="386998980">
    <w:abstractNumId w:val="11"/>
  </w:num>
  <w:num w:numId="8" w16cid:durableId="1909416681">
    <w:abstractNumId w:val="4"/>
  </w:num>
  <w:num w:numId="9" w16cid:durableId="1859849830">
    <w:abstractNumId w:val="8"/>
  </w:num>
  <w:num w:numId="10" w16cid:durableId="1285624822">
    <w:abstractNumId w:val="10"/>
  </w:num>
  <w:num w:numId="11" w16cid:durableId="1760444745">
    <w:abstractNumId w:val="6"/>
  </w:num>
  <w:num w:numId="12" w16cid:durableId="1087072466">
    <w:abstractNumId w:val="12"/>
  </w:num>
  <w:num w:numId="13" w16cid:durableId="197476117">
    <w:abstractNumId w:val="5"/>
  </w:num>
  <w:num w:numId="14" w16cid:durableId="2270332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1"/>
    <w:rsid w:val="000045D9"/>
    <w:rsid w:val="000067E4"/>
    <w:rsid w:val="000102FB"/>
    <w:rsid w:val="00011269"/>
    <w:rsid w:val="00015A9A"/>
    <w:rsid w:val="000160F5"/>
    <w:rsid w:val="0001711B"/>
    <w:rsid w:val="0001722A"/>
    <w:rsid w:val="00017C30"/>
    <w:rsid w:val="00024908"/>
    <w:rsid w:val="00025452"/>
    <w:rsid w:val="00031331"/>
    <w:rsid w:val="00032534"/>
    <w:rsid w:val="00043368"/>
    <w:rsid w:val="00045199"/>
    <w:rsid w:val="000454E8"/>
    <w:rsid w:val="00046FEA"/>
    <w:rsid w:val="00052E47"/>
    <w:rsid w:val="00054004"/>
    <w:rsid w:val="000547B5"/>
    <w:rsid w:val="00057E38"/>
    <w:rsid w:val="00061162"/>
    <w:rsid w:val="00061712"/>
    <w:rsid w:val="00061DB1"/>
    <w:rsid w:val="000622EA"/>
    <w:rsid w:val="00064F05"/>
    <w:rsid w:val="000657CD"/>
    <w:rsid w:val="00066B14"/>
    <w:rsid w:val="00067E58"/>
    <w:rsid w:val="0007002C"/>
    <w:rsid w:val="0007028A"/>
    <w:rsid w:val="000705D9"/>
    <w:rsid w:val="00076F5B"/>
    <w:rsid w:val="000805A6"/>
    <w:rsid w:val="000836F0"/>
    <w:rsid w:val="00086E8E"/>
    <w:rsid w:val="0008734B"/>
    <w:rsid w:val="0009746B"/>
    <w:rsid w:val="000A18C8"/>
    <w:rsid w:val="000B34FA"/>
    <w:rsid w:val="000B6D17"/>
    <w:rsid w:val="000B78CF"/>
    <w:rsid w:val="000C0435"/>
    <w:rsid w:val="000C3AA2"/>
    <w:rsid w:val="000C422D"/>
    <w:rsid w:val="000C5B17"/>
    <w:rsid w:val="000C5B66"/>
    <w:rsid w:val="000C7D4F"/>
    <w:rsid w:val="000D3841"/>
    <w:rsid w:val="000D38C4"/>
    <w:rsid w:val="000D3FB6"/>
    <w:rsid w:val="000D4C11"/>
    <w:rsid w:val="000D5CCC"/>
    <w:rsid w:val="000D645F"/>
    <w:rsid w:val="000E112A"/>
    <w:rsid w:val="000E3DA6"/>
    <w:rsid w:val="000F1DB1"/>
    <w:rsid w:val="000F2DA6"/>
    <w:rsid w:val="000F3CC1"/>
    <w:rsid w:val="000F4FF0"/>
    <w:rsid w:val="000F7612"/>
    <w:rsid w:val="001001F2"/>
    <w:rsid w:val="00100316"/>
    <w:rsid w:val="001032D3"/>
    <w:rsid w:val="001050F4"/>
    <w:rsid w:val="001070E5"/>
    <w:rsid w:val="00110D73"/>
    <w:rsid w:val="00111303"/>
    <w:rsid w:val="00111320"/>
    <w:rsid w:val="00114963"/>
    <w:rsid w:val="001162FC"/>
    <w:rsid w:val="00117F40"/>
    <w:rsid w:val="0012185F"/>
    <w:rsid w:val="0012232A"/>
    <w:rsid w:val="001246FE"/>
    <w:rsid w:val="00126201"/>
    <w:rsid w:val="00127CA1"/>
    <w:rsid w:val="00130A26"/>
    <w:rsid w:val="0013787E"/>
    <w:rsid w:val="00141564"/>
    <w:rsid w:val="00141B42"/>
    <w:rsid w:val="00142DC3"/>
    <w:rsid w:val="00145DCC"/>
    <w:rsid w:val="00147AC1"/>
    <w:rsid w:val="00152DBB"/>
    <w:rsid w:val="001559DA"/>
    <w:rsid w:val="001576FE"/>
    <w:rsid w:val="00160896"/>
    <w:rsid w:val="00161662"/>
    <w:rsid w:val="001622EA"/>
    <w:rsid w:val="00162C3B"/>
    <w:rsid w:val="00163728"/>
    <w:rsid w:val="00170F90"/>
    <w:rsid w:val="001746E3"/>
    <w:rsid w:val="001754C4"/>
    <w:rsid w:val="0018266E"/>
    <w:rsid w:val="00186027"/>
    <w:rsid w:val="00195900"/>
    <w:rsid w:val="0019708A"/>
    <w:rsid w:val="001A0F06"/>
    <w:rsid w:val="001B0429"/>
    <w:rsid w:val="001B06E3"/>
    <w:rsid w:val="001B1E8B"/>
    <w:rsid w:val="001B25BC"/>
    <w:rsid w:val="001B2B95"/>
    <w:rsid w:val="001B5E98"/>
    <w:rsid w:val="001C13D4"/>
    <w:rsid w:val="001C223E"/>
    <w:rsid w:val="001C2A21"/>
    <w:rsid w:val="001D154D"/>
    <w:rsid w:val="001D5BFE"/>
    <w:rsid w:val="001D6BF2"/>
    <w:rsid w:val="001E01B6"/>
    <w:rsid w:val="001E22A3"/>
    <w:rsid w:val="001E3004"/>
    <w:rsid w:val="001E3D5E"/>
    <w:rsid w:val="001E3E5A"/>
    <w:rsid w:val="001E50CA"/>
    <w:rsid w:val="001E660C"/>
    <w:rsid w:val="001F0EB0"/>
    <w:rsid w:val="001F188D"/>
    <w:rsid w:val="001F235F"/>
    <w:rsid w:val="001F3708"/>
    <w:rsid w:val="001F58DF"/>
    <w:rsid w:val="001F63AF"/>
    <w:rsid w:val="002007E7"/>
    <w:rsid w:val="002028F6"/>
    <w:rsid w:val="00204958"/>
    <w:rsid w:val="002050AA"/>
    <w:rsid w:val="00221697"/>
    <w:rsid w:val="00224289"/>
    <w:rsid w:val="002269B3"/>
    <w:rsid w:val="00227ACE"/>
    <w:rsid w:val="0023275B"/>
    <w:rsid w:val="00232C6B"/>
    <w:rsid w:val="00233BBC"/>
    <w:rsid w:val="002340B9"/>
    <w:rsid w:val="00234B2E"/>
    <w:rsid w:val="00235B59"/>
    <w:rsid w:val="002410F5"/>
    <w:rsid w:val="00242CCC"/>
    <w:rsid w:val="0024385D"/>
    <w:rsid w:val="00243CE2"/>
    <w:rsid w:val="00245AF4"/>
    <w:rsid w:val="0024620B"/>
    <w:rsid w:val="00246CBC"/>
    <w:rsid w:val="002477D7"/>
    <w:rsid w:val="0025120B"/>
    <w:rsid w:val="002568D3"/>
    <w:rsid w:val="002579BC"/>
    <w:rsid w:val="002604DC"/>
    <w:rsid w:val="00262F03"/>
    <w:rsid w:val="00265EE7"/>
    <w:rsid w:val="002726A2"/>
    <w:rsid w:val="00272AB4"/>
    <w:rsid w:val="00274689"/>
    <w:rsid w:val="00274E73"/>
    <w:rsid w:val="00277F55"/>
    <w:rsid w:val="002878C4"/>
    <w:rsid w:val="00294461"/>
    <w:rsid w:val="0029512A"/>
    <w:rsid w:val="002A00A7"/>
    <w:rsid w:val="002A1432"/>
    <w:rsid w:val="002A39E5"/>
    <w:rsid w:val="002A4D10"/>
    <w:rsid w:val="002A52E4"/>
    <w:rsid w:val="002A5B8D"/>
    <w:rsid w:val="002B3221"/>
    <w:rsid w:val="002B36CC"/>
    <w:rsid w:val="002B3E62"/>
    <w:rsid w:val="002B5B8F"/>
    <w:rsid w:val="002C133C"/>
    <w:rsid w:val="002C36D3"/>
    <w:rsid w:val="002C4C1F"/>
    <w:rsid w:val="002C6507"/>
    <w:rsid w:val="002C71B7"/>
    <w:rsid w:val="002D01D9"/>
    <w:rsid w:val="002D03A6"/>
    <w:rsid w:val="002D15E4"/>
    <w:rsid w:val="002D1F21"/>
    <w:rsid w:val="002D28A1"/>
    <w:rsid w:val="002D6351"/>
    <w:rsid w:val="002D74B8"/>
    <w:rsid w:val="002E3A07"/>
    <w:rsid w:val="002E6064"/>
    <w:rsid w:val="002E71A0"/>
    <w:rsid w:val="002F23F8"/>
    <w:rsid w:val="002F7455"/>
    <w:rsid w:val="00300004"/>
    <w:rsid w:val="0030002E"/>
    <w:rsid w:val="00302709"/>
    <w:rsid w:val="003031D2"/>
    <w:rsid w:val="00303B40"/>
    <w:rsid w:val="00304AEE"/>
    <w:rsid w:val="00305646"/>
    <w:rsid w:val="00306266"/>
    <w:rsid w:val="00312795"/>
    <w:rsid w:val="00314822"/>
    <w:rsid w:val="00317A8F"/>
    <w:rsid w:val="00317BB3"/>
    <w:rsid w:val="003201E5"/>
    <w:rsid w:val="00323663"/>
    <w:rsid w:val="003256A7"/>
    <w:rsid w:val="003261D8"/>
    <w:rsid w:val="00326CD3"/>
    <w:rsid w:val="00327D10"/>
    <w:rsid w:val="0033156D"/>
    <w:rsid w:val="00335AF2"/>
    <w:rsid w:val="00336946"/>
    <w:rsid w:val="00343CFB"/>
    <w:rsid w:val="003459AE"/>
    <w:rsid w:val="00347B16"/>
    <w:rsid w:val="00350099"/>
    <w:rsid w:val="00351EA7"/>
    <w:rsid w:val="00351F6C"/>
    <w:rsid w:val="003520D5"/>
    <w:rsid w:val="00353D3B"/>
    <w:rsid w:val="00354237"/>
    <w:rsid w:val="00356287"/>
    <w:rsid w:val="003627F5"/>
    <w:rsid w:val="0036314B"/>
    <w:rsid w:val="00370006"/>
    <w:rsid w:val="00371E71"/>
    <w:rsid w:val="00381AF2"/>
    <w:rsid w:val="00385F53"/>
    <w:rsid w:val="00387E14"/>
    <w:rsid w:val="00390763"/>
    <w:rsid w:val="0039269D"/>
    <w:rsid w:val="00393A12"/>
    <w:rsid w:val="00393B46"/>
    <w:rsid w:val="003978B3"/>
    <w:rsid w:val="00397ED9"/>
    <w:rsid w:val="003A1403"/>
    <w:rsid w:val="003A2B7F"/>
    <w:rsid w:val="003A3B65"/>
    <w:rsid w:val="003A4017"/>
    <w:rsid w:val="003B2775"/>
    <w:rsid w:val="003B3245"/>
    <w:rsid w:val="003B3A86"/>
    <w:rsid w:val="003B3C30"/>
    <w:rsid w:val="003C1845"/>
    <w:rsid w:val="003C5676"/>
    <w:rsid w:val="003C5C01"/>
    <w:rsid w:val="003C5EA9"/>
    <w:rsid w:val="003C7452"/>
    <w:rsid w:val="003D529F"/>
    <w:rsid w:val="003E0AFF"/>
    <w:rsid w:val="003E4E69"/>
    <w:rsid w:val="003E564D"/>
    <w:rsid w:val="00400863"/>
    <w:rsid w:val="00402770"/>
    <w:rsid w:val="0040489C"/>
    <w:rsid w:val="00405CE8"/>
    <w:rsid w:val="00410823"/>
    <w:rsid w:val="00413AB4"/>
    <w:rsid w:val="00415D2F"/>
    <w:rsid w:val="00415F9B"/>
    <w:rsid w:val="00421032"/>
    <w:rsid w:val="00421BBD"/>
    <w:rsid w:val="00423805"/>
    <w:rsid w:val="0042581F"/>
    <w:rsid w:val="00427CD0"/>
    <w:rsid w:val="00427D79"/>
    <w:rsid w:val="004356C0"/>
    <w:rsid w:val="00436D9F"/>
    <w:rsid w:val="00441562"/>
    <w:rsid w:val="00443173"/>
    <w:rsid w:val="00443A7E"/>
    <w:rsid w:val="00443B96"/>
    <w:rsid w:val="00456D09"/>
    <w:rsid w:val="0045782A"/>
    <w:rsid w:val="0046399B"/>
    <w:rsid w:val="004643C6"/>
    <w:rsid w:val="0046529E"/>
    <w:rsid w:val="00465B97"/>
    <w:rsid w:val="00466E5B"/>
    <w:rsid w:val="00473978"/>
    <w:rsid w:val="004752F4"/>
    <w:rsid w:val="00475F4C"/>
    <w:rsid w:val="00482D03"/>
    <w:rsid w:val="004835F4"/>
    <w:rsid w:val="00485094"/>
    <w:rsid w:val="00485899"/>
    <w:rsid w:val="00490582"/>
    <w:rsid w:val="00491ECB"/>
    <w:rsid w:val="00493A3E"/>
    <w:rsid w:val="00495C29"/>
    <w:rsid w:val="004A490E"/>
    <w:rsid w:val="004A6486"/>
    <w:rsid w:val="004B754B"/>
    <w:rsid w:val="004C00F1"/>
    <w:rsid w:val="004C2978"/>
    <w:rsid w:val="004C3551"/>
    <w:rsid w:val="004C6495"/>
    <w:rsid w:val="004C7636"/>
    <w:rsid w:val="004D0D7E"/>
    <w:rsid w:val="004D41A5"/>
    <w:rsid w:val="004D5B49"/>
    <w:rsid w:val="004D7C9A"/>
    <w:rsid w:val="004E196B"/>
    <w:rsid w:val="004E1BCB"/>
    <w:rsid w:val="004E499F"/>
    <w:rsid w:val="004E6772"/>
    <w:rsid w:val="004F2854"/>
    <w:rsid w:val="004F3B0A"/>
    <w:rsid w:val="004F6410"/>
    <w:rsid w:val="004F6A40"/>
    <w:rsid w:val="004F71E4"/>
    <w:rsid w:val="00501136"/>
    <w:rsid w:val="005016D0"/>
    <w:rsid w:val="00506389"/>
    <w:rsid w:val="005076C5"/>
    <w:rsid w:val="00510098"/>
    <w:rsid w:val="0051024A"/>
    <w:rsid w:val="00511286"/>
    <w:rsid w:val="005113EC"/>
    <w:rsid w:val="00512E18"/>
    <w:rsid w:val="005133C8"/>
    <w:rsid w:val="0051458D"/>
    <w:rsid w:val="00517FA0"/>
    <w:rsid w:val="00521132"/>
    <w:rsid w:val="00522335"/>
    <w:rsid w:val="00524AD6"/>
    <w:rsid w:val="00525F8D"/>
    <w:rsid w:val="00526B4D"/>
    <w:rsid w:val="0052704B"/>
    <w:rsid w:val="0053510D"/>
    <w:rsid w:val="0053593D"/>
    <w:rsid w:val="00535E8F"/>
    <w:rsid w:val="00535F67"/>
    <w:rsid w:val="005367B7"/>
    <w:rsid w:val="00541EC6"/>
    <w:rsid w:val="005439D8"/>
    <w:rsid w:val="00547530"/>
    <w:rsid w:val="005521DF"/>
    <w:rsid w:val="005536DE"/>
    <w:rsid w:val="00553CC9"/>
    <w:rsid w:val="0055482A"/>
    <w:rsid w:val="005566AC"/>
    <w:rsid w:val="00560457"/>
    <w:rsid w:val="0056275D"/>
    <w:rsid w:val="00564F9C"/>
    <w:rsid w:val="00567A86"/>
    <w:rsid w:val="0057151E"/>
    <w:rsid w:val="00571A76"/>
    <w:rsid w:val="00574D0D"/>
    <w:rsid w:val="005824E8"/>
    <w:rsid w:val="005834E3"/>
    <w:rsid w:val="0058382B"/>
    <w:rsid w:val="00586CF7"/>
    <w:rsid w:val="0059525A"/>
    <w:rsid w:val="005965EE"/>
    <w:rsid w:val="00597A13"/>
    <w:rsid w:val="005A131B"/>
    <w:rsid w:val="005A21C7"/>
    <w:rsid w:val="005A4831"/>
    <w:rsid w:val="005A6B99"/>
    <w:rsid w:val="005B64F9"/>
    <w:rsid w:val="005C6EBE"/>
    <w:rsid w:val="005D0100"/>
    <w:rsid w:val="005D108A"/>
    <w:rsid w:val="005D3DCE"/>
    <w:rsid w:val="005D65B4"/>
    <w:rsid w:val="005D699F"/>
    <w:rsid w:val="005E3B22"/>
    <w:rsid w:val="005E49C5"/>
    <w:rsid w:val="005E4DDF"/>
    <w:rsid w:val="005E5AC8"/>
    <w:rsid w:val="005E6372"/>
    <w:rsid w:val="005F0DA4"/>
    <w:rsid w:val="005F0F4E"/>
    <w:rsid w:val="005F3C57"/>
    <w:rsid w:val="00603375"/>
    <w:rsid w:val="006034C9"/>
    <w:rsid w:val="00606230"/>
    <w:rsid w:val="006067D6"/>
    <w:rsid w:val="0061405C"/>
    <w:rsid w:val="00614D2A"/>
    <w:rsid w:val="00617CB9"/>
    <w:rsid w:val="00622238"/>
    <w:rsid w:val="0062321B"/>
    <w:rsid w:val="006266EB"/>
    <w:rsid w:val="00630607"/>
    <w:rsid w:val="00631F22"/>
    <w:rsid w:val="006338D8"/>
    <w:rsid w:val="00635CEE"/>
    <w:rsid w:val="0063685F"/>
    <w:rsid w:val="006377EF"/>
    <w:rsid w:val="006378FD"/>
    <w:rsid w:val="00637C2F"/>
    <w:rsid w:val="00642AA5"/>
    <w:rsid w:val="00643AE7"/>
    <w:rsid w:val="006452D6"/>
    <w:rsid w:val="00652F78"/>
    <w:rsid w:val="00654F20"/>
    <w:rsid w:val="00655AFA"/>
    <w:rsid w:val="00657327"/>
    <w:rsid w:val="00661168"/>
    <w:rsid w:val="00662D6E"/>
    <w:rsid w:val="00663819"/>
    <w:rsid w:val="00663998"/>
    <w:rsid w:val="006665FC"/>
    <w:rsid w:val="00666F97"/>
    <w:rsid w:val="006720C9"/>
    <w:rsid w:val="00676EE1"/>
    <w:rsid w:val="00677DF7"/>
    <w:rsid w:val="00682F2E"/>
    <w:rsid w:val="0069045D"/>
    <w:rsid w:val="00692306"/>
    <w:rsid w:val="00696E51"/>
    <w:rsid w:val="006A1F42"/>
    <w:rsid w:val="006B4F25"/>
    <w:rsid w:val="006B577F"/>
    <w:rsid w:val="006B57AD"/>
    <w:rsid w:val="006C2AC5"/>
    <w:rsid w:val="006C5786"/>
    <w:rsid w:val="006C6427"/>
    <w:rsid w:val="006C745A"/>
    <w:rsid w:val="006C7744"/>
    <w:rsid w:val="006D0294"/>
    <w:rsid w:val="006D15B7"/>
    <w:rsid w:val="006D6391"/>
    <w:rsid w:val="006D6B3E"/>
    <w:rsid w:val="006E2AF4"/>
    <w:rsid w:val="006E2FC8"/>
    <w:rsid w:val="006E62AF"/>
    <w:rsid w:val="006F4996"/>
    <w:rsid w:val="006F6A04"/>
    <w:rsid w:val="0070086B"/>
    <w:rsid w:val="00701121"/>
    <w:rsid w:val="00705E53"/>
    <w:rsid w:val="0070725F"/>
    <w:rsid w:val="00707E70"/>
    <w:rsid w:val="0071071A"/>
    <w:rsid w:val="00712F6E"/>
    <w:rsid w:val="00720AE8"/>
    <w:rsid w:val="007217C2"/>
    <w:rsid w:val="00722B0E"/>
    <w:rsid w:val="00724098"/>
    <w:rsid w:val="00726F72"/>
    <w:rsid w:val="007306B2"/>
    <w:rsid w:val="007324A8"/>
    <w:rsid w:val="00741BDA"/>
    <w:rsid w:val="00742063"/>
    <w:rsid w:val="00744878"/>
    <w:rsid w:val="007469E9"/>
    <w:rsid w:val="007563BF"/>
    <w:rsid w:val="00756EFD"/>
    <w:rsid w:val="007617E5"/>
    <w:rsid w:val="00764D0E"/>
    <w:rsid w:val="007664E3"/>
    <w:rsid w:val="00766AD9"/>
    <w:rsid w:val="00767294"/>
    <w:rsid w:val="007672BC"/>
    <w:rsid w:val="007719C4"/>
    <w:rsid w:val="007720DE"/>
    <w:rsid w:val="007831ED"/>
    <w:rsid w:val="00785B9E"/>
    <w:rsid w:val="00792B7D"/>
    <w:rsid w:val="00797C9A"/>
    <w:rsid w:val="007A1CEE"/>
    <w:rsid w:val="007A1E19"/>
    <w:rsid w:val="007A739C"/>
    <w:rsid w:val="007B4BA0"/>
    <w:rsid w:val="007B6490"/>
    <w:rsid w:val="007C0C89"/>
    <w:rsid w:val="007C20B5"/>
    <w:rsid w:val="007C28D5"/>
    <w:rsid w:val="007C2B3E"/>
    <w:rsid w:val="007C4B81"/>
    <w:rsid w:val="007C4CE1"/>
    <w:rsid w:val="007C6F45"/>
    <w:rsid w:val="007D2FBF"/>
    <w:rsid w:val="007D44A4"/>
    <w:rsid w:val="007D543C"/>
    <w:rsid w:val="007E534A"/>
    <w:rsid w:val="007E5CA2"/>
    <w:rsid w:val="007F2654"/>
    <w:rsid w:val="00800050"/>
    <w:rsid w:val="008022DD"/>
    <w:rsid w:val="008026F7"/>
    <w:rsid w:val="00803798"/>
    <w:rsid w:val="00807F8E"/>
    <w:rsid w:val="00811EC9"/>
    <w:rsid w:val="00817F3F"/>
    <w:rsid w:val="00820689"/>
    <w:rsid w:val="00820919"/>
    <w:rsid w:val="00822035"/>
    <w:rsid w:val="008229B8"/>
    <w:rsid w:val="00822B4F"/>
    <w:rsid w:val="00824B19"/>
    <w:rsid w:val="00825863"/>
    <w:rsid w:val="00826261"/>
    <w:rsid w:val="00826734"/>
    <w:rsid w:val="00826762"/>
    <w:rsid w:val="00832DD6"/>
    <w:rsid w:val="00835179"/>
    <w:rsid w:val="00835FE2"/>
    <w:rsid w:val="00836762"/>
    <w:rsid w:val="0084143E"/>
    <w:rsid w:val="0084406A"/>
    <w:rsid w:val="00844F5E"/>
    <w:rsid w:val="00847584"/>
    <w:rsid w:val="00856045"/>
    <w:rsid w:val="00860168"/>
    <w:rsid w:val="00860F66"/>
    <w:rsid w:val="00862F38"/>
    <w:rsid w:val="0086376C"/>
    <w:rsid w:val="00864C6A"/>
    <w:rsid w:val="00867259"/>
    <w:rsid w:val="00871C23"/>
    <w:rsid w:val="008721B9"/>
    <w:rsid w:val="00877D12"/>
    <w:rsid w:val="00880AE0"/>
    <w:rsid w:val="008819F9"/>
    <w:rsid w:val="00881C08"/>
    <w:rsid w:val="00883264"/>
    <w:rsid w:val="0088712E"/>
    <w:rsid w:val="00887F08"/>
    <w:rsid w:val="00887FC0"/>
    <w:rsid w:val="0089096A"/>
    <w:rsid w:val="00897DBA"/>
    <w:rsid w:val="008A05FA"/>
    <w:rsid w:val="008A0ABC"/>
    <w:rsid w:val="008A1C4D"/>
    <w:rsid w:val="008A2E53"/>
    <w:rsid w:val="008A3620"/>
    <w:rsid w:val="008A3F5D"/>
    <w:rsid w:val="008A47C3"/>
    <w:rsid w:val="008A5753"/>
    <w:rsid w:val="008A59DC"/>
    <w:rsid w:val="008A7580"/>
    <w:rsid w:val="008C4BCA"/>
    <w:rsid w:val="008C54F0"/>
    <w:rsid w:val="008C6024"/>
    <w:rsid w:val="008C636E"/>
    <w:rsid w:val="008C72E4"/>
    <w:rsid w:val="008D2834"/>
    <w:rsid w:val="008D3B86"/>
    <w:rsid w:val="008D4780"/>
    <w:rsid w:val="008D560B"/>
    <w:rsid w:val="008D7584"/>
    <w:rsid w:val="008E1CA3"/>
    <w:rsid w:val="008E2FE2"/>
    <w:rsid w:val="008E3F33"/>
    <w:rsid w:val="008E4335"/>
    <w:rsid w:val="008E6BA7"/>
    <w:rsid w:val="008E6D5E"/>
    <w:rsid w:val="008F154B"/>
    <w:rsid w:val="008F1E25"/>
    <w:rsid w:val="008F47BC"/>
    <w:rsid w:val="008F4B8D"/>
    <w:rsid w:val="008F65F8"/>
    <w:rsid w:val="008F6A2A"/>
    <w:rsid w:val="00904D66"/>
    <w:rsid w:val="00912C54"/>
    <w:rsid w:val="009136BB"/>
    <w:rsid w:val="00916C1C"/>
    <w:rsid w:val="009219C9"/>
    <w:rsid w:val="00923BC5"/>
    <w:rsid w:val="00932FD0"/>
    <w:rsid w:val="00933F8B"/>
    <w:rsid w:val="0093574F"/>
    <w:rsid w:val="00936409"/>
    <w:rsid w:val="0093750A"/>
    <w:rsid w:val="00937E49"/>
    <w:rsid w:val="00937EC2"/>
    <w:rsid w:val="009416EE"/>
    <w:rsid w:val="00944A33"/>
    <w:rsid w:val="00945952"/>
    <w:rsid w:val="00946888"/>
    <w:rsid w:val="0094704B"/>
    <w:rsid w:val="00947CCE"/>
    <w:rsid w:val="00952A35"/>
    <w:rsid w:val="00952C7A"/>
    <w:rsid w:val="009565CB"/>
    <w:rsid w:val="00964C56"/>
    <w:rsid w:val="00967943"/>
    <w:rsid w:val="009734AF"/>
    <w:rsid w:val="0097418F"/>
    <w:rsid w:val="009758A1"/>
    <w:rsid w:val="00975962"/>
    <w:rsid w:val="00982B5D"/>
    <w:rsid w:val="00984CA9"/>
    <w:rsid w:val="00991C7A"/>
    <w:rsid w:val="0099503F"/>
    <w:rsid w:val="009952AE"/>
    <w:rsid w:val="009962B7"/>
    <w:rsid w:val="009A4365"/>
    <w:rsid w:val="009A4989"/>
    <w:rsid w:val="009A4EF7"/>
    <w:rsid w:val="009A6E19"/>
    <w:rsid w:val="009B3E5F"/>
    <w:rsid w:val="009B43BF"/>
    <w:rsid w:val="009B4B55"/>
    <w:rsid w:val="009B6ED0"/>
    <w:rsid w:val="009C2944"/>
    <w:rsid w:val="009C29F6"/>
    <w:rsid w:val="009C5C44"/>
    <w:rsid w:val="009D0D48"/>
    <w:rsid w:val="009D1563"/>
    <w:rsid w:val="009D3FE7"/>
    <w:rsid w:val="009D5A2D"/>
    <w:rsid w:val="009E7E63"/>
    <w:rsid w:val="009F136B"/>
    <w:rsid w:val="009F16A7"/>
    <w:rsid w:val="009F2461"/>
    <w:rsid w:val="009F3D89"/>
    <w:rsid w:val="009F434C"/>
    <w:rsid w:val="009F586C"/>
    <w:rsid w:val="009F78D4"/>
    <w:rsid w:val="00A01770"/>
    <w:rsid w:val="00A02273"/>
    <w:rsid w:val="00A0411C"/>
    <w:rsid w:val="00A14C61"/>
    <w:rsid w:val="00A14F51"/>
    <w:rsid w:val="00A15F3A"/>
    <w:rsid w:val="00A1768F"/>
    <w:rsid w:val="00A17725"/>
    <w:rsid w:val="00A20FE6"/>
    <w:rsid w:val="00A22B12"/>
    <w:rsid w:val="00A32C08"/>
    <w:rsid w:val="00A34160"/>
    <w:rsid w:val="00A374D3"/>
    <w:rsid w:val="00A44238"/>
    <w:rsid w:val="00A459AD"/>
    <w:rsid w:val="00A46243"/>
    <w:rsid w:val="00A5258A"/>
    <w:rsid w:val="00A52A8B"/>
    <w:rsid w:val="00A57537"/>
    <w:rsid w:val="00A57E20"/>
    <w:rsid w:val="00A60684"/>
    <w:rsid w:val="00A60D76"/>
    <w:rsid w:val="00A65F76"/>
    <w:rsid w:val="00A72EAA"/>
    <w:rsid w:val="00A75C5C"/>
    <w:rsid w:val="00A80FB5"/>
    <w:rsid w:val="00A835E8"/>
    <w:rsid w:val="00A85689"/>
    <w:rsid w:val="00A868D5"/>
    <w:rsid w:val="00A8698F"/>
    <w:rsid w:val="00A86F2A"/>
    <w:rsid w:val="00A9010F"/>
    <w:rsid w:val="00A9023E"/>
    <w:rsid w:val="00A947F1"/>
    <w:rsid w:val="00A951AF"/>
    <w:rsid w:val="00A9547E"/>
    <w:rsid w:val="00AA3331"/>
    <w:rsid w:val="00AB0ED4"/>
    <w:rsid w:val="00AB2105"/>
    <w:rsid w:val="00AB3238"/>
    <w:rsid w:val="00AB53A5"/>
    <w:rsid w:val="00AC0353"/>
    <w:rsid w:val="00AC0771"/>
    <w:rsid w:val="00AC40E1"/>
    <w:rsid w:val="00AD1A03"/>
    <w:rsid w:val="00AD2BAE"/>
    <w:rsid w:val="00AD386E"/>
    <w:rsid w:val="00AD54D2"/>
    <w:rsid w:val="00AD62B5"/>
    <w:rsid w:val="00AE0359"/>
    <w:rsid w:val="00AE1063"/>
    <w:rsid w:val="00AF0869"/>
    <w:rsid w:val="00AF154A"/>
    <w:rsid w:val="00AF3986"/>
    <w:rsid w:val="00AF4A98"/>
    <w:rsid w:val="00AF7168"/>
    <w:rsid w:val="00AF7E8C"/>
    <w:rsid w:val="00B01EF7"/>
    <w:rsid w:val="00B02B87"/>
    <w:rsid w:val="00B049F1"/>
    <w:rsid w:val="00B06F9F"/>
    <w:rsid w:val="00B10F24"/>
    <w:rsid w:val="00B1481F"/>
    <w:rsid w:val="00B14F7F"/>
    <w:rsid w:val="00B216C4"/>
    <w:rsid w:val="00B24331"/>
    <w:rsid w:val="00B256E7"/>
    <w:rsid w:val="00B25C79"/>
    <w:rsid w:val="00B25FFC"/>
    <w:rsid w:val="00B30CA7"/>
    <w:rsid w:val="00B353E9"/>
    <w:rsid w:val="00B47152"/>
    <w:rsid w:val="00B47ED0"/>
    <w:rsid w:val="00B5068C"/>
    <w:rsid w:val="00B51174"/>
    <w:rsid w:val="00B55585"/>
    <w:rsid w:val="00B568A8"/>
    <w:rsid w:val="00B64420"/>
    <w:rsid w:val="00B67584"/>
    <w:rsid w:val="00B6774E"/>
    <w:rsid w:val="00B70079"/>
    <w:rsid w:val="00B734B8"/>
    <w:rsid w:val="00B758D8"/>
    <w:rsid w:val="00B76790"/>
    <w:rsid w:val="00B76B5B"/>
    <w:rsid w:val="00B80461"/>
    <w:rsid w:val="00B81113"/>
    <w:rsid w:val="00B86D4E"/>
    <w:rsid w:val="00B87865"/>
    <w:rsid w:val="00B91AD6"/>
    <w:rsid w:val="00B920DE"/>
    <w:rsid w:val="00B92129"/>
    <w:rsid w:val="00B931B2"/>
    <w:rsid w:val="00B942CF"/>
    <w:rsid w:val="00B96B7C"/>
    <w:rsid w:val="00BA1DEF"/>
    <w:rsid w:val="00BA4C77"/>
    <w:rsid w:val="00BA77F9"/>
    <w:rsid w:val="00BA7BCF"/>
    <w:rsid w:val="00BB08B4"/>
    <w:rsid w:val="00BB1195"/>
    <w:rsid w:val="00BB7986"/>
    <w:rsid w:val="00BC30D8"/>
    <w:rsid w:val="00BC3D87"/>
    <w:rsid w:val="00BC5306"/>
    <w:rsid w:val="00BD1AE4"/>
    <w:rsid w:val="00BE014E"/>
    <w:rsid w:val="00BE5432"/>
    <w:rsid w:val="00BF0950"/>
    <w:rsid w:val="00BF2B3D"/>
    <w:rsid w:val="00BF34FE"/>
    <w:rsid w:val="00BF63EB"/>
    <w:rsid w:val="00BF7E5F"/>
    <w:rsid w:val="00C01628"/>
    <w:rsid w:val="00C0376A"/>
    <w:rsid w:val="00C054E0"/>
    <w:rsid w:val="00C06930"/>
    <w:rsid w:val="00C07218"/>
    <w:rsid w:val="00C101CC"/>
    <w:rsid w:val="00C10F5B"/>
    <w:rsid w:val="00C129B3"/>
    <w:rsid w:val="00C12CC1"/>
    <w:rsid w:val="00C1510F"/>
    <w:rsid w:val="00C1558F"/>
    <w:rsid w:val="00C15B7D"/>
    <w:rsid w:val="00C163E5"/>
    <w:rsid w:val="00C177F8"/>
    <w:rsid w:val="00C179DD"/>
    <w:rsid w:val="00C17A6C"/>
    <w:rsid w:val="00C21C09"/>
    <w:rsid w:val="00C223D8"/>
    <w:rsid w:val="00C224E6"/>
    <w:rsid w:val="00C3017F"/>
    <w:rsid w:val="00C31823"/>
    <w:rsid w:val="00C41A03"/>
    <w:rsid w:val="00C41C67"/>
    <w:rsid w:val="00C4215A"/>
    <w:rsid w:val="00C4680C"/>
    <w:rsid w:val="00C5111A"/>
    <w:rsid w:val="00C57138"/>
    <w:rsid w:val="00C61899"/>
    <w:rsid w:val="00C62069"/>
    <w:rsid w:val="00C63F85"/>
    <w:rsid w:val="00C643DA"/>
    <w:rsid w:val="00C6523B"/>
    <w:rsid w:val="00C66E73"/>
    <w:rsid w:val="00C70F6A"/>
    <w:rsid w:val="00C71DC3"/>
    <w:rsid w:val="00C7203B"/>
    <w:rsid w:val="00C73751"/>
    <w:rsid w:val="00C73B4C"/>
    <w:rsid w:val="00C76B9C"/>
    <w:rsid w:val="00C80360"/>
    <w:rsid w:val="00C816F5"/>
    <w:rsid w:val="00C82335"/>
    <w:rsid w:val="00C837CE"/>
    <w:rsid w:val="00C87DC0"/>
    <w:rsid w:val="00C9164F"/>
    <w:rsid w:val="00C96E78"/>
    <w:rsid w:val="00CA3885"/>
    <w:rsid w:val="00CA5511"/>
    <w:rsid w:val="00CB0B1B"/>
    <w:rsid w:val="00CB288D"/>
    <w:rsid w:val="00CB3DBE"/>
    <w:rsid w:val="00CB6F14"/>
    <w:rsid w:val="00CB7223"/>
    <w:rsid w:val="00CC0BE5"/>
    <w:rsid w:val="00CC1671"/>
    <w:rsid w:val="00CC1DC7"/>
    <w:rsid w:val="00CC41D8"/>
    <w:rsid w:val="00CD4581"/>
    <w:rsid w:val="00CE298A"/>
    <w:rsid w:val="00CE7EEC"/>
    <w:rsid w:val="00CF00A2"/>
    <w:rsid w:val="00CF04C6"/>
    <w:rsid w:val="00CF4CE6"/>
    <w:rsid w:val="00CF570E"/>
    <w:rsid w:val="00D00365"/>
    <w:rsid w:val="00D013F6"/>
    <w:rsid w:val="00D014BD"/>
    <w:rsid w:val="00D03C17"/>
    <w:rsid w:val="00D10C7A"/>
    <w:rsid w:val="00D1244A"/>
    <w:rsid w:val="00D12F69"/>
    <w:rsid w:val="00D153BC"/>
    <w:rsid w:val="00D15640"/>
    <w:rsid w:val="00D15DA5"/>
    <w:rsid w:val="00D2063C"/>
    <w:rsid w:val="00D20DCB"/>
    <w:rsid w:val="00D20FE9"/>
    <w:rsid w:val="00D34D91"/>
    <w:rsid w:val="00D3581C"/>
    <w:rsid w:val="00D35CB7"/>
    <w:rsid w:val="00D36E00"/>
    <w:rsid w:val="00D40A08"/>
    <w:rsid w:val="00D4194A"/>
    <w:rsid w:val="00D44FB5"/>
    <w:rsid w:val="00D454F6"/>
    <w:rsid w:val="00D455FA"/>
    <w:rsid w:val="00D46288"/>
    <w:rsid w:val="00D60BFE"/>
    <w:rsid w:val="00D6179C"/>
    <w:rsid w:val="00D65084"/>
    <w:rsid w:val="00D673D0"/>
    <w:rsid w:val="00D67D07"/>
    <w:rsid w:val="00D73A87"/>
    <w:rsid w:val="00D73CCE"/>
    <w:rsid w:val="00D74A0F"/>
    <w:rsid w:val="00D757F8"/>
    <w:rsid w:val="00D77EA9"/>
    <w:rsid w:val="00D8060E"/>
    <w:rsid w:val="00D83F29"/>
    <w:rsid w:val="00D8441A"/>
    <w:rsid w:val="00D85DD4"/>
    <w:rsid w:val="00D92FCD"/>
    <w:rsid w:val="00D946CD"/>
    <w:rsid w:val="00D958EA"/>
    <w:rsid w:val="00D96D49"/>
    <w:rsid w:val="00D9722B"/>
    <w:rsid w:val="00DA0A9B"/>
    <w:rsid w:val="00DA20EC"/>
    <w:rsid w:val="00DA295B"/>
    <w:rsid w:val="00DA3ECA"/>
    <w:rsid w:val="00DA430A"/>
    <w:rsid w:val="00DA44AE"/>
    <w:rsid w:val="00DA4E28"/>
    <w:rsid w:val="00DB0F35"/>
    <w:rsid w:val="00DB21F9"/>
    <w:rsid w:val="00DB3AB6"/>
    <w:rsid w:val="00DB3F16"/>
    <w:rsid w:val="00DB4B52"/>
    <w:rsid w:val="00DB5623"/>
    <w:rsid w:val="00DC341D"/>
    <w:rsid w:val="00DD1008"/>
    <w:rsid w:val="00DD157D"/>
    <w:rsid w:val="00DD4D4E"/>
    <w:rsid w:val="00DD5900"/>
    <w:rsid w:val="00DD6B7D"/>
    <w:rsid w:val="00DE18AA"/>
    <w:rsid w:val="00DE7D18"/>
    <w:rsid w:val="00DF55E9"/>
    <w:rsid w:val="00DF6443"/>
    <w:rsid w:val="00E02309"/>
    <w:rsid w:val="00E03127"/>
    <w:rsid w:val="00E03B1F"/>
    <w:rsid w:val="00E0415B"/>
    <w:rsid w:val="00E10C97"/>
    <w:rsid w:val="00E12CD3"/>
    <w:rsid w:val="00E12F3B"/>
    <w:rsid w:val="00E16D45"/>
    <w:rsid w:val="00E17D13"/>
    <w:rsid w:val="00E23277"/>
    <w:rsid w:val="00E23872"/>
    <w:rsid w:val="00E27E92"/>
    <w:rsid w:val="00E3194C"/>
    <w:rsid w:val="00E320F0"/>
    <w:rsid w:val="00E323E6"/>
    <w:rsid w:val="00E32AA9"/>
    <w:rsid w:val="00E42D5B"/>
    <w:rsid w:val="00E44661"/>
    <w:rsid w:val="00E47DFE"/>
    <w:rsid w:val="00E51CA8"/>
    <w:rsid w:val="00E52B43"/>
    <w:rsid w:val="00E52BAB"/>
    <w:rsid w:val="00E53655"/>
    <w:rsid w:val="00E54F28"/>
    <w:rsid w:val="00E64184"/>
    <w:rsid w:val="00E65D4C"/>
    <w:rsid w:val="00E66E97"/>
    <w:rsid w:val="00E710AF"/>
    <w:rsid w:val="00E728B6"/>
    <w:rsid w:val="00E75FC1"/>
    <w:rsid w:val="00E76B0B"/>
    <w:rsid w:val="00E76F03"/>
    <w:rsid w:val="00E82E29"/>
    <w:rsid w:val="00E83445"/>
    <w:rsid w:val="00E84980"/>
    <w:rsid w:val="00E916FB"/>
    <w:rsid w:val="00E91B22"/>
    <w:rsid w:val="00E94C28"/>
    <w:rsid w:val="00E978BF"/>
    <w:rsid w:val="00EB4F35"/>
    <w:rsid w:val="00EB64F6"/>
    <w:rsid w:val="00EC3C6C"/>
    <w:rsid w:val="00EC65B9"/>
    <w:rsid w:val="00ED0BE9"/>
    <w:rsid w:val="00ED1800"/>
    <w:rsid w:val="00ED19B5"/>
    <w:rsid w:val="00ED7D46"/>
    <w:rsid w:val="00EE53F2"/>
    <w:rsid w:val="00EE589A"/>
    <w:rsid w:val="00F00ADA"/>
    <w:rsid w:val="00F02AE6"/>
    <w:rsid w:val="00F02FF5"/>
    <w:rsid w:val="00F041B0"/>
    <w:rsid w:val="00F06CC3"/>
    <w:rsid w:val="00F126E6"/>
    <w:rsid w:val="00F140B1"/>
    <w:rsid w:val="00F14ADC"/>
    <w:rsid w:val="00F14E97"/>
    <w:rsid w:val="00F178D5"/>
    <w:rsid w:val="00F17C9E"/>
    <w:rsid w:val="00F207A3"/>
    <w:rsid w:val="00F24F6E"/>
    <w:rsid w:val="00F26B11"/>
    <w:rsid w:val="00F27407"/>
    <w:rsid w:val="00F27DFE"/>
    <w:rsid w:val="00F30D67"/>
    <w:rsid w:val="00F32410"/>
    <w:rsid w:val="00F33A32"/>
    <w:rsid w:val="00F3413A"/>
    <w:rsid w:val="00F40221"/>
    <w:rsid w:val="00F41C49"/>
    <w:rsid w:val="00F50506"/>
    <w:rsid w:val="00F507C1"/>
    <w:rsid w:val="00F51062"/>
    <w:rsid w:val="00F51CA4"/>
    <w:rsid w:val="00F559E0"/>
    <w:rsid w:val="00F651EE"/>
    <w:rsid w:val="00F6540F"/>
    <w:rsid w:val="00F67062"/>
    <w:rsid w:val="00F67E37"/>
    <w:rsid w:val="00F75DE8"/>
    <w:rsid w:val="00F76F5A"/>
    <w:rsid w:val="00F836DB"/>
    <w:rsid w:val="00F85983"/>
    <w:rsid w:val="00F86316"/>
    <w:rsid w:val="00F86CCE"/>
    <w:rsid w:val="00F870BD"/>
    <w:rsid w:val="00F87A62"/>
    <w:rsid w:val="00F9056A"/>
    <w:rsid w:val="00F910F2"/>
    <w:rsid w:val="00F926E0"/>
    <w:rsid w:val="00F97286"/>
    <w:rsid w:val="00FA1452"/>
    <w:rsid w:val="00FA1EC1"/>
    <w:rsid w:val="00FA2A89"/>
    <w:rsid w:val="00FA4C40"/>
    <w:rsid w:val="00FB053E"/>
    <w:rsid w:val="00FB3BC2"/>
    <w:rsid w:val="00FC0CE8"/>
    <w:rsid w:val="00FC2D02"/>
    <w:rsid w:val="00FC56E6"/>
    <w:rsid w:val="00FD20E1"/>
    <w:rsid w:val="00FD4373"/>
    <w:rsid w:val="00FD5C72"/>
    <w:rsid w:val="00FD62E4"/>
    <w:rsid w:val="00FE5860"/>
    <w:rsid w:val="00FE5F95"/>
    <w:rsid w:val="00FF088F"/>
    <w:rsid w:val="00FF09E3"/>
    <w:rsid w:val="00FF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22641"/>
  <w15:chartTrackingRefBased/>
  <w15:docId w15:val="{E6FBECBF-8F35-41C7-84FF-5699408E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CC1"/>
    <w:rPr>
      <w:rFonts w:ascii="Times New Roman" w:hAnsi="Times New Roman"/>
    </w:rPr>
  </w:style>
  <w:style w:type="paragraph" w:styleId="Heading1">
    <w:name w:val="heading 1"/>
    <w:basedOn w:val="Normal"/>
    <w:next w:val="Normal"/>
    <w:link w:val="Heading1Char"/>
    <w:uiPriority w:val="9"/>
    <w:qFormat/>
    <w:rsid w:val="003627F5"/>
    <w:pPr>
      <w:keepNext/>
      <w:keepLines/>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3627F5"/>
    <w:pPr>
      <w:keepNext/>
      <w:keepLines/>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3627F5"/>
    <w:pPr>
      <w:keepNext/>
      <w:keepLines/>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A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5B97"/>
    <w:pPr>
      <w:ind w:left="720"/>
      <w:contextualSpacing/>
    </w:pPr>
  </w:style>
  <w:style w:type="paragraph" w:styleId="Caption">
    <w:name w:val="caption"/>
    <w:basedOn w:val="Normal"/>
    <w:next w:val="Normal"/>
    <w:uiPriority w:val="35"/>
    <w:unhideWhenUsed/>
    <w:qFormat/>
    <w:rsid w:val="00465B97"/>
    <w:pPr>
      <w:spacing w:after="200" w:line="240" w:lineRule="auto"/>
    </w:pPr>
    <w:rPr>
      <w:i/>
      <w:iCs/>
      <w:sz w:val="20"/>
      <w:szCs w:val="18"/>
    </w:rPr>
  </w:style>
  <w:style w:type="table" w:styleId="TableGrid">
    <w:name w:val="Table Grid"/>
    <w:basedOn w:val="TableNormal"/>
    <w:uiPriority w:val="39"/>
    <w:rsid w:val="00BC3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C3D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77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DF7"/>
    <w:rPr>
      <w:sz w:val="20"/>
      <w:szCs w:val="20"/>
    </w:rPr>
  </w:style>
  <w:style w:type="character" w:styleId="FootnoteReference">
    <w:name w:val="footnote reference"/>
    <w:basedOn w:val="DefaultParagraphFont"/>
    <w:uiPriority w:val="99"/>
    <w:semiHidden/>
    <w:unhideWhenUsed/>
    <w:rsid w:val="00677DF7"/>
    <w:rPr>
      <w:vertAlign w:val="superscript"/>
    </w:rPr>
  </w:style>
  <w:style w:type="table" w:styleId="GridTable4-Accent3">
    <w:name w:val="Grid Table 4 Accent 3"/>
    <w:basedOn w:val="TableNormal"/>
    <w:uiPriority w:val="49"/>
    <w:rsid w:val="00887F0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9952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0700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07002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3627F5"/>
    <w:rPr>
      <w:rFonts w:ascii="Times New Roman" w:eastAsiaTheme="majorEastAsia" w:hAnsi="Times New Roman" w:cstheme="majorBidi"/>
      <w:b/>
      <w:caps/>
      <w:sz w:val="24"/>
      <w:szCs w:val="32"/>
    </w:rPr>
  </w:style>
  <w:style w:type="paragraph" w:styleId="TOCHeading">
    <w:name w:val="TOC Heading"/>
    <w:basedOn w:val="Heading1"/>
    <w:next w:val="Normal"/>
    <w:uiPriority w:val="39"/>
    <w:unhideWhenUsed/>
    <w:qFormat/>
    <w:rsid w:val="003627F5"/>
    <w:pPr>
      <w:outlineLvl w:val="9"/>
    </w:pPr>
    <w:rPr>
      <w:kern w:val="0"/>
      <w14:ligatures w14:val="none"/>
    </w:rPr>
  </w:style>
  <w:style w:type="character" w:customStyle="1" w:styleId="Heading2Char">
    <w:name w:val="Heading 2 Char"/>
    <w:basedOn w:val="DefaultParagraphFont"/>
    <w:link w:val="Heading2"/>
    <w:uiPriority w:val="9"/>
    <w:rsid w:val="003627F5"/>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3627F5"/>
    <w:rPr>
      <w:rFonts w:ascii="Times New Roman" w:eastAsiaTheme="majorEastAsia" w:hAnsi="Times New Roman" w:cstheme="majorBidi"/>
      <w:sz w:val="24"/>
      <w:szCs w:val="24"/>
      <w:u w:val="single"/>
    </w:rPr>
  </w:style>
  <w:style w:type="paragraph" w:styleId="TOC1">
    <w:name w:val="toc 1"/>
    <w:basedOn w:val="Normal"/>
    <w:next w:val="Normal"/>
    <w:autoRedefine/>
    <w:uiPriority w:val="39"/>
    <w:unhideWhenUsed/>
    <w:rsid w:val="00C12CC1"/>
    <w:pPr>
      <w:tabs>
        <w:tab w:val="right" w:leader="dot" w:pos="9350"/>
      </w:tabs>
      <w:spacing w:after="100"/>
    </w:pPr>
  </w:style>
  <w:style w:type="paragraph" w:styleId="TOC2">
    <w:name w:val="toc 2"/>
    <w:basedOn w:val="Normal"/>
    <w:next w:val="Normal"/>
    <w:autoRedefine/>
    <w:uiPriority w:val="39"/>
    <w:unhideWhenUsed/>
    <w:rsid w:val="00692306"/>
    <w:pPr>
      <w:spacing w:after="100"/>
      <w:ind w:left="220"/>
    </w:pPr>
  </w:style>
  <w:style w:type="paragraph" w:styleId="TOC3">
    <w:name w:val="toc 3"/>
    <w:basedOn w:val="Normal"/>
    <w:next w:val="Normal"/>
    <w:autoRedefine/>
    <w:uiPriority w:val="39"/>
    <w:unhideWhenUsed/>
    <w:rsid w:val="00692306"/>
    <w:pPr>
      <w:spacing w:after="100"/>
      <w:ind w:left="440"/>
    </w:pPr>
  </w:style>
  <w:style w:type="character" w:styleId="Hyperlink">
    <w:name w:val="Hyperlink"/>
    <w:basedOn w:val="DefaultParagraphFont"/>
    <w:uiPriority w:val="99"/>
    <w:unhideWhenUsed/>
    <w:rsid w:val="00692306"/>
    <w:rPr>
      <w:color w:val="0563C1" w:themeColor="hyperlink"/>
      <w:u w:val="single"/>
    </w:rPr>
  </w:style>
  <w:style w:type="character" w:styleId="CommentReference">
    <w:name w:val="annotation reference"/>
    <w:basedOn w:val="DefaultParagraphFont"/>
    <w:uiPriority w:val="99"/>
    <w:semiHidden/>
    <w:unhideWhenUsed/>
    <w:rsid w:val="00277F55"/>
    <w:rPr>
      <w:sz w:val="16"/>
      <w:szCs w:val="16"/>
    </w:rPr>
  </w:style>
  <w:style w:type="paragraph" w:styleId="CommentText">
    <w:name w:val="annotation text"/>
    <w:basedOn w:val="Normal"/>
    <w:link w:val="CommentTextChar"/>
    <w:uiPriority w:val="99"/>
    <w:unhideWhenUsed/>
    <w:rsid w:val="00277F55"/>
    <w:pPr>
      <w:spacing w:line="240" w:lineRule="auto"/>
    </w:pPr>
    <w:rPr>
      <w:sz w:val="20"/>
      <w:szCs w:val="20"/>
    </w:rPr>
  </w:style>
  <w:style w:type="character" w:customStyle="1" w:styleId="CommentTextChar">
    <w:name w:val="Comment Text Char"/>
    <w:basedOn w:val="DefaultParagraphFont"/>
    <w:link w:val="CommentText"/>
    <w:uiPriority w:val="99"/>
    <w:rsid w:val="00277F5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77F55"/>
    <w:rPr>
      <w:b/>
      <w:bCs/>
    </w:rPr>
  </w:style>
  <w:style w:type="character" w:customStyle="1" w:styleId="CommentSubjectChar">
    <w:name w:val="Comment Subject Char"/>
    <w:basedOn w:val="CommentTextChar"/>
    <w:link w:val="CommentSubject"/>
    <w:uiPriority w:val="99"/>
    <w:semiHidden/>
    <w:rsid w:val="00277F55"/>
    <w:rPr>
      <w:rFonts w:ascii="Times New Roman" w:hAnsi="Times New Roman"/>
      <w:b/>
      <w:bCs/>
      <w:sz w:val="20"/>
      <w:szCs w:val="20"/>
    </w:rPr>
  </w:style>
  <w:style w:type="paragraph" w:styleId="Revision">
    <w:name w:val="Revision"/>
    <w:hidden/>
    <w:uiPriority w:val="99"/>
    <w:semiHidden/>
    <w:rsid w:val="00397ED9"/>
    <w:pPr>
      <w:spacing w:after="0" w:line="240" w:lineRule="auto"/>
    </w:pPr>
    <w:rPr>
      <w:rFonts w:ascii="Times New Roman" w:hAnsi="Times New Roman"/>
    </w:rPr>
  </w:style>
  <w:style w:type="table" w:styleId="GridTable4">
    <w:name w:val="Grid Table 4"/>
    <w:basedOn w:val="TableNormal"/>
    <w:uiPriority w:val="49"/>
    <w:rsid w:val="00E849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11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03"/>
    <w:rPr>
      <w:rFonts w:ascii="Times New Roman" w:hAnsi="Times New Roman"/>
    </w:rPr>
  </w:style>
  <w:style w:type="paragraph" w:styleId="Footer">
    <w:name w:val="footer"/>
    <w:basedOn w:val="Normal"/>
    <w:link w:val="FooterChar"/>
    <w:uiPriority w:val="99"/>
    <w:unhideWhenUsed/>
    <w:rsid w:val="00111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03"/>
    <w:rPr>
      <w:rFonts w:ascii="Times New Roman" w:hAnsi="Times New Roman"/>
    </w:rPr>
  </w:style>
  <w:style w:type="character" w:styleId="UnresolvedMention">
    <w:name w:val="Unresolved Mention"/>
    <w:basedOn w:val="DefaultParagraphFont"/>
    <w:uiPriority w:val="99"/>
    <w:semiHidden/>
    <w:unhideWhenUsed/>
    <w:rsid w:val="00F67062"/>
    <w:rPr>
      <w:color w:val="605E5C"/>
      <w:shd w:val="clear" w:color="auto" w:fill="E1DFDD"/>
    </w:rPr>
  </w:style>
  <w:style w:type="character" w:styleId="FollowedHyperlink">
    <w:name w:val="FollowedHyperlink"/>
    <w:basedOn w:val="DefaultParagraphFont"/>
    <w:uiPriority w:val="99"/>
    <w:semiHidden/>
    <w:unhideWhenUsed/>
    <w:rsid w:val="005113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325">
      <w:bodyDiv w:val="1"/>
      <w:marLeft w:val="0"/>
      <w:marRight w:val="0"/>
      <w:marTop w:val="0"/>
      <w:marBottom w:val="0"/>
      <w:divBdr>
        <w:top w:val="none" w:sz="0" w:space="0" w:color="auto"/>
        <w:left w:val="none" w:sz="0" w:space="0" w:color="auto"/>
        <w:bottom w:val="none" w:sz="0" w:space="0" w:color="auto"/>
        <w:right w:val="none" w:sz="0" w:space="0" w:color="auto"/>
      </w:divBdr>
    </w:div>
    <w:div w:id="68306055">
      <w:bodyDiv w:val="1"/>
      <w:marLeft w:val="0"/>
      <w:marRight w:val="0"/>
      <w:marTop w:val="0"/>
      <w:marBottom w:val="0"/>
      <w:divBdr>
        <w:top w:val="none" w:sz="0" w:space="0" w:color="auto"/>
        <w:left w:val="none" w:sz="0" w:space="0" w:color="auto"/>
        <w:bottom w:val="none" w:sz="0" w:space="0" w:color="auto"/>
        <w:right w:val="none" w:sz="0" w:space="0" w:color="auto"/>
      </w:divBdr>
    </w:div>
    <w:div w:id="203756786">
      <w:bodyDiv w:val="1"/>
      <w:marLeft w:val="0"/>
      <w:marRight w:val="0"/>
      <w:marTop w:val="0"/>
      <w:marBottom w:val="0"/>
      <w:divBdr>
        <w:top w:val="none" w:sz="0" w:space="0" w:color="auto"/>
        <w:left w:val="none" w:sz="0" w:space="0" w:color="auto"/>
        <w:bottom w:val="none" w:sz="0" w:space="0" w:color="auto"/>
        <w:right w:val="none" w:sz="0" w:space="0" w:color="auto"/>
      </w:divBdr>
    </w:div>
    <w:div w:id="382683346">
      <w:bodyDiv w:val="1"/>
      <w:marLeft w:val="0"/>
      <w:marRight w:val="0"/>
      <w:marTop w:val="0"/>
      <w:marBottom w:val="0"/>
      <w:divBdr>
        <w:top w:val="none" w:sz="0" w:space="0" w:color="auto"/>
        <w:left w:val="none" w:sz="0" w:space="0" w:color="auto"/>
        <w:bottom w:val="none" w:sz="0" w:space="0" w:color="auto"/>
        <w:right w:val="none" w:sz="0" w:space="0" w:color="auto"/>
      </w:divBdr>
    </w:div>
    <w:div w:id="651718970">
      <w:bodyDiv w:val="1"/>
      <w:marLeft w:val="0"/>
      <w:marRight w:val="0"/>
      <w:marTop w:val="0"/>
      <w:marBottom w:val="0"/>
      <w:divBdr>
        <w:top w:val="none" w:sz="0" w:space="0" w:color="auto"/>
        <w:left w:val="none" w:sz="0" w:space="0" w:color="auto"/>
        <w:bottom w:val="none" w:sz="0" w:space="0" w:color="auto"/>
        <w:right w:val="none" w:sz="0" w:space="0" w:color="auto"/>
      </w:divBdr>
    </w:div>
    <w:div w:id="754209858">
      <w:bodyDiv w:val="1"/>
      <w:marLeft w:val="0"/>
      <w:marRight w:val="0"/>
      <w:marTop w:val="0"/>
      <w:marBottom w:val="0"/>
      <w:divBdr>
        <w:top w:val="none" w:sz="0" w:space="0" w:color="auto"/>
        <w:left w:val="none" w:sz="0" w:space="0" w:color="auto"/>
        <w:bottom w:val="none" w:sz="0" w:space="0" w:color="auto"/>
        <w:right w:val="none" w:sz="0" w:space="0" w:color="auto"/>
      </w:divBdr>
    </w:div>
    <w:div w:id="759833298">
      <w:bodyDiv w:val="1"/>
      <w:marLeft w:val="0"/>
      <w:marRight w:val="0"/>
      <w:marTop w:val="0"/>
      <w:marBottom w:val="0"/>
      <w:divBdr>
        <w:top w:val="none" w:sz="0" w:space="0" w:color="auto"/>
        <w:left w:val="none" w:sz="0" w:space="0" w:color="auto"/>
        <w:bottom w:val="none" w:sz="0" w:space="0" w:color="auto"/>
        <w:right w:val="none" w:sz="0" w:space="0" w:color="auto"/>
      </w:divBdr>
    </w:div>
    <w:div w:id="780414227">
      <w:bodyDiv w:val="1"/>
      <w:marLeft w:val="0"/>
      <w:marRight w:val="0"/>
      <w:marTop w:val="0"/>
      <w:marBottom w:val="0"/>
      <w:divBdr>
        <w:top w:val="none" w:sz="0" w:space="0" w:color="auto"/>
        <w:left w:val="none" w:sz="0" w:space="0" w:color="auto"/>
        <w:bottom w:val="none" w:sz="0" w:space="0" w:color="auto"/>
        <w:right w:val="none" w:sz="0" w:space="0" w:color="auto"/>
      </w:divBdr>
    </w:div>
    <w:div w:id="827786330">
      <w:bodyDiv w:val="1"/>
      <w:marLeft w:val="0"/>
      <w:marRight w:val="0"/>
      <w:marTop w:val="0"/>
      <w:marBottom w:val="0"/>
      <w:divBdr>
        <w:top w:val="none" w:sz="0" w:space="0" w:color="auto"/>
        <w:left w:val="none" w:sz="0" w:space="0" w:color="auto"/>
        <w:bottom w:val="none" w:sz="0" w:space="0" w:color="auto"/>
        <w:right w:val="none" w:sz="0" w:space="0" w:color="auto"/>
      </w:divBdr>
    </w:div>
    <w:div w:id="851264980">
      <w:bodyDiv w:val="1"/>
      <w:marLeft w:val="0"/>
      <w:marRight w:val="0"/>
      <w:marTop w:val="0"/>
      <w:marBottom w:val="0"/>
      <w:divBdr>
        <w:top w:val="none" w:sz="0" w:space="0" w:color="auto"/>
        <w:left w:val="none" w:sz="0" w:space="0" w:color="auto"/>
        <w:bottom w:val="none" w:sz="0" w:space="0" w:color="auto"/>
        <w:right w:val="none" w:sz="0" w:space="0" w:color="auto"/>
      </w:divBdr>
    </w:div>
    <w:div w:id="1003553136">
      <w:bodyDiv w:val="1"/>
      <w:marLeft w:val="0"/>
      <w:marRight w:val="0"/>
      <w:marTop w:val="0"/>
      <w:marBottom w:val="0"/>
      <w:divBdr>
        <w:top w:val="none" w:sz="0" w:space="0" w:color="auto"/>
        <w:left w:val="none" w:sz="0" w:space="0" w:color="auto"/>
        <w:bottom w:val="none" w:sz="0" w:space="0" w:color="auto"/>
        <w:right w:val="none" w:sz="0" w:space="0" w:color="auto"/>
      </w:divBdr>
    </w:div>
    <w:div w:id="1282999716">
      <w:bodyDiv w:val="1"/>
      <w:marLeft w:val="0"/>
      <w:marRight w:val="0"/>
      <w:marTop w:val="0"/>
      <w:marBottom w:val="0"/>
      <w:divBdr>
        <w:top w:val="none" w:sz="0" w:space="0" w:color="auto"/>
        <w:left w:val="none" w:sz="0" w:space="0" w:color="auto"/>
        <w:bottom w:val="none" w:sz="0" w:space="0" w:color="auto"/>
        <w:right w:val="none" w:sz="0" w:space="0" w:color="auto"/>
      </w:divBdr>
    </w:div>
    <w:div w:id="1290553296">
      <w:bodyDiv w:val="1"/>
      <w:marLeft w:val="0"/>
      <w:marRight w:val="0"/>
      <w:marTop w:val="0"/>
      <w:marBottom w:val="0"/>
      <w:divBdr>
        <w:top w:val="none" w:sz="0" w:space="0" w:color="auto"/>
        <w:left w:val="none" w:sz="0" w:space="0" w:color="auto"/>
        <w:bottom w:val="none" w:sz="0" w:space="0" w:color="auto"/>
        <w:right w:val="none" w:sz="0" w:space="0" w:color="auto"/>
      </w:divBdr>
    </w:div>
    <w:div w:id="1428767649">
      <w:bodyDiv w:val="1"/>
      <w:marLeft w:val="0"/>
      <w:marRight w:val="0"/>
      <w:marTop w:val="0"/>
      <w:marBottom w:val="0"/>
      <w:divBdr>
        <w:top w:val="none" w:sz="0" w:space="0" w:color="auto"/>
        <w:left w:val="none" w:sz="0" w:space="0" w:color="auto"/>
        <w:bottom w:val="none" w:sz="0" w:space="0" w:color="auto"/>
        <w:right w:val="none" w:sz="0" w:space="0" w:color="auto"/>
      </w:divBdr>
    </w:div>
    <w:div w:id="1605310579">
      <w:bodyDiv w:val="1"/>
      <w:marLeft w:val="0"/>
      <w:marRight w:val="0"/>
      <w:marTop w:val="0"/>
      <w:marBottom w:val="0"/>
      <w:divBdr>
        <w:top w:val="none" w:sz="0" w:space="0" w:color="auto"/>
        <w:left w:val="none" w:sz="0" w:space="0" w:color="auto"/>
        <w:bottom w:val="none" w:sz="0" w:space="0" w:color="auto"/>
        <w:right w:val="none" w:sz="0" w:space="0" w:color="auto"/>
      </w:divBdr>
    </w:div>
    <w:div w:id="1867792612">
      <w:bodyDiv w:val="1"/>
      <w:marLeft w:val="0"/>
      <w:marRight w:val="0"/>
      <w:marTop w:val="0"/>
      <w:marBottom w:val="0"/>
      <w:divBdr>
        <w:top w:val="none" w:sz="0" w:space="0" w:color="auto"/>
        <w:left w:val="none" w:sz="0" w:space="0" w:color="auto"/>
        <w:bottom w:val="none" w:sz="0" w:space="0" w:color="auto"/>
        <w:right w:val="none" w:sz="0" w:space="0" w:color="auto"/>
      </w:divBdr>
    </w:div>
    <w:div w:id="1900431726">
      <w:bodyDiv w:val="1"/>
      <w:marLeft w:val="0"/>
      <w:marRight w:val="0"/>
      <w:marTop w:val="0"/>
      <w:marBottom w:val="0"/>
      <w:divBdr>
        <w:top w:val="none" w:sz="0" w:space="0" w:color="auto"/>
        <w:left w:val="none" w:sz="0" w:space="0" w:color="auto"/>
        <w:bottom w:val="none" w:sz="0" w:space="0" w:color="auto"/>
        <w:right w:val="none" w:sz="0" w:space="0" w:color="auto"/>
      </w:divBdr>
    </w:div>
    <w:div w:id="20909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ptfisheries.shinyapps.io/sr-ipt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16C856B046464094687854AC4248F1" ma:contentTypeVersion="5" ma:contentTypeDescription="Create a new document." ma:contentTypeScope="" ma:versionID="340428ebfc5315e137e605c2ed12b588">
  <xsd:schema xmlns:xsd="http://www.w3.org/2001/XMLSchema" xmlns:xs="http://www.w3.org/2001/XMLSchema" xmlns:p="http://schemas.microsoft.com/office/2006/metadata/properties" xmlns:ns2="fe7e0862-69f8-487b-985b-a27c1a079809" targetNamespace="http://schemas.microsoft.com/office/2006/metadata/properties" ma:root="true" ma:fieldsID="3e80911918328ac329d44050dabc1cd9" ns2:_="">
    <xsd:import namespace="fe7e0862-69f8-487b-985b-a27c1a0798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0862-69f8-487b-985b-a27c1a079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EB0091-CE13-4602-90AA-DE9983543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e0862-69f8-487b-985b-a27c1a079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56BEED-2C18-4B0A-B821-994FF64A18DD}">
  <ds:schemaRefs>
    <ds:schemaRef ds:uri="http://schemas.openxmlformats.org/officeDocument/2006/bibliography"/>
  </ds:schemaRefs>
</ds:datastoreItem>
</file>

<file path=customXml/itemProps3.xml><?xml version="1.0" encoding="utf-8"?>
<ds:datastoreItem xmlns:ds="http://schemas.openxmlformats.org/officeDocument/2006/customXml" ds:itemID="{EDFEC2EA-BF41-420D-BF20-35396D13C4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22F712-303E-442D-AB89-F9DB9D8CA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8684</TotalTime>
  <Pages>9</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506</cp:revision>
  <cp:lastPrinted>2024-04-11T14:02:00Z</cp:lastPrinted>
  <dcterms:created xsi:type="dcterms:W3CDTF">2023-08-10T16:38:00Z</dcterms:created>
  <dcterms:modified xsi:type="dcterms:W3CDTF">2025-04-08T17:02:00Z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0x010100E316C856B046464094687854AC4248F1</vt:lpwstr>
  </property>
</Properties>
</file>