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73759820" w:rsidR="007664E3" w:rsidRDefault="00F97286" w:rsidP="00DF55E9">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DF55E9">
        <w:rPr>
          <w:rFonts w:cs="Times New Roman"/>
          <w:sz w:val="24"/>
          <w:szCs w:val="24"/>
        </w:rPr>
        <w:t>July</w:t>
      </w:r>
      <w:r w:rsidR="00F40221">
        <w:rPr>
          <w:rFonts w:cs="Times New Roman"/>
          <w:sz w:val="24"/>
          <w:szCs w:val="24"/>
        </w:rPr>
        <w:t xml:space="preserve"> </w:t>
      </w:r>
      <w:r w:rsidR="00DF55E9">
        <w:rPr>
          <w:rFonts w:cs="Times New Roman"/>
          <w:sz w:val="24"/>
          <w:szCs w:val="24"/>
        </w:rPr>
        <w:t>2</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7BE5C291">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xml:space="preserve">), Timothy Copeland (IDFG), Ethan Crawford (WDFW), Joseph W. </w:t>
      </w:r>
      <w:proofErr w:type="spellStart"/>
      <w:r>
        <w:t>Feldhaus</w:t>
      </w:r>
      <w:proofErr w:type="spellEnd"/>
      <w:r>
        <w:t xml:space="preserve">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2"/>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3"/>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64257233"/>
      <w:r>
        <w:lastRenderedPageBreak/>
        <w:t>BACKGROUND</w:t>
      </w:r>
      <w:bookmarkEnd w:id="0"/>
    </w:p>
    <w:p w14:paraId="65272AE3" w14:textId="00CAC44F"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w:t>
      </w:r>
      <w:r w:rsidR="005D0100">
        <w:rPr>
          <w:rFonts w:cs="Times New Roman"/>
        </w:rPr>
        <w:t>n annual</w:t>
      </w:r>
      <w:r w:rsidR="00227ACE">
        <w:rPr>
          <w:rFonts w:cs="Times New Roman"/>
        </w:rPr>
        <w:t xml:space="preserve">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64257234"/>
      <w:r>
        <w:t>Objectives</w:t>
      </w:r>
      <w:bookmarkEnd w:id="1"/>
    </w:p>
    <w:p w14:paraId="302505B1" w14:textId="31907AB7" w:rsidR="00676EE1" w:rsidRDefault="00676EE1" w:rsidP="00CC1DC7">
      <w:pPr>
        <w:jc w:val="both"/>
      </w:pPr>
      <w:r>
        <w:t xml:space="preserve">Our goal is to provide clarity on research, monitoring, and evaluation (RM&amp;E) objectives and to provide </w:t>
      </w:r>
      <w:r w:rsidR="005D0100">
        <w:t xml:space="preserve">annual </w:t>
      </w:r>
      <w:r>
        <w:t>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7E725670" w14:textId="0A7BBAD7" w:rsidR="005D0100" w:rsidRDefault="005D0100" w:rsidP="00BF7E5F">
      <w:pPr>
        <w:pStyle w:val="ListParagraph"/>
        <w:numPr>
          <w:ilvl w:val="0"/>
          <w:numId w:val="13"/>
        </w:numPr>
        <w:jc w:val="both"/>
      </w:pPr>
      <w:r>
        <w:t>Review of existing site locations to ensure adequate ICTRT population monitoring (regardless of funding source),</w:t>
      </w:r>
    </w:p>
    <w:p w14:paraId="1D9A8332" w14:textId="1E280169" w:rsidR="00312795" w:rsidRDefault="00312795" w:rsidP="00BF7E5F">
      <w:pPr>
        <w:pStyle w:val="ListParagraph"/>
        <w:numPr>
          <w:ilvl w:val="0"/>
          <w:numId w:val="13"/>
        </w:numPr>
        <w:jc w:val="both"/>
      </w:pPr>
      <w:r>
        <w:t>Annual review of funding of O&amp;M for IPTDS currently managed under Project 2018-002-00, and recommend changes in funding, if necessary,</w:t>
      </w:r>
    </w:p>
    <w:p w14:paraId="5166FBC6" w14:textId="20A30DBB" w:rsidR="00C054E0" w:rsidRDefault="006D0294" w:rsidP="00BF7E5F">
      <w:pPr>
        <w:pStyle w:val="ListParagraph"/>
        <w:numPr>
          <w:ilvl w:val="0"/>
          <w:numId w:val="13"/>
        </w:numPr>
        <w:jc w:val="both"/>
      </w:pPr>
      <w:r>
        <w:t>Recommendations for t</w:t>
      </w:r>
      <w:r w:rsidR="00C054E0">
        <w:t>ransferring existing sites</w:t>
      </w:r>
      <w:r>
        <w:t xml:space="preserve">, not funded under </w:t>
      </w:r>
      <w:r w:rsidR="00312795">
        <w:t>2018-002-00</w:t>
      </w:r>
      <w:r>
        <w:t>,</w:t>
      </w:r>
      <w:r w:rsidR="00C054E0">
        <w:t xml:space="preserve"> to the IPTDS O&amp;M Project whose operation support Project objectives,</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49C96E7" w:rsidR="00EE53F2" w:rsidRDefault="00EE53F2" w:rsidP="00991C7A">
      <w:pPr>
        <w:jc w:val="both"/>
      </w:pPr>
      <w:r>
        <w:lastRenderedPageBreak/>
        <w:t>An intended outcome of this process is to create efficiencies in the O&amp;M of IPTDS</w:t>
      </w:r>
      <w:r w:rsidR="00E16D45">
        <w:t xml:space="preserve"> (both within and across all projects)</w:t>
      </w:r>
      <w:r>
        <w:t xml:space="preserve"> while also addressing requisite population monitoring for adult status and trends evaluations. Although recommendations of the 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p>
    <w:p w14:paraId="023F0B4D" w14:textId="7BCD8508" w:rsidR="00D85DD4" w:rsidRDefault="00D85DD4" w:rsidP="00CC1DC7">
      <w:pPr>
        <w:pStyle w:val="Heading1"/>
        <w:jc w:val="both"/>
      </w:pPr>
      <w:bookmarkStart w:id="2" w:name="_Toc164257235"/>
      <w:r>
        <w:t>GENERAL APPROACH</w:t>
      </w:r>
      <w:bookmarkEnd w:id="2"/>
    </w:p>
    <w:p w14:paraId="127D5F94" w14:textId="4DB83BE3" w:rsidR="008E6BA7" w:rsidRDefault="008E6BA7" w:rsidP="00CC1DC7">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3" w:name="_Toc164257236"/>
      <w:r>
        <w:t>Abundance</w:t>
      </w:r>
      <w:bookmarkEnd w:id="3"/>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4" w:name="_Toc164257237"/>
      <w:r>
        <w:t>Productivity</w:t>
      </w:r>
      <w:bookmarkEnd w:id="4"/>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5" w:name="_Toc164257238"/>
      <w:r>
        <w:t>Spatial Structure</w:t>
      </w:r>
      <w:bookmarkEnd w:id="5"/>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6" w:name="_Toc164257239"/>
      <w:r>
        <w:t>Diversity</w:t>
      </w:r>
      <w:bookmarkEnd w:id="6"/>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648072FD"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r w:rsidR="00A60684">
        <w:rPr>
          <w:rFonts w:cs="Times New Roman"/>
        </w:rPr>
        <w:t xml:space="preserve">spatial structure </w:t>
      </w:r>
      <w:r>
        <w:rPr>
          <w:rFonts w:cs="Times New Roman"/>
        </w:rPr>
        <w:t xml:space="preserve">and diversity, indirectly (supported by genetic and age data collected at Lower </w:t>
      </w:r>
      <w:r>
        <w:rPr>
          <w:rFonts w:cs="Times New Roman"/>
        </w:rPr>
        <w:lastRenderedPageBreak/>
        <w:t>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following prioritization framework</w:t>
      </w:r>
      <w:r w:rsidR="004C2978">
        <w:rPr>
          <w:rFonts w:cs="Times New Roman"/>
        </w:rPr>
        <w:t>.</w:t>
      </w:r>
      <w:r w:rsidR="00A01770">
        <w:rPr>
          <w:rFonts w:cs="Times New Roman"/>
        </w:rPr>
        <w:t xml:space="preserve"> Juvenile survival monitoring using IPTDS is currently not considered within the framework.</w:t>
      </w:r>
    </w:p>
    <w:p w14:paraId="70F92BF5" w14:textId="71E4FD05" w:rsidR="00A72EAA" w:rsidRDefault="00A72EAA" w:rsidP="00C054E0">
      <w:pPr>
        <w:pStyle w:val="Heading1"/>
        <w:jc w:val="both"/>
      </w:pPr>
      <w:bookmarkStart w:id="7" w:name="_Toc164257240"/>
      <w:r w:rsidRPr="00F97286">
        <w:t xml:space="preserve">PRIORITIZATION </w:t>
      </w:r>
      <w:r w:rsidR="00393A12">
        <w:t>FRAMEWORK</w:t>
      </w:r>
      <w:bookmarkEnd w:id="7"/>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8" w:name="_Ref163721176"/>
      <w:r w:rsidR="002A39E5">
        <w:rPr>
          <w:rStyle w:val="FootnoteReference"/>
          <w:rFonts w:cs="Times New Roman"/>
        </w:rPr>
        <w:footnoteReference w:id="3"/>
      </w:r>
      <w:bookmarkEnd w:id="8"/>
      <w:r>
        <w:rPr>
          <w:rFonts w:cs="Times New Roman"/>
        </w:rPr>
        <w:t>.</w:t>
      </w:r>
    </w:p>
    <w:p w14:paraId="0CA95FE5" w14:textId="77777777" w:rsidR="006377EF" w:rsidRPr="006377EF" w:rsidRDefault="006377EF" w:rsidP="00C054E0">
      <w:pPr>
        <w:pStyle w:val="ListParagraph"/>
        <w:jc w:val="both"/>
        <w:rPr>
          <w:rFonts w:cs="Times New Roman"/>
        </w:rPr>
      </w:pPr>
    </w:p>
    <w:p w14:paraId="4D21AD54" w14:textId="27ECDC5F"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r>
        <w:rPr>
          <w:rFonts w:cs="Times New Roman"/>
        </w:rPr>
        <w:t>).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60FEB5F"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5903423D"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9" w:name="_Ref136929152"/>
      <w:bookmarkStart w:id="10" w:name="_Ref163715149"/>
      <w:bookmarkStart w:id="11"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9"/>
      <w:bookmarkEnd w:id="10"/>
      <w:bookmarkEnd w:id="11"/>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4"/>
                    <a:stretch>
                      <a:fillRect/>
                    </a:stretch>
                  </pic:blipFill>
                  <pic:spPr>
                    <a:xfrm>
                      <a:off x="0" y="0"/>
                      <a:ext cx="7020127" cy="5503548"/>
                    </a:xfrm>
                    <a:prstGeom prst="rect">
                      <a:avLst/>
                    </a:prstGeom>
                  </pic:spPr>
                </pic:pic>
              </a:graphicData>
            </a:graphic>
          </wp:inline>
        </w:drawing>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1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1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1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09B4D05"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r w:rsidR="00DF55E9" w:rsidRPr="00B10F24">
              <w:rPr>
                <w:rFonts w:cs="Times New Roman"/>
                <w:sz w:val="20"/>
                <w:szCs w:val="20"/>
              </w:rPr>
              <w:t xml:space="preserve">continuously (or near continuously) </w:t>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14"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14"/>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15" w:name="_Toc164257241"/>
      <w:r>
        <w:lastRenderedPageBreak/>
        <w:t>Additional Considerations</w:t>
      </w:r>
      <w:bookmarkEnd w:id="15"/>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16" w:name="_Toc164257242"/>
      <w:r w:rsidRPr="003627F5">
        <w:t>RESULTS</w:t>
      </w:r>
      <w:bookmarkEnd w:id="16"/>
    </w:p>
    <w:p w14:paraId="3DA8CF8A" w14:textId="3F677585" w:rsidR="00C63F85" w:rsidRDefault="00C63F85" w:rsidP="003627F5">
      <w:pPr>
        <w:pStyle w:val="Heading2"/>
      </w:pPr>
      <w:bookmarkStart w:id="17" w:name="_Toc164257243"/>
      <w:r>
        <w:t>Synopsis</w:t>
      </w:r>
      <w:bookmarkEnd w:id="17"/>
    </w:p>
    <w:p w14:paraId="06CF28D6" w14:textId="7DDC1EF1"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 2) existing sites</w:t>
      </w:r>
      <w:r w:rsidR="00B1481F" w:rsidRPr="006067D6">
        <w:rPr>
          <w:rFonts w:cs="Times New Roman"/>
        </w:rPr>
        <w:t>, currently under another project,</w:t>
      </w:r>
      <w:r w:rsidRPr="006067D6">
        <w:rPr>
          <w:rFonts w:cs="Times New Roman"/>
        </w:rPr>
        <w:t xml:space="preserve"> recommended for funding under the IPTDS O&amp;M project, 3) proposed new sites, or 4) candidates for decommissioning, removal, or transfer from the IPTDS O&amp;M project</w:t>
      </w:r>
      <w:r w:rsidR="00B1481F" w:rsidRPr="006067D6">
        <w:rPr>
          <w:rFonts w:cs="Times New Roman"/>
        </w:rPr>
        <w:t xml:space="preserve"> to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project, existing sites to transfer to the project,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16" w:history="1">
        <w:r w:rsidR="005367B7" w:rsidRPr="006067D6">
          <w:rPr>
            <w:rStyle w:val="Hyperlink"/>
            <w:rFonts w:cs="Times New Roman"/>
          </w:rPr>
          <w:t>interactive leaflet map</w:t>
        </w:r>
      </w:hyperlink>
      <w:r w:rsidR="005367B7" w:rsidRPr="006067D6">
        <w:rPr>
          <w:rFonts w:cs="Times New Roman"/>
        </w:rPr>
        <w:t xml:space="preserve"> has also been created to view IPTDS across the Snake River basin, which includes a layer to summarize recommendations.</w:t>
      </w:r>
    </w:p>
    <w:p w14:paraId="0F7D18B7" w14:textId="77777777" w:rsidR="00F67062" w:rsidRPr="006067D6" w:rsidRDefault="00F67062" w:rsidP="009D1563">
      <w:pPr>
        <w:jc w:val="both"/>
        <w:rPr>
          <w:rFonts w:cs="Times New Roman"/>
        </w:rPr>
      </w:pPr>
      <w:bookmarkStart w:id="18" w:name="_Hlk164340094"/>
    </w:p>
    <w:p w14:paraId="604A747A" w14:textId="579DAB05" w:rsidR="00B96B7C" w:rsidRPr="006067D6" w:rsidRDefault="00B96B7C" w:rsidP="004E196B">
      <w:pPr>
        <w:pStyle w:val="Caption"/>
        <w:jc w:val="center"/>
        <w:rPr>
          <w:rFonts w:cs="Times New Roman"/>
        </w:rPr>
      </w:pPr>
      <w:bookmarkStart w:id="19" w:name="_Ref163737141"/>
      <w:bookmarkStart w:id="20" w:name="_Hlk167865174"/>
      <w:r w:rsidRPr="006067D6">
        <w:rPr>
          <w:b/>
          <w:bCs/>
        </w:rPr>
        <w:t xml:space="preserve">Table </w:t>
      </w:r>
      <w:r w:rsidRPr="006067D6">
        <w:rPr>
          <w:b/>
          <w:bCs/>
        </w:rPr>
        <w:fldChar w:fldCharType="begin"/>
      </w:r>
      <w:r w:rsidRPr="006067D6">
        <w:rPr>
          <w:b/>
          <w:bCs/>
        </w:rPr>
        <w:instrText xml:space="preserve"> SEQ Table \* ARABIC </w:instrText>
      </w:r>
      <w:r w:rsidRPr="006067D6">
        <w:rPr>
          <w:b/>
          <w:bCs/>
        </w:rPr>
        <w:fldChar w:fldCharType="separate"/>
      </w:r>
      <w:r w:rsidRPr="006067D6">
        <w:rPr>
          <w:b/>
          <w:bCs/>
          <w:noProof/>
        </w:rPr>
        <w:t>3</w:t>
      </w:r>
      <w:r w:rsidRPr="006067D6">
        <w:rPr>
          <w:b/>
          <w:bCs/>
        </w:rPr>
        <w:fldChar w:fldCharType="end"/>
      </w:r>
      <w:bookmarkEnd w:id="19"/>
      <w:r w:rsidRPr="006067D6">
        <w:rPr>
          <w:b/>
          <w:bCs/>
        </w:rPr>
        <w:t>.</w:t>
      </w:r>
      <w:r w:rsidR="004E196B" w:rsidRPr="006067D6">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6067D6"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6067D6" w:rsidRDefault="00B96B7C" w:rsidP="00B96B7C">
            <w:pPr>
              <w:jc w:val="center"/>
              <w:rPr>
                <w:rFonts w:cs="Times New Roman"/>
                <w:b/>
                <w:bCs/>
              </w:rPr>
            </w:pPr>
            <w:r w:rsidRPr="006067D6">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6067D6" w:rsidRDefault="00B96B7C" w:rsidP="00B96B7C">
            <w:pPr>
              <w:jc w:val="center"/>
              <w:rPr>
                <w:rFonts w:cs="Times New Roman"/>
                <w:b/>
                <w:bCs/>
              </w:rPr>
            </w:pPr>
            <w:r w:rsidRPr="006067D6">
              <w:rPr>
                <w:rFonts w:cs="Times New Roman"/>
                <w:b/>
                <w:bCs/>
              </w:rPr>
              <w:t>Number of Sites</w:t>
            </w:r>
          </w:p>
        </w:tc>
      </w:tr>
      <w:tr w:rsidR="00B96B7C" w:rsidRPr="006067D6" w14:paraId="0EA9F26D" w14:textId="77777777" w:rsidTr="00B96B7C">
        <w:trPr>
          <w:jc w:val="center"/>
        </w:trPr>
        <w:tc>
          <w:tcPr>
            <w:tcW w:w="6385" w:type="dxa"/>
            <w:tcBorders>
              <w:top w:val="single" w:sz="4" w:space="0" w:color="auto"/>
            </w:tcBorders>
            <w:vAlign w:val="center"/>
          </w:tcPr>
          <w:p w14:paraId="2FBFD0AF" w14:textId="597B0779" w:rsidR="00B96B7C" w:rsidRPr="006067D6" w:rsidRDefault="00B96B7C" w:rsidP="00B96B7C">
            <w:pPr>
              <w:jc w:val="right"/>
              <w:rPr>
                <w:rFonts w:cs="Times New Roman"/>
              </w:rPr>
            </w:pPr>
            <w:r w:rsidRPr="006067D6">
              <w:rPr>
                <w:rFonts w:cs="Times New Roman"/>
              </w:rPr>
              <w:t>IPTDS Currently Funder Under Project:</w:t>
            </w:r>
          </w:p>
        </w:tc>
        <w:tc>
          <w:tcPr>
            <w:tcW w:w="1895" w:type="dxa"/>
            <w:tcBorders>
              <w:top w:val="single" w:sz="4" w:space="0" w:color="auto"/>
            </w:tcBorders>
            <w:vAlign w:val="center"/>
          </w:tcPr>
          <w:p w14:paraId="6CB59F37" w14:textId="5C5EDDDC" w:rsidR="00B96B7C" w:rsidRPr="006067D6" w:rsidRDefault="00B96B7C" w:rsidP="00B96B7C">
            <w:pPr>
              <w:jc w:val="center"/>
              <w:rPr>
                <w:rFonts w:cs="Times New Roman"/>
              </w:rPr>
            </w:pPr>
            <w:r w:rsidRPr="006067D6">
              <w:rPr>
                <w:rFonts w:cs="Times New Roman"/>
              </w:rPr>
              <w:t>32</w:t>
            </w:r>
          </w:p>
        </w:tc>
      </w:tr>
      <w:tr w:rsidR="00B96B7C" w:rsidRPr="006067D6" w14:paraId="0FB3C64F" w14:textId="77777777" w:rsidTr="00B96B7C">
        <w:trPr>
          <w:jc w:val="center"/>
        </w:trPr>
        <w:tc>
          <w:tcPr>
            <w:tcW w:w="6385" w:type="dxa"/>
            <w:vAlign w:val="center"/>
          </w:tcPr>
          <w:p w14:paraId="59739C21" w14:textId="746259CE" w:rsidR="00B96B7C" w:rsidRPr="006067D6" w:rsidRDefault="00B96B7C" w:rsidP="00B96B7C">
            <w:pPr>
              <w:jc w:val="right"/>
              <w:rPr>
                <w:rFonts w:cs="Times New Roman"/>
              </w:rPr>
            </w:pPr>
            <w:r w:rsidRPr="006067D6">
              <w:rPr>
                <w:rFonts w:cs="Times New Roman"/>
              </w:rPr>
              <w:t>Candidates for Decommissioning, Removal, or Transfer from Project:</w:t>
            </w:r>
          </w:p>
        </w:tc>
        <w:tc>
          <w:tcPr>
            <w:tcW w:w="1895" w:type="dxa"/>
            <w:vAlign w:val="center"/>
          </w:tcPr>
          <w:p w14:paraId="43397E6C" w14:textId="729C7173" w:rsidR="00B96B7C" w:rsidRPr="006067D6" w:rsidRDefault="00B96B7C" w:rsidP="00B96B7C">
            <w:pPr>
              <w:jc w:val="center"/>
              <w:rPr>
                <w:rFonts w:cs="Times New Roman"/>
              </w:rPr>
            </w:pPr>
            <w:r w:rsidRPr="006067D6">
              <w:rPr>
                <w:rFonts w:cs="Times New Roman"/>
              </w:rPr>
              <w:t>-</w:t>
            </w:r>
            <w:r w:rsidR="006067D6" w:rsidRPr="006067D6">
              <w:rPr>
                <w:rFonts w:cs="Times New Roman"/>
              </w:rPr>
              <w:t>9</w:t>
            </w:r>
          </w:p>
        </w:tc>
      </w:tr>
      <w:tr w:rsidR="00B96B7C" w:rsidRPr="006067D6" w14:paraId="2D3F7740" w14:textId="77777777" w:rsidTr="00B96B7C">
        <w:trPr>
          <w:jc w:val="center"/>
        </w:trPr>
        <w:tc>
          <w:tcPr>
            <w:tcW w:w="6385" w:type="dxa"/>
            <w:vAlign w:val="center"/>
          </w:tcPr>
          <w:p w14:paraId="7ECB8CB4" w14:textId="2A3C06C0" w:rsidR="00B96B7C" w:rsidRPr="006067D6" w:rsidRDefault="00B96B7C" w:rsidP="00B96B7C">
            <w:pPr>
              <w:jc w:val="right"/>
              <w:rPr>
                <w:rFonts w:cs="Times New Roman"/>
              </w:rPr>
            </w:pPr>
            <w:r w:rsidRPr="006067D6">
              <w:rPr>
                <w:rFonts w:cs="Times New Roman"/>
              </w:rPr>
              <w:t>Existing IPTDS Recommended for Funding Under Project:</w:t>
            </w:r>
          </w:p>
        </w:tc>
        <w:tc>
          <w:tcPr>
            <w:tcW w:w="1895" w:type="dxa"/>
            <w:vAlign w:val="center"/>
          </w:tcPr>
          <w:p w14:paraId="61E1C495" w14:textId="3E40660F" w:rsidR="00B96B7C" w:rsidRPr="006067D6" w:rsidRDefault="00E916FB" w:rsidP="00B96B7C">
            <w:pPr>
              <w:jc w:val="center"/>
              <w:rPr>
                <w:rFonts w:cs="Times New Roman"/>
              </w:rPr>
            </w:pPr>
            <w:r w:rsidRPr="006067D6">
              <w:rPr>
                <w:rFonts w:cs="Times New Roman"/>
              </w:rPr>
              <w:t>10</w:t>
            </w:r>
          </w:p>
        </w:tc>
      </w:tr>
      <w:tr w:rsidR="00B96B7C" w:rsidRPr="006067D6" w14:paraId="4504DF1B" w14:textId="77777777" w:rsidTr="00B96B7C">
        <w:trPr>
          <w:jc w:val="center"/>
        </w:trPr>
        <w:tc>
          <w:tcPr>
            <w:tcW w:w="6385" w:type="dxa"/>
            <w:tcBorders>
              <w:bottom w:val="single" w:sz="4" w:space="0" w:color="auto"/>
            </w:tcBorders>
            <w:vAlign w:val="center"/>
          </w:tcPr>
          <w:p w14:paraId="76CE9409" w14:textId="16571F15" w:rsidR="00B96B7C" w:rsidRPr="006067D6" w:rsidRDefault="00B96B7C" w:rsidP="00B96B7C">
            <w:pPr>
              <w:jc w:val="right"/>
              <w:rPr>
                <w:rFonts w:cs="Times New Roman"/>
              </w:rPr>
            </w:pPr>
            <w:r w:rsidRPr="006067D6">
              <w:rPr>
                <w:rFonts w:cs="Times New Roman"/>
              </w:rPr>
              <w:t>New IPTDS Sites Proposed:</w:t>
            </w:r>
          </w:p>
        </w:tc>
        <w:tc>
          <w:tcPr>
            <w:tcW w:w="1895" w:type="dxa"/>
            <w:tcBorders>
              <w:bottom w:val="single" w:sz="4" w:space="0" w:color="auto"/>
            </w:tcBorders>
            <w:vAlign w:val="center"/>
          </w:tcPr>
          <w:p w14:paraId="6E12098A" w14:textId="3C4021CB" w:rsidR="00B96B7C" w:rsidRPr="006067D6" w:rsidRDefault="006067D6" w:rsidP="00B96B7C">
            <w:pPr>
              <w:jc w:val="center"/>
              <w:rPr>
                <w:rFonts w:cs="Times New Roman"/>
              </w:rPr>
            </w:pPr>
            <w:r w:rsidRPr="006067D6">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6067D6" w:rsidRDefault="00B96B7C" w:rsidP="00B96B7C">
            <w:pPr>
              <w:jc w:val="right"/>
              <w:rPr>
                <w:rFonts w:cs="Times New Roman"/>
              </w:rPr>
            </w:pPr>
            <w:r w:rsidRPr="006067D6">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6067D6">
              <w:rPr>
                <w:rFonts w:cs="Times New Roman"/>
              </w:rPr>
              <w:t>3</w:t>
            </w:r>
            <w:r w:rsidR="006067D6" w:rsidRPr="006067D6">
              <w:rPr>
                <w:rFonts w:cs="Times New Roman"/>
              </w:rPr>
              <w:t>7</w:t>
            </w:r>
          </w:p>
        </w:tc>
      </w:tr>
      <w:bookmarkEnd w:id="20"/>
    </w:tbl>
    <w:p w14:paraId="37920A80" w14:textId="77777777" w:rsidR="00B96B7C" w:rsidRDefault="00B96B7C" w:rsidP="009D1563">
      <w:pPr>
        <w:jc w:val="both"/>
        <w:rPr>
          <w:rFonts w:cs="Times New Roman"/>
        </w:rPr>
      </w:pPr>
    </w:p>
    <w:bookmarkEnd w:id="18"/>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21" w:name="_Ref163737213"/>
      <w:bookmarkStart w:id="22" w:name="_Ref163717399"/>
      <w:bookmarkStart w:id="23" w:name="_Ref141944808"/>
      <w:bookmarkStart w:id="24" w:name="_Ref142566021"/>
      <w:r w:rsidR="00485094" w:rsidRPr="00F6540F">
        <w:rPr>
          <w:b/>
          <w:bCs/>
        </w:rPr>
        <w:t xml:space="preserve">Table </w:t>
      </w:r>
      <w:r w:rsidR="00485094" w:rsidRPr="00F6540F">
        <w:rPr>
          <w:b/>
          <w:bCs/>
        </w:rPr>
        <w:fldChar w:fldCharType="begin"/>
      </w:r>
      <w:r w:rsidR="00485094" w:rsidRPr="00F6540F">
        <w:rPr>
          <w:b/>
          <w:bCs/>
        </w:rPr>
        <w:instrText xml:space="preserve"> SEQ Table \* ARABIC </w:instrText>
      </w:r>
      <w:r w:rsidR="00485094" w:rsidRPr="00F6540F">
        <w:rPr>
          <w:b/>
          <w:bCs/>
        </w:rPr>
        <w:fldChar w:fldCharType="separate"/>
      </w:r>
      <w:r w:rsidR="00B96B7C" w:rsidRPr="00F6540F">
        <w:rPr>
          <w:b/>
          <w:bCs/>
          <w:noProof/>
        </w:rPr>
        <w:t>4</w:t>
      </w:r>
      <w:r w:rsidR="00485094" w:rsidRPr="00F6540F">
        <w:rPr>
          <w:b/>
          <w:bCs/>
        </w:rPr>
        <w:fldChar w:fldCharType="end"/>
      </w:r>
      <w:bookmarkEnd w:id="21"/>
      <w:r w:rsidR="00485094" w:rsidRPr="00F6540F">
        <w:t>. Summary of recommendation for IPTDS in the Snake River basin</w:t>
      </w:r>
      <w:r w:rsidR="004E196B" w:rsidRPr="00F6540F">
        <w:t xml:space="preserve"> for each site currently funded under the Integrated IPTDS O&amp;M project, proposed for transfer under the project, or for locations where IPTDS are proposed</w:t>
      </w:r>
      <w:r w:rsidR="00485094" w:rsidRPr="00F6540F">
        <w:t>.</w:t>
      </w:r>
      <w:bookmarkEnd w:id="22"/>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r w:rsidR="00E916FB" w:rsidRPr="000A18C8">
              <w:rPr>
                <w:rFonts w:cs="Times New Roman"/>
                <w:i w:val="0"/>
                <w:iCs w:val="0"/>
                <w:color w:val="000000"/>
                <w:szCs w:val="20"/>
              </w:rPr>
              <w:t>.</w:t>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r w:rsidR="00E916FB" w:rsidRPr="000A18C8">
              <w:rPr>
                <w:rFonts w:cs="Times New Roman"/>
                <w:i w:val="0"/>
                <w:iCs w:val="0"/>
                <w:color w:val="000000"/>
                <w:szCs w:val="20"/>
              </w:rPr>
              <w:t>.</w:t>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79EC5CA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r w:rsidR="00E916FB" w:rsidRPr="003031D2">
              <w:rPr>
                <w:rFonts w:cs="Times New Roman"/>
                <w:i w:val="0"/>
                <w:iCs w:val="0"/>
                <w:color w:val="000000"/>
                <w:szCs w:val="20"/>
              </w:rPr>
              <w:t>remove</w:t>
            </w:r>
            <w:r w:rsidR="00E916FB">
              <w:rPr>
                <w:rFonts w:cs="Times New Roman"/>
                <w:i w:val="0"/>
                <w:iCs w:val="0"/>
                <w:color w:val="000000"/>
                <w:szCs w:val="20"/>
              </w:rPr>
              <w:t>,</w:t>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LLR could be considered for consolidation to</w:t>
            </w:r>
            <w:r w:rsidR="0013787E">
              <w:rPr>
                <w:rFonts w:cs="Times New Roman"/>
                <w:i w:val="0"/>
                <w:iCs w:val="0"/>
                <w:color w:val="000000"/>
                <w:szCs w:val="20"/>
              </w:rPr>
              <w:t xml:space="preserve"> a</w:t>
            </w:r>
            <w:r w:rsidRPr="000B78CF">
              <w:rPr>
                <w:rFonts w:cs="Times New Roman"/>
                <w:i w:val="0"/>
                <w:iCs w:val="0"/>
                <w:color w:val="000000"/>
                <w:szCs w:val="20"/>
              </w:rPr>
              <w:t xml:space="preserve"> </w:t>
            </w:r>
            <w:r w:rsidR="00E916FB" w:rsidRPr="000B78CF">
              <w:rPr>
                <w:rFonts w:cs="Times New Roman"/>
                <w:i w:val="0"/>
                <w:iCs w:val="0"/>
                <w:color w:val="000000"/>
                <w:szCs w:val="20"/>
              </w:rPr>
              <w:t>single-pass array</w:t>
            </w:r>
            <w:r w:rsidR="0013787E">
              <w:rPr>
                <w:rFonts w:cs="Times New Roman"/>
                <w:i w:val="0"/>
                <w:iCs w:val="0"/>
                <w:color w:val="000000"/>
                <w:szCs w:val="20"/>
              </w:rPr>
              <w:t>, especially if upgraded to a IS1001 MC.</w:t>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655323D9" w:rsidR="00CB7223" w:rsidRPr="003031D2" w:rsidRDefault="0018266E"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7570D55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0A18C8">
              <w:rPr>
                <w:rFonts w:cs="Times New Roman"/>
                <w:i w:val="0"/>
                <w:iCs w:val="0"/>
                <w:color w:val="000000"/>
                <w:szCs w:val="20"/>
              </w:rPr>
              <w:lastRenderedPageBreak/>
              <w:t xml:space="preserve">include upper Chamberlain Creek (near the airstrip), or in one of the five 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r w:rsidR="00E916FB" w:rsidRPr="000A18C8">
              <w:rPr>
                <w:rFonts w:cs="Times New Roman"/>
                <w:i w:val="0"/>
                <w:iCs w:val="0"/>
                <w:color w:val="000000"/>
                <w:szCs w:val="20"/>
              </w:rPr>
              <w:t>).</w:t>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312392B8" w:rsidR="000A18C8" w:rsidRPr="003031D2"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3031D2"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KRS, ESS, and ZEN combined cover all major spawning areas for both species.</w:t>
            </w:r>
          </w:p>
        </w:tc>
      </w:tr>
      <w:tr w:rsidR="009962B7"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9962B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be in the lower Little Salmon River. Secondary options include Slate or </w:t>
            </w:r>
            <w:proofErr w:type="spellStart"/>
            <w:r w:rsidRPr="000A18C8">
              <w:rPr>
                <w:rFonts w:cs="Times New Roman"/>
                <w:i w:val="0"/>
                <w:iCs w:val="0"/>
                <w:color w:val="000000"/>
                <w:szCs w:val="20"/>
              </w:rPr>
              <w:t>Whitebird</w:t>
            </w:r>
            <w:proofErr w:type="spellEnd"/>
            <w:r w:rsidRPr="000A18C8">
              <w:rPr>
                <w:rFonts w:cs="Times New Roman"/>
                <w:i w:val="0"/>
                <w:iCs w:val="0"/>
                <w:color w:val="000000"/>
                <w:szCs w:val="20"/>
              </w:rPr>
              <w:t xml:space="preserve"> </w:t>
            </w:r>
            <w:r>
              <w:rPr>
                <w:rFonts w:cs="Times New Roman"/>
                <w:i w:val="0"/>
                <w:iCs w:val="0"/>
                <w:color w:val="000000"/>
                <w:szCs w:val="20"/>
              </w:rPr>
              <w:t>c</w:t>
            </w:r>
            <w:r w:rsidRPr="000A18C8">
              <w:rPr>
                <w:rFonts w:cs="Times New Roman"/>
                <w:i w:val="0"/>
                <w:iCs w:val="0"/>
                <w:color w:val="000000"/>
                <w:szCs w:val="20"/>
              </w:rPr>
              <w:t>reek</w:t>
            </w:r>
            <w:r>
              <w:rPr>
                <w:rFonts w:cs="Times New Roman"/>
                <w:i w:val="0"/>
                <w:iCs w:val="0"/>
                <w:color w:val="000000"/>
                <w:szCs w:val="20"/>
              </w:rPr>
              <w:t>s</w:t>
            </w:r>
            <w:r w:rsidRPr="000A18C8">
              <w:rPr>
                <w:rFonts w:cs="Times New Roman"/>
                <w:i w:val="0"/>
                <w:iCs w:val="0"/>
                <w:color w:val="000000"/>
                <w:szCs w:val="20"/>
              </w:rPr>
              <w:t>.</w:t>
            </w:r>
          </w:p>
        </w:tc>
      </w:tr>
      <w:tr w:rsidR="009962B7"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9962B7"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Pr>
                <w:rFonts w:cs="Times New Roman"/>
                <w:i w:val="0"/>
                <w:iCs w:val="0"/>
                <w:color w:val="000000"/>
                <w:szCs w:val="20"/>
              </w:rPr>
              <w:t xml:space="preserve"> If feasible, SW2 could be moved to the end of the Selway Road which would allow parsing of the SEMOO and SEUMA populations from SEMEA.</w:t>
            </w:r>
          </w:p>
        </w:tc>
      </w:tr>
      <w:tr w:rsidR="009962B7"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9962B7"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4C33A33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Recommended to move </w:t>
            </w:r>
            <w:r>
              <w:rPr>
                <w:rFonts w:cs="Times New Roman"/>
                <w:i w:val="0"/>
                <w:iCs w:val="0"/>
                <w:color w:val="000000"/>
                <w:szCs w:val="20"/>
              </w:rPr>
              <w:t xml:space="preserve">SC1 or </w:t>
            </w:r>
            <w:r w:rsidRPr="000A18C8">
              <w:rPr>
                <w:rFonts w:cs="Times New Roman"/>
                <w:i w:val="0"/>
                <w:iCs w:val="0"/>
                <w:color w:val="000000"/>
                <w:szCs w:val="20"/>
              </w:rPr>
              <w:t xml:space="preserve">SC2 to the lower boundary of the CRSFC-s population, where Hwy 13 crosses the South Fork Clearwater River. </w:t>
            </w:r>
            <w:r>
              <w:rPr>
                <w:rFonts w:cs="Times New Roman"/>
                <w:i w:val="0"/>
                <w:iCs w:val="0"/>
                <w:color w:val="000000"/>
                <w:szCs w:val="20"/>
              </w:rPr>
              <w:t xml:space="preserve">The new </w:t>
            </w:r>
            <w:r w:rsidRPr="000A18C8">
              <w:rPr>
                <w:rFonts w:cs="Times New Roman"/>
                <w:i w:val="0"/>
                <w:iCs w:val="0"/>
                <w:color w:val="000000"/>
                <w:szCs w:val="20"/>
              </w:rPr>
              <w:t>location could</w:t>
            </w:r>
            <w:r>
              <w:rPr>
                <w:rFonts w:cs="Times New Roman"/>
                <w:i w:val="0"/>
                <w:iCs w:val="0"/>
                <w:color w:val="000000"/>
                <w:szCs w:val="20"/>
              </w:rPr>
              <w:t xml:space="preserve"> then</w:t>
            </w:r>
            <w:r w:rsidRPr="000A18C8">
              <w:rPr>
                <w:rFonts w:cs="Times New Roman"/>
                <w:i w:val="0"/>
                <w:iCs w:val="0"/>
                <w:color w:val="000000"/>
                <w:szCs w:val="20"/>
              </w:rPr>
              <w:t xml:space="preserve"> be a two-pass configuration (with sufficient distance between arrays), or </w:t>
            </w:r>
            <w:r>
              <w:rPr>
                <w:rFonts w:cs="Times New Roman"/>
                <w:i w:val="0"/>
                <w:iCs w:val="0"/>
                <w:color w:val="000000"/>
                <w:szCs w:val="20"/>
              </w:rPr>
              <w:t xml:space="preserve">alternately, </w:t>
            </w:r>
            <w:r w:rsidRPr="000A18C8">
              <w:rPr>
                <w:rFonts w:cs="Times New Roman"/>
                <w:i w:val="0"/>
                <w:iCs w:val="0"/>
                <w:color w:val="000000"/>
                <w:szCs w:val="20"/>
              </w:rPr>
              <w:t>one additional site upstream (SC3, SC4, or CRA) should be operated to allow an estimate of detection probability</w:t>
            </w:r>
            <w:r>
              <w:rPr>
                <w:rFonts w:cs="Times New Roman"/>
                <w:i w:val="0"/>
                <w:iCs w:val="0"/>
                <w:color w:val="000000"/>
                <w:szCs w:val="20"/>
              </w:rPr>
              <w:t xml:space="preserve"> for the new site</w:t>
            </w:r>
            <w:r w:rsidRPr="000A18C8">
              <w:rPr>
                <w:rFonts w:cs="Times New Roman"/>
                <w:i w:val="0"/>
                <w:iCs w:val="0"/>
                <w:color w:val="000000"/>
                <w:szCs w:val="20"/>
              </w:rPr>
              <w:t>. In spawn years 2022 and 2023, CRA only detected one steelhead in each year, and so SC3 or SC4 would be preferred for funding under the project.</w:t>
            </w:r>
          </w:p>
        </w:tc>
      </w:tr>
      <w:tr w:rsidR="009962B7"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9962B7"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9962B7"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9962B7"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9962B7"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9962B7"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9962B7"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8046596"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w:t>
            </w:r>
            <w:r>
              <w:rPr>
                <w:rFonts w:cs="Times New Roman"/>
                <w:i w:val="0"/>
                <w:iCs w:val="0"/>
                <w:color w:val="000000"/>
                <w:szCs w:val="20"/>
              </w:rPr>
              <w:t>ring</w:t>
            </w:r>
            <w:r w:rsidRPr="000A18C8">
              <w:rPr>
                <w:rFonts w:cs="Times New Roman"/>
                <w:i w:val="0"/>
                <w:iCs w:val="0"/>
                <w:color w:val="000000"/>
                <w:szCs w:val="20"/>
              </w:rPr>
              <w:t>/sum</w:t>
            </w:r>
            <w:r>
              <w:rPr>
                <w:rFonts w:cs="Times New Roman"/>
                <w:i w:val="0"/>
                <w:iCs w:val="0"/>
                <w:color w:val="000000"/>
                <w:szCs w:val="20"/>
              </w:rPr>
              <w:t>mer</w:t>
            </w:r>
            <w:r w:rsidRPr="000A18C8">
              <w:rPr>
                <w:rFonts w:cs="Times New Roman"/>
                <w:i w:val="0"/>
                <w:iCs w:val="0"/>
                <w:color w:val="000000"/>
                <w:szCs w:val="20"/>
              </w:rPr>
              <w:t xml:space="preserve">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3031D2"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9962B7"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A835E8" w:rsidRDefault="009962B7" w:rsidP="009962B7">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9962B7"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9962B7" w:rsidRPr="003031D2" w:rsidRDefault="009962B7" w:rsidP="009962B7">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bookmarkEnd w:id="23"/>
      <w:bookmarkEnd w:id="24"/>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25" w:name="_Toc164257244"/>
      <w:r>
        <w:lastRenderedPageBreak/>
        <w:t>DISCUSSION</w:t>
      </w:r>
      <w:bookmarkEnd w:id="25"/>
    </w:p>
    <w:p w14:paraId="5F5B46BA" w14:textId="28F4467F" w:rsidR="00932FD0" w:rsidRDefault="00932FD0" w:rsidP="007F2654">
      <w:pPr>
        <w:jc w:val="both"/>
      </w:pPr>
      <w:r>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proofErr w:type="gramStart"/>
      <w:r w:rsidR="00152DBB">
        <w:t>take into account</w:t>
      </w:r>
      <w:proofErr w:type="gramEnd"/>
      <w:r w:rsidR="00152DBB">
        <w:t xml:space="preserve"> feasibility, costs, etc.</w:t>
      </w:r>
    </w:p>
    <w:p w14:paraId="19E35E63" w14:textId="3F91AA57" w:rsidR="007F2654" w:rsidRDefault="00152DBB" w:rsidP="008A05FA">
      <w:pPr>
        <w:jc w:val="both"/>
      </w:pPr>
      <w:r>
        <w:t xml:space="preserve">In some cases, an estimate of abundance at a site funded by the Integrated IPTDS O&amp;M project, or recommended for funding under the project, is reliant on detections at sites upstream not funded by the project. For example, an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Pr>
          <w:rFonts w:cs="Times New Roman"/>
        </w:rPr>
        <w:t>consideration for future funding under the Integrated O&amp;M project.</w:t>
      </w:r>
    </w:p>
    <w:p w14:paraId="75CC4C90" w14:textId="1556D12D" w:rsidR="00152DBB" w:rsidRDefault="009734AF" w:rsidP="008A05FA">
      <w:pPr>
        <w:jc w:val="both"/>
      </w:pPr>
      <w:r>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Pr>
          <w:rFonts w:cs="Times New Roman"/>
        </w:rPr>
        <w:t>.</w:t>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r w:rsidR="00E0415B" w:rsidRPr="00160896">
        <w:t>.</w:t>
      </w:r>
      <w:r>
        <w:rPr>
          <w:rFonts w:cs="Times New Roman"/>
        </w:rPr>
        <w:t xml:space="preserve"> </w:t>
      </w:r>
    </w:p>
    <w:p w14:paraId="3C1AF21F" w14:textId="21A7573A"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 “near minimum” 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w:t>
      </w:r>
      <w:r w:rsidR="000D5CCC">
        <w:rPr>
          <w:rFonts w:cs="Times New Roman"/>
        </w:rPr>
        <w:lastRenderedPageBreak/>
        <w:t xml:space="preserve">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E54F28">
        <w:rPr>
          <w:rFonts w:cs="Times New Roman"/>
        </w:rPr>
        <w:t xml:space="preserve"> juvenile survival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5C854099" w:rsidR="00E76B0B" w:rsidRDefault="00160896" w:rsidP="00D77EA9">
      <w:pPr>
        <w:pStyle w:val="Heading2"/>
      </w:pPr>
      <w:bookmarkStart w:id="26" w:name="_Toc164257245"/>
      <w:r>
        <w:t>Next Steps</w:t>
      </w:r>
      <w:bookmarkEnd w:id="26"/>
    </w:p>
    <w:p w14:paraId="0209E9EB" w14:textId="37D51067" w:rsidR="00D73CCE" w:rsidRDefault="00D73CCE" w:rsidP="00D73CCE">
      <w:pPr>
        <w:jc w:val="both"/>
      </w:pPr>
      <w:r>
        <w:t xml:space="preserve">Our recommendations include </w:t>
      </w:r>
      <w:r w:rsidR="00054004" w:rsidRPr="00054004">
        <w:t>four</w:t>
      </w:r>
      <w:r w:rsidRPr="00054004">
        <w:t xml:space="preserve"> </w:t>
      </w:r>
      <w:r w:rsidR="00B76790" w:rsidRPr="00054004">
        <w:t>new</w:t>
      </w:r>
      <w:r w:rsidRPr="00054004">
        <w:t xml:space="preserve"> proposed sites</w:t>
      </w:r>
      <w:r>
        <w:t xml:space="preserve">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w:t>
      </w:r>
      <w:r w:rsidR="00864C6A">
        <w:t>s</w:t>
      </w:r>
      <w:r w:rsidR="00EB64F6">
        <w:t xml:space="preserve">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27" w:name="_Toc164257246"/>
      <w:r>
        <w:t>Conclusions</w:t>
      </w:r>
      <w:bookmarkEnd w:id="27"/>
    </w:p>
    <w:p w14:paraId="4F08FC21" w14:textId="03E9EE71"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t>
      </w:r>
      <w:r w:rsidRPr="00052E47">
        <w:t xml:space="preserve">We recommend the IPTDS O&amp;M project decommission, remove, or transfer </w:t>
      </w:r>
      <w:r w:rsidR="00054004" w:rsidRPr="00052E47">
        <w:t>9</w:t>
      </w:r>
      <w:r w:rsidRPr="00052E47">
        <w:t xml:space="preserve"> of its currently funded 32 sites, transfer 10 sites (funded under other projects), and add </w:t>
      </w:r>
      <w:r w:rsidR="00054004" w:rsidRPr="00052E47">
        <w:t>four</w:t>
      </w:r>
      <w:r w:rsidRPr="00052E47">
        <w:t xml:space="preserve"> additional sites (currently not funded), for a total of 3</w:t>
      </w:r>
      <w:r w:rsidR="00054004" w:rsidRPr="00052E47">
        <w:t>7</w:t>
      </w:r>
      <w:r w:rsidRPr="00052E47">
        <w:t xml:space="preserve"> total IPTDS. These recommendations should achieve a cost-savings among all IPTDS-funded projects by placing the 3</w:t>
      </w:r>
      <w:r w:rsidR="00052E47" w:rsidRPr="00052E47">
        <w:t>7</w:t>
      </w:r>
      <w:r w:rsidRPr="00052E47">
        <w:t xml:space="preserve"> required IPTDS under a single “umbrella”.</w:t>
      </w:r>
      <w:r>
        <w:t xml:space="preserve">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28" w:name="_Toc164257247"/>
      <w:r>
        <w:lastRenderedPageBreak/>
        <w:t>LITERATURE CITED</w:t>
      </w:r>
      <w:bookmarkEnd w:id="28"/>
    </w:p>
    <w:p w14:paraId="69CD9488" w14:textId="377DA7C6" w:rsidR="00521132" w:rsidRDefault="00521132" w:rsidP="00A14C61">
      <w:pPr>
        <w:ind w:left="360" w:hanging="360"/>
        <w:jc w:val="both"/>
        <w:rPr>
          <w:rFonts w:cs="Times New Roman"/>
        </w:rPr>
      </w:pPr>
      <w:r>
        <w:rPr>
          <w:rFonts w:cs="Times New Roman"/>
        </w:rPr>
        <w:t xml:space="preserve">Ackerman, M.W., B.K. Hand, R.K. </w:t>
      </w:r>
      <w:proofErr w:type="spellStart"/>
      <w:r>
        <w:rPr>
          <w:rFonts w:cs="Times New Roman"/>
        </w:rPr>
        <w:t>Waples</w:t>
      </w:r>
      <w:proofErr w:type="spellEnd"/>
      <w:r>
        <w:rPr>
          <w:rFonts w:cs="Times New Roman"/>
        </w:rPr>
        <w:t xml:space="preserve">, G. </w:t>
      </w:r>
      <w:proofErr w:type="spellStart"/>
      <w:r>
        <w:rPr>
          <w:rFonts w:cs="Times New Roman"/>
        </w:rPr>
        <w:t>Luikart</w:t>
      </w:r>
      <w:proofErr w:type="spellEnd"/>
      <w:r>
        <w:rPr>
          <w:rFonts w:cs="Times New Roman"/>
        </w:rPr>
        <w:t xml:space="preserve">, R.S. </w:t>
      </w:r>
      <w:proofErr w:type="spellStart"/>
      <w:r>
        <w:rPr>
          <w:rFonts w:cs="Times New Roman"/>
        </w:rPr>
        <w:t>Waples</w:t>
      </w:r>
      <w:proofErr w:type="spellEnd"/>
      <w:r>
        <w:rPr>
          <w:rFonts w:cs="Times New Roman"/>
        </w:rPr>
        <w:t xml:space="preserve">,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29" w:name="_Ref164257071"/>
      <w:bookmarkStart w:id="30" w:name="_Toc164257248"/>
      <w:bookmarkStart w:id="31" w:name="_Ref163140252"/>
      <w:r>
        <w:lastRenderedPageBreak/>
        <w:t>APPENDIX A. IPTDS Considerations by Species, MPG, and Population</w:t>
      </w:r>
      <w:bookmarkEnd w:id="29"/>
      <w:bookmarkEnd w:id="30"/>
    </w:p>
    <w:p w14:paraId="5D52E839" w14:textId="77777777" w:rsidR="00F67062" w:rsidRDefault="00F67062" w:rsidP="00F67062"/>
    <w:p w14:paraId="1E4EFCE4" w14:textId="77784DF0" w:rsidR="00F67062" w:rsidRDefault="00F67062" w:rsidP="00F67062">
      <w:pPr>
        <w:pStyle w:val="Heading2"/>
      </w:pPr>
      <w:bookmarkStart w:id="32" w:name="_Toc164257249"/>
      <w:r>
        <w:t>Snake River Basin Steelhead DPS</w:t>
      </w:r>
      <w:bookmarkEnd w:id="32"/>
    </w:p>
    <w:p w14:paraId="574874DE" w14:textId="77777777" w:rsidR="00F67062" w:rsidRDefault="00F67062" w:rsidP="00F67062">
      <w:pPr>
        <w:pStyle w:val="Heading3"/>
      </w:pPr>
      <w:bookmarkStart w:id="33" w:name="_Toc164257250"/>
      <w:r w:rsidRPr="00887F08">
        <w:t>Salmon River MPG</w:t>
      </w:r>
      <w:bookmarkEnd w:id="33"/>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w:t>
      </w:r>
      <w:proofErr w:type="spellStart"/>
      <w:r>
        <w:t>Pahsimeroi</w:t>
      </w:r>
      <w:proofErr w:type="spellEnd"/>
      <w:r>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t>Pahsimeroi</w:t>
      </w:r>
      <w:proofErr w:type="spellEnd"/>
      <w:r>
        <w:t xml:space="preserve">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34"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34"/>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35"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r w:rsidR="00160896">
              <w:rPr>
                <w:rFonts w:cs="Times New Roman"/>
                <w:sz w:val="20"/>
                <w:szCs w:val="20"/>
              </w:rPr>
              <w:t>.</w:t>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085CFE0C"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w:t>
            </w:r>
            <w:r w:rsidR="00F67062">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xml:space="preserve">, could be considered for a minor spawning area (Sabe, </w:t>
            </w:r>
            <w:proofErr w:type="spellStart"/>
            <w:r>
              <w:rPr>
                <w:rFonts w:cs="Times New Roman"/>
                <w:sz w:val="20"/>
                <w:szCs w:val="20"/>
              </w:rPr>
              <w:t>Bargamin</w:t>
            </w:r>
            <w:proofErr w:type="spellEnd"/>
            <w:r>
              <w:rPr>
                <w:rFonts w:cs="Times New Roman"/>
                <w:sz w:val="20"/>
                <w:szCs w:val="20"/>
              </w:rPr>
              <w:t>,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36"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1B2A394A"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life-cycle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37" w:name="_Hlk163476297"/>
            <w:r>
              <w:rPr>
                <w:rFonts w:cs="Times New Roman"/>
                <w:sz w:val="20"/>
                <w:szCs w:val="20"/>
              </w:rPr>
              <w:t>Continue funding KRS and ESS.</w:t>
            </w:r>
            <w:bookmarkEnd w:id="37"/>
          </w:p>
        </w:tc>
      </w:tr>
      <w:bookmarkEnd w:id="36"/>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35"/>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38" w:name="_Toc164257251"/>
      <w:r>
        <w:t>Clearwater</w:t>
      </w:r>
      <w:r w:rsidRPr="00887F08">
        <w:t xml:space="preserve"> River MPG</w:t>
      </w:r>
      <w:bookmarkEnd w:id="38"/>
    </w:p>
    <w:p w14:paraId="6BB8344E" w14:textId="77777777" w:rsidR="00F67062" w:rsidRDefault="00F67062" w:rsidP="00F67062">
      <w:pPr>
        <w:jc w:val="both"/>
      </w:pPr>
      <w:bookmarkStart w:id="39"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178CEE2"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p>
    <w:p w14:paraId="7897E266" w14:textId="62A32B51" w:rsidR="00F67062" w:rsidRDefault="00F67062" w:rsidP="00F67062">
      <w:pPr>
        <w:jc w:val="both"/>
      </w:pPr>
      <w:r>
        <w:lastRenderedPageBreak/>
        <w:t xml:space="preserve">Additionally, a site within the CRLMA-s population should be considered to ensure low-precision monitoring in the population. Existing sites within the CRLMA-s population to consider include </w:t>
      </w:r>
      <w:r w:rsidR="00160896">
        <w:t>JUL (Potlatch River), LAP (</w:t>
      </w:r>
      <w:proofErr w:type="spellStart"/>
      <w:r w:rsidR="00160896">
        <w:t>Lapwai</w:t>
      </w:r>
      <w:proofErr w:type="spellEnd"/>
      <w:r w:rsidR="00160896">
        <w:t xml:space="preserve"> Creek), or LAW </w:t>
      </w:r>
      <w:r>
        <w:t xml:space="preserve">(Lawyer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39"/>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40"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w:t>
            </w:r>
            <w:r>
              <w:rPr>
                <w:rFonts w:cs="Times New Roman"/>
                <w:sz w:val="20"/>
                <w:szCs w:val="20"/>
              </w:rPr>
              <w:lastRenderedPageBreak/>
              <w:t>be maintained to ensure that detection probabilities could be estimated. The population contains a high (&gt;40%) B-run component (NOAA 2017).</w:t>
            </w:r>
          </w:p>
        </w:tc>
        <w:tc>
          <w:tcPr>
            <w:tcW w:w="1980" w:type="dxa"/>
            <w:vAlign w:val="center"/>
          </w:tcPr>
          <w:p w14:paraId="796E86E7" w14:textId="721F5E08"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r w:rsidR="00160896">
              <w:rPr>
                <w:rFonts w:cs="Times New Roman"/>
                <w:sz w:val="20"/>
                <w:szCs w:val="20"/>
              </w:rPr>
              <w:t>Alternate site configurations, including for SC1 and SC2, could be considered to improve cost-savings 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40"/>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41" w:name="_Hlk141435949"/>
      <w:r>
        <w:br w:type="page"/>
      </w:r>
    </w:p>
    <w:p w14:paraId="6A689840" w14:textId="77777777" w:rsidR="00F67062" w:rsidRPr="00887F08" w:rsidRDefault="00F67062" w:rsidP="00F67062">
      <w:pPr>
        <w:pStyle w:val="Heading3"/>
      </w:pPr>
      <w:bookmarkStart w:id="42" w:name="_Toc164257252"/>
      <w:r>
        <w:lastRenderedPageBreak/>
        <w:t>Imnaha</w:t>
      </w:r>
      <w:r w:rsidRPr="00887F08">
        <w:t xml:space="preserve"> River MPG</w:t>
      </w:r>
      <w:bookmarkEnd w:id="42"/>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43"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43"/>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44" w:name="_Hlk163476774"/>
            <w:r>
              <w:rPr>
                <w:rFonts w:cs="Times New Roman"/>
                <w:sz w:val="20"/>
                <w:szCs w:val="20"/>
              </w:rPr>
              <w:t>Continue funding IR1 plus two additional sites upstream.</w:t>
            </w:r>
            <w:bookmarkEnd w:id="44"/>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45" w:name="_Toc164257253"/>
      <w:r w:rsidRPr="00317BB3">
        <w:lastRenderedPageBreak/>
        <w:t>Grande Ronde River MPG</w:t>
      </w:r>
      <w:bookmarkEnd w:id="45"/>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46"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r w:rsidR="00160896">
              <w:rPr>
                <w:rFonts w:cs="Times New Roman"/>
                <w:sz w:val="20"/>
                <w:szCs w:val="20"/>
              </w:rPr>
              <w:t>Lookingglass major spawning area.</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 begin funding MR1 (two-pass array) and WR2 (single-pass array).</w:t>
            </w:r>
          </w:p>
        </w:tc>
      </w:tr>
      <w:bookmarkEnd w:id="41"/>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lastRenderedPageBreak/>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lastRenderedPageBreak/>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WEN.</w:t>
            </w:r>
          </w:p>
        </w:tc>
      </w:tr>
      <w:bookmarkEnd w:id="46"/>
    </w:tbl>
    <w:p w14:paraId="1E04EEF3" w14:textId="77777777" w:rsidR="00F67062" w:rsidRDefault="00F67062" w:rsidP="00F67062"/>
    <w:p w14:paraId="3E4FB56F" w14:textId="77777777" w:rsidR="00F67062" w:rsidRPr="00887F08" w:rsidRDefault="00F67062" w:rsidP="00F67062">
      <w:pPr>
        <w:pStyle w:val="Heading3"/>
      </w:pPr>
      <w:bookmarkStart w:id="47" w:name="_Toc164257254"/>
      <w:r>
        <w:t>Hells Canyon</w:t>
      </w:r>
      <w:r w:rsidRPr="00887F08">
        <w:t xml:space="preserve"> MPG</w:t>
      </w:r>
      <w:bookmarkEnd w:id="47"/>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48" w:name="_Toc164257255"/>
      <w:r>
        <w:lastRenderedPageBreak/>
        <w:t>Lower Snake</w:t>
      </w:r>
      <w:r w:rsidRPr="00887F08">
        <w:t xml:space="preserve"> MPG</w:t>
      </w:r>
      <w:bookmarkEnd w:id="48"/>
    </w:p>
    <w:p w14:paraId="55E393B7" w14:textId="4E965E91" w:rsidR="00A65F76" w:rsidRDefault="00A65F76" w:rsidP="00F67062">
      <w:pPr>
        <w:jc w:val="both"/>
        <w:rPr>
          <w:rFonts w:cs="Times New Roman"/>
        </w:rPr>
      </w:pPr>
      <w:r>
        <w:rPr>
          <w:rFonts w:cs="Times New Roman"/>
        </w:rPr>
        <w:t xml:space="preserve">No IPTDS within the MPG are currently funded under the IPTDS O&amp;M project. Currently, the SNASO-s population is monitored with high-precision using an IPTDS-based estimate at ACM plus the operation of a weir in lower </w:t>
      </w:r>
      <w:proofErr w:type="spellStart"/>
      <w:r>
        <w:rPr>
          <w:rFonts w:cs="Times New Roman"/>
        </w:rPr>
        <w:t>Alpowa</w:t>
      </w:r>
      <w:proofErr w:type="spellEnd"/>
      <w:r>
        <w:rPr>
          <w:rFonts w:cs="Times New Roman"/>
        </w:rPr>
        <w:t xml:space="preserve"> Creek. Additionally, there are tentative plans to install an array in lower </w:t>
      </w:r>
      <w:proofErr w:type="spellStart"/>
      <w:r>
        <w:rPr>
          <w:rFonts w:cs="Times New Roman"/>
        </w:rPr>
        <w:t>Alpowa</w:t>
      </w:r>
      <w:proofErr w:type="spellEnd"/>
      <w:r>
        <w:rPr>
          <w:rFonts w:cs="Times New Roman"/>
        </w:rPr>
        <w:t xml:space="preserve"> Creek soon. We recommend funding an IPTDS in lower Asotin Creek (e.g., ACM) to ensure long-term, high-precision monitoring; funding of the proposed site in lower </w:t>
      </w:r>
      <w:proofErr w:type="spellStart"/>
      <w:r>
        <w:rPr>
          <w:rFonts w:cs="Times New Roman"/>
        </w:rPr>
        <w:t>Alpowa</w:t>
      </w:r>
      <w:proofErr w:type="spellEnd"/>
      <w:r>
        <w:rPr>
          <w:rFonts w:cs="Times New Roman"/>
        </w:rPr>
        <w:t xml:space="preserve"> Creek could also be considered if the weir were ever discontinued. No action is needed in SNTUC-s if existing population monitoring continues.</w:t>
      </w:r>
    </w:p>
    <w:p w14:paraId="5532FD30" w14:textId="77C4D9C7" w:rsidR="00F67062" w:rsidRPr="003B2775" w:rsidRDefault="00F67062" w:rsidP="00F67062">
      <w:pPr>
        <w:jc w:val="both"/>
        <w:rPr>
          <w:rFonts w:cs="Times New Roman"/>
        </w:rPr>
      </w:pPr>
      <w:r>
        <w:rPr>
          <w:rFonts w:cs="Times New Roman"/>
        </w:rPr>
        <w:t xml:space="preserve">No IPTDS within the MPG are currently funded under the IPTDS O&amp;M project. </w:t>
      </w:r>
      <w:r w:rsidR="00233BBC">
        <w:rPr>
          <w:rFonts w:cs="Times New Roman"/>
        </w:rPr>
        <w:t xml:space="preserve">Currently, the SNASO-s population is monitored with high-precision using IPTDS-based estimates at the ACM site within Asotin Creek plus a weir operated in lower </w:t>
      </w:r>
      <w:proofErr w:type="spellStart"/>
      <w:r w:rsidR="00233BBC">
        <w:rPr>
          <w:rFonts w:cs="Times New Roman"/>
        </w:rPr>
        <w:t>Alpowa</w:t>
      </w:r>
      <w:proofErr w:type="spellEnd"/>
      <w:r w:rsidR="00233BBC">
        <w:rPr>
          <w:rFonts w:cs="Times New Roman"/>
        </w:rPr>
        <w:t xml:space="preserve"> Creek. Additionally, there are tentative plans to install an array in lower </w:t>
      </w:r>
      <w:proofErr w:type="spellStart"/>
      <w:r w:rsidR="00233BBC">
        <w:rPr>
          <w:rFonts w:cs="Times New Roman"/>
        </w:rPr>
        <w:t>Alpowa</w:t>
      </w:r>
      <w:proofErr w:type="spellEnd"/>
      <w:r w:rsidR="00233BBC">
        <w:rPr>
          <w:rFonts w:cs="Times New Roman"/>
        </w:rPr>
        <w:t xml:space="preserve"> Creek within the next couple of years. We recommend funding an IPTDS in lower Asotin Creek (e.g., ACM) and consider funding the site in lower </w:t>
      </w:r>
      <w:proofErr w:type="spellStart"/>
      <w:r w:rsidR="00233BBC">
        <w:rPr>
          <w:rFonts w:cs="Times New Roman"/>
        </w:rPr>
        <w:t>Alpowa</w:t>
      </w:r>
      <w:proofErr w:type="spellEnd"/>
      <w:r w:rsidR="00233BBC">
        <w:rPr>
          <w:rFonts w:cs="Times New Roman"/>
        </w:rPr>
        <w:t xml:space="preserve"> Creek if operation of the weir is discontinued in the future.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w:t>
            </w:r>
            <w:proofErr w:type="spellStart"/>
            <w:r w:rsidR="001559DA">
              <w:rPr>
                <w:rFonts w:cs="Times New Roman"/>
                <w:sz w:val="20"/>
                <w:szCs w:val="20"/>
              </w:rPr>
              <w:t>Alpowa</w:t>
            </w:r>
            <w:proofErr w:type="spellEnd"/>
            <w:r w:rsidR="001559DA">
              <w:rPr>
                <w:rFonts w:cs="Times New Roman"/>
                <w:sz w:val="20"/>
                <w:szCs w:val="20"/>
              </w:rPr>
              <w:t xml:space="preserve">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w:t>
            </w:r>
            <w:proofErr w:type="spellStart"/>
            <w:r w:rsidR="001559DA">
              <w:rPr>
                <w:rFonts w:cs="Times New Roman"/>
                <w:sz w:val="20"/>
                <w:szCs w:val="20"/>
              </w:rPr>
              <w:t>Alpowa</w:t>
            </w:r>
            <w:proofErr w:type="spellEnd"/>
            <w:r w:rsidR="001559DA">
              <w:rPr>
                <w:rFonts w:cs="Times New Roman"/>
                <w:sz w:val="20"/>
                <w:szCs w:val="20"/>
              </w:rPr>
              <w:t xml:space="preserve">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49" w:name="_Toc164257256"/>
      <w:r>
        <w:lastRenderedPageBreak/>
        <w:t>Snake River Spring/Summer-run Chinook Salmon ESU</w:t>
      </w:r>
      <w:bookmarkEnd w:id="49"/>
    </w:p>
    <w:p w14:paraId="5E77DEEA" w14:textId="77777777" w:rsidR="00F67062" w:rsidRPr="00887F08" w:rsidRDefault="00F67062" w:rsidP="00F67062">
      <w:pPr>
        <w:pStyle w:val="Heading3"/>
      </w:pPr>
      <w:bookmarkStart w:id="50" w:name="_Toc164257257"/>
      <w:r>
        <w:t>Upper Salmon River MPG</w:t>
      </w:r>
      <w:bookmarkEnd w:id="50"/>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r w:rsidR="00B55585">
              <w:rPr>
                <w:rFonts w:cs="Times New Roman"/>
                <w:sz w:val="20"/>
                <w:szCs w:val="20"/>
              </w:rPr>
              <w:t xml:space="preserve">and </w:t>
            </w:r>
            <w:proofErr w:type="spellStart"/>
            <w:r w:rsidR="00B55585">
              <w:rPr>
                <w:rFonts w:cs="Times New Roman"/>
                <w:sz w:val="20"/>
                <w:szCs w:val="20"/>
              </w:rPr>
              <w:t>redd</w:t>
            </w:r>
            <w:proofErr w:type="spellEnd"/>
            <w:r w:rsidR="00B55585">
              <w:rPr>
                <w:rFonts w:cs="Times New Roman"/>
                <w:sz w:val="20"/>
                <w:szCs w:val="20"/>
              </w:rPr>
              <w:t xml:space="preserve"> counts</w:t>
            </w:r>
            <w:r>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YFK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SREFS population is currently monitored using </w:t>
            </w:r>
            <w:proofErr w:type="spellStart"/>
            <w:r>
              <w:rPr>
                <w:rFonts w:cs="Times New Roman"/>
                <w:sz w:val="20"/>
                <w:szCs w:val="20"/>
              </w:rPr>
              <w:t>redd</w:t>
            </w:r>
            <w:proofErr w:type="spellEnd"/>
            <w:r>
              <w:rPr>
                <w:rFonts w:cs="Times New Roman"/>
                <w:sz w:val="20"/>
                <w:szCs w:val="20"/>
              </w:rPr>
              <w:t xml:space="preserve">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w:t>
            </w:r>
            <w:proofErr w:type="spellStart"/>
            <w:r>
              <w:rPr>
                <w:rFonts w:cs="Times New Roman"/>
                <w:sz w:val="20"/>
                <w:szCs w:val="20"/>
              </w:rPr>
              <w:t>redd</w:t>
            </w:r>
            <w:proofErr w:type="spellEnd"/>
            <w:r>
              <w:rPr>
                <w:rFonts w:cs="Times New Roman"/>
                <w:sz w:val="20"/>
                <w:szCs w:val="20"/>
              </w:rPr>
              <w:t xml:space="preserve">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51" w:name="_Toc164257258"/>
      <w:r>
        <w:t>Middle Fork Salmon River MPG</w:t>
      </w:r>
      <w:bookmarkEnd w:id="51"/>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52"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sidR="00B55585">
              <w:rPr>
                <w:rFonts w:cs="Times New Roman"/>
                <w:sz w:val="20"/>
                <w:szCs w:val="20"/>
              </w:rPr>
              <w:t>redd</w:t>
            </w:r>
            <w:proofErr w:type="spellEnd"/>
            <w:r w:rsidR="00B55585">
              <w:rPr>
                <w:rFonts w:cs="Times New Roman"/>
                <w:sz w:val="20"/>
                <w:szCs w:val="20"/>
              </w:rPr>
              <w:t xml:space="preserve"> counts </w:t>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52"/>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53" w:name="_Toc164257259"/>
      <w:r>
        <w:lastRenderedPageBreak/>
        <w:t>South Fork Salmon River MPG</w:t>
      </w:r>
      <w:bookmarkEnd w:id="53"/>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r w:rsidR="00B55585">
              <w:rPr>
                <w:rFonts w:cs="Times New Roman"/>
                <w:sz w:val="20"/>
                <w:szCs w:val="20"/>
              </w:rPr>
              <w:t>KRS</w:t>
            </w:r>
            <w:r>
              <w:rPr>
                <w:rFonts w:cs="Times New Roman"/>
                <w:sz w:val="20"/>
                <w:szCs w:val="20"/>
              </w:rPr>
              <w:t xml:space="preserve"> (using ZEN and ESS to parse those populations), the South Fork Salmon River weir, and </w:t>
            </w:r>
            <w:proofErr w:type="spellStart"/>
            <w:r>
              <w:rPr>
                <w:rFonts w:cs="Times New Roman"/>
                <w:sz w:val="20"/>
                <w:szCs w:val="20"/>
              </w:rPr>
              <w:t>redd</w:t>
            </w:r>
            <w:proofErr w:type="spellEnd"/>
            <w:r>
              <w:rPr>
                <w:rFonts w:cs="Times New Roman"/>
                <w:sz w:val="20"/>
                <w:szCs w:val="20"/>
              </w:rPr>
              <w:t xml:space="preserve">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54" w:name="_Toc164257260"/>
      <w:r w:rsidRPr="00880AE0">
        <w:rPr>
          <w:lang w:val="fr-FR"/>
        </w:rPr>
        <w:lastRenderedPageBreak/>
        <w:t xml:space="preserve">Grande Ronde / </w:t>
      </w:r>
      <w:proofErr w:type="spellStart"/>
      <w:r w:rsidRPr="00880AE0">
        <w:rPr>
          <w:lang w:val="fr-FR"/>
        </w:rPr>
        <w:t>Imnaha</w:t>
      </w:r>
      <w:proofErr w:type="spellEnd"/>
      <w:r w:rsidRPr="00880AE0">
        <w:rPr>
          <w:lang w:val="fr-FR"/>
        </w:rPr>
        <w:t xml:space="preserve"> River MPG</w:t>
      </w:r>
      <w:bookmarkEnd w:id="54"/>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t>
            </w:r>
            <w:r>
              <w:rPr>
                <w:rFonts w:cs="Times New Roman"/>
                <w:sz w:val="20"/>
                <w:szCs w:val="20"/>
              </w:rPr>
              <w:lastRenderedPageBreak/>
              <w:t>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 xml:space="preserve">Consider funding MR1 under the </w:t>
            </w:r>
            <w:r>
              <w:rPr>
                <w:rFonts w:cs="Times New Roman"/>
                <w:sz w:val="20"/>
                <w:szCs w:val="20"/>
              </w:rPr>
              <w:lastRenderedPageBreak/>
              <w:t>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55" w:name="_Toc164257261"/>
      <w:r>
        <w:lastRenderedPageBreak/>
        <w:t>Lower Snake River MPG</w:t>
      </w:r>
      <w:bookmarkEnd w:id="55"/>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56" w:name="_Ref164257126"/>
      <w:bookmarkStart w:id="57" w:name="_Toc164257262"/>
      <w:r>
        <w:lastRenderedPageBreak/>
        <w:t xml:space="preserve">APPENDIX </w:t>
      </w:r>
      <w:r w:rsidR="00F67062">
        <w:t>B</w:t>
      </w:r>
      <w:r>
        <w:t>. Recovery Scenarios for Snake River Populations</w:t>
      </w:r>
      <w:bookmarkEnd w:id="31"/>
      <w:bookmarkEnd w:id="56"/>
      <w:bookmarkEnd w:id="57"/>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r>
        <w:fldChar w:fldCharType="begin"/>
      </w:r>
      <w:r>
        <w:instrText xml:space="preserve"> SEQ Table \* ARABIC </w:instrText>
      </w:r>
      <w:r>
        <w:fldChar w:fldCharType="separate"/>
      </w:r>
      <w:r w:rsidR="00B96B7C">
        <w:rPr>
          <w:noProof/>
        </w:rPr>
        <w:t>16</w:t>
      </w:r>
      <w:r>
        <w:rPr>
          <w:noProof/>
        </w:rPr>
        <w:fldChar w:fldCharType="end"/>
      </w:r>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214FE6E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r w:rsidR="002C36D3" w:rsidRPr="00CC41D8">
              <w:rPr>
                <w:sz w:val="20"/>
                <w:szCs w:val="20"/>
              </w:rPr>
              <w:t>There has been little monitoring of the population</w:t>
            </w:r>
            <w:r w:rsidR="005D108A">
              <w:rPr>
                <w:i/>
                <w:iCs/>
                <w:sz w:val="20"/>
                <w:szCs w:val="20"/>
              </w:rPr>
              <w:t xml:space="preserve">; however, there has been a time-series of counts and age data at the Sawtooth </w:t>
            </w:r>
            <w:proofErr w:type="gramStart"/>
            <w:r w:rsidR="005D108A">
              <w:rPr>
                <w:i/>
                <w:iCs/>
                <w:sz w:val="20"/>
                <w:szCs w:val="20"/>
              </w:rPr>
              <w:t>weir, but</w:t>
            </w:r>
            <w:proofErr w:type="gramEnd"/>
            <w:r w:rsidR="005D108A">
              <w:rPr>
                <w:i/>
                <w:iCs/>
                <w:sz w:val="20"/>
                <w:szCs w:val="20"/>
              </w:rPr>
              <w:t xml:space="preserve"> unclear how efficient the weir is for steelhead.</w:t>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479E1F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r w:rsidR="002C36D3" w:rsidRPr="0062321B">
              <w:rPr>
                <w:sz w:val="20"/>
                <w:szCs w:val="20"/>
              </w:rPr>
              <w:t>has been little monitoring of the population</w:t>
            </w:r>
            <w:r w:rsidR="005D108A">
              <w:rPr>
                <w:i/>
                <w:iCs/>
                <w:sz w:val="20"/>
                <w:szCs w:val="20"/>
              </w:rPr>
              <w:t xml:space="preserve">; however, there has been a time-series of counts and age data from a weir in the East Fork Salmon </w:t>
            </w:r>
            <w:proofErr w:type="gramStart"/>
            <w:r w:rsidR="005D108A">
              <w:rPr>
                <w:i/>
                <w:iCs/>
                <w:sz w:val="20"/>
                <w:szCs w:val="20"/>
              </w:rPr>
              <w:t>River, but</w:t>
            </w:r>
            <w:proofErr w:type="gramEnd"/>
            <w:r w:rsidR="005D108A">
              <w:rPr>
                <w:i/>
                <w:iCs/>
                <w:sz w:val="20"/>
                <w:szCs w:val="20"/>
              </w:rPr>
              <w:t xml:space="preserve">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r w:rsidR="002C36D3" w:rsidRPr="0062321B">
              <w:rPr>
                <w:sz w:val="20"/>
                <w:szCs w:val="20"/>
              </w:rPr>
              <w:t>little monitoring of the population</w:t>
            </w:r>
            <w:r w:rsidR="005D108A">
              <w:rPr>
                <w:i/>
                <w:iCs/>
                <w:sz w:val="20"/>
                <w:szCs w:val="20"/>
              </w:rPr>
              <w:t xml:space="preserve">; however, there has been a time-series of counts and age data from the </w:t>
            </w:r>
            <w:proofErr w:type="spellStart"/>
            <w:r w:rsidR="005D108A">
              <w:rPr>
                <w:i/>
                <w:iCs/>
                <w:sz w:val="20"/>
                <w:szCs w:val="20"/>
              </w:rPr>
              <w:t>Pahsimeroi</w:t>
            </w:r>
            <w:proofErr w:type="spellEnd"/>
            <w:r w:rsidR="005D108A">
              <w:rPr>
                <w:i/>
                <w:iCs/>
                <w:sz w:val="20"/>
                <w:szCs w:val="20"/>
              </w:rPr>
              <w:t xml:space="preserve"> hatchery weir</w:t>
            </w:r>
            <w:r w:rsidR="002C36D3" w:rsidRPr="0062321B">
              <w:rPr>
                <w:sz w:val="20"/>
                <w:szCs w:val="20"/>
              </w:rPr>
              <w:t xml:space="preserve">. </w:t>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w:t>
            </w:r>
            <w:r w:rsidR="00D946CD">
              <w:rPr>
                <w:sz w:val="20"/>
                <w:szCs w:val="20"/>
                <w:lang w:val="fr-FR"/>
              </w:rPr>
              <w:t>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7171396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r w:rsidR="002C36D3">
              <w:rPr>
                <w:sz w:val="20"/>
                <w:szCs w:val="20"/>
              </w:rPr>
              <w:t xml:space="preserve"> Wilderness</w:t>
            </w:r>
            <w:proofErr w:type="gramStart"/>
            <w:r w:rsidRPr="00CA5511">
              <w:rPr>
                <w:sz w:val="20"/>
                <w:szCs w:val="20"/>
              </w:rPr>
              <w:t>), but</w:t>
            </w:r>
            <w:proofErr w:type="gramEnd"/>
            <w:r w:rsidRPr="00CA5511">
              <w:rPr>
                <w:sz w:val="20"/>
                <w:szCs w:val="20"/>
              </w:rPr>
              <w:t xml:space="preserve">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r>
        <w:fldChar w:fldCharType="begin"/>
      </w:r>
      <w:r>
        <w:instrText xml:space="preserve"> SEQ Table \* ARABIC </w:instrText>
      </w:r>
      <w:r>
        <w:fldChar w:fldCharType="separate"/>
      </w:r>
      <w:r w:rsidR="00B96B7C">
        <w:rPr>
          <w:noProof/>
        </w:rPr>
        <w:t>17</w:t>
      </w:r>
      <w:r>
        <w:rPr>
          <w:noProof/>
        </w:rPr>
        <w:fldChar w:fldCharType="end"/>
      </w:r>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 xml:space="preserve">Adult monitoring includes </w:t>
            </w:r>
            <w:proofErr w:type="gramStart"/>
            <w:r>
              <w:rPr>
                <w:rFonts w:cs="Times New Roman"/>
                <w:i/>
                <w:iCs/>
                <w:sz w:val="20"/>
                <w:szCs w:val="20"/>
              </w:rPr>
              <w:t>single-pass</w:t>
            </w:r>
            <w:proofErr w:type="gramEnd"/>
            <w:r>
              <w:rPr>
                <w:rFonts w:cs="Times New Roman"/>
                <w:i/>
                <w:iCs/>
                <w:sz w:val="20"/>
                <w:szCs w:val="20"/>
              </w:rPr>
              <w:t xml:space="preserve"> </w:t>
            </w:r>
            <w:proofErr w:type="spellStart"/>
            <w:r>
              <w:rPr>
                <w:rFonts w:cs="Times New Roman"/>
                <w:i/>
                <w:iCs/>
                <w:sz w:val="20"/>
                <w:szCs w:val="20"/>
              </w:rPr>
              <w:t>redd</w:t>
            </w:r>
            <w:proofErr w:type="spellEnd"/>
            <w:r>
              <w:rPr>
                <w:rFonts w:cs="Times New Roman"/>
                <w:i/>
                <w:iCs/>
                <w:sz w:val="20"/>
                <w:szCs w:val="20"/>
              </w:rPr>
              <w:t xml:space="preserve">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proofErr w:type="spellStart"/>
            <w:r w:rsidR="00D946CD" w:rsidRPr="006378FD">
              <w:rPr>
                <w:rFonts w:cs="Times New Roman"/>
                <w:sz w:val="20"/>
                <w:szCs w:val="20"/>
              </w:rPr>
              <w:t>Wenaha</w:t>
            </w:r>
            <w:proofErr w:type="spellEnd"/>
            <w:r w:rsidR="00D946CD" w:rsidRPr="006378FD">
              <w:rPr>
                <w:rFonts w:cs="Times New Roman"/>
                <w:sz w:val="20"/>
                <w:szCs w:val="20"/>
              </w:rPr>
              <w:t xml:space="preserve"> R</w:t>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58" w:name="_Ref163195368"/>
      <w:bookmarkStart w:id="59" w:name="_Toc164257263"/>
      <w:r>
        <w:lastRenderedPageBreak/>
        <w:t xml:space="preserve">APPENDIX </w:t>
      </w:r>
      <w:r w:rsidR="00F67062">
        <w:t>C</w:t>
      </w:r>
      <w:r>
        <w:t xml:space="preserve">. </w:t>
      </w:r>
      <w:r w:rsidR="00D946CD">
        <w:t xml:space="preserve">Coefficients of Variation </w:t>
      </w:r>
      <w:r>
        <w:t>for IPTDS-Based Abundance Estimates</w:t>
      </w:r>
      <w:bookmarkEnd w:id="58"/>
      <w:bookmarkEnd w:id="59"/>
    </w:p>
    <w:p w14:paraId="7A2D8677" w14:textId="386BA15A" w:rsidR="0053510D" w:rsidRPr="0053510D" w:rsidRDefault="0053510D" w:rsidP="0053510D">
      <w:pPr>
        <w:pStyle w:val="Caption"/>
      </w:pPr>
      <w:r>
        <w:t xml:space="preserve">Table </w:t>
      </w:r>
      <w:r>
        <w:fldChar w:fldCharType="begin"/>
      </w:r>
      <w:r>
        <w:instrText xml:space="preserve"> SEQ Table \* ARABIC </w:instrText>
      </w:r>
      <w:r>
        <w:fldChar w:fldCharType="separate"/>
      </w:r>
      <w:r w:rsidR="00B96B7C">
        <w:rPr>
          <w:noProof/>
        </w:rPr>
        <w:t>18</w:t>
      </w:r>
      <w:r>
        <w:rPr>
          <w:noProof/>
        </w:rPr>
        <w:fldChar w:fldCharType="end"/>
      </w:r>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r>
        <w:fldChar w:fldCharType="begin"/>
      </w:r>
      <w:r>
        <w:instrText xml:space="preserve"> SEQ Table \* ARABIC </w:instrText>
      </w:r>
      <w:r>
        <w:fldChar w:fldCharType="separate"/>
      </w:r>
      <w:r w:rsidR="00B96B7C">
        <w:rPr>
          <w:noProof/>
        </w:rPr>
        <w:t>19</w:t>
      </w:r>
      <w:r>
        <w:rPr>
          <w:noProof/>
        </w:rPr>
        <w:fldChar w:fldCharType="end"/>
      </w:r>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F9D6A" w14:textId="77777777" w:rsidR="002970AA" w:rsidRDefault="002970AA" w:rsidP="00677DF7">
      <w:pPr>
        <w:spacing w:after="0" w:line="240" w:lineRule="auto"/>
      </w:pPr>
      <w:r>
        <w:separator/>
      </w:r>
    </w:p>
  </w:endnote>
  <w:endnote w:type="continuationSeparator" w:id="0">
    <w:p w14:paraId="644FFB63" w14:textId="77777777" w:rsidR="002970AA" w:rsidRDefault="002970AA"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EB5BE" w14:textId="77777777" w:rsidR="002970AA" w:rsidRDefault="002970AA" w:rsidP="00677DF7">
      <w:pPr>
        <w:spacing w:after="0" w:line="240" w:lineRule="auto"/>
      </w:pPr>
      <w:r>
        <w:separator/>
      </w:r>
    </w:p>
  </w:footnote>
  <w:footnote w:type="continuationSeparator" w:id="0">
    <w:p w14:paraId="1BA23A95" w14:textId="77777777" w:rsidR="002970AA" w:rsidRDefault="002970AA"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10D73"/>
    <w:rsid w:val="00111303"/>
    <w:rsid w:val="00111320"/>
    <w:rsid w:val="00117F40"/>
    <w:rsid w:val="0012185F"/>
    <w:rsid w:val="0012232A"/>
    <w:rsid w:val="001246FE"/>
    <w:rsid w:val="00126201"/>
    <w:rsid w:val="00127CA1"/>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266E"/>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620B"/>
    <w:rsid w:val="00246CBC"/>
    <w:rsid w:val="002477D7"/>
    <w:rsid w:val="0025120B"/>
    <w:rsid w:val="002579BC"/>
    <w:rsid w:val="002604DC"/>
    <w:rsid w:val="00265EE7"/>
    <w:rsid w:val="00274E73"/>
    <w:rsid w:val="00277F55"/>
    <w:rsid w:val="002878C4"/>
    <w:rsid w:val="00294461"/>
    <w:rsid w:val="0029512A"/>
    <w:rsid w:val="002970A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5646"/>
    <w:rsid w:val="00306266"/>
    <w:rsid w:val="00312795"/>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367B7"/>
    <w:rsid w:val="00541EC6"/>
    <w:rsid w:val="005439D8"/>
    <w:rsid w:val="00547530"/>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B64F9"/>
    <w:rsid w:val="005C6EBE"/>
    <w:rsid w:val="005D0100"/>
    <w:rsid w:val="005D108A"/>
    <w:rsid w:val="005D3DCE"/>
    <w:rsid w:val="005D65B4"/>
    <w:rsid w:val="005D699F"/>
    <w:rsid w:val="005E3B22"/>
    <w:rsid w:val="005E49C5"/>
    <w:rsid w:val="005E4DDF"/>
    <w:rsid w:val="005E5AC8"/>
    <w:rsid w:val="005E6372"/>
    <w:rsid w:val="005F0DA4"/>
    <w:rsid w:val="005F0F4E"/>
    <w:rsid w:val="005F3C57"/>
    <w:rsid w:val="00603375"/>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66F97"/>
    <w:rsid w:val="006720C9"/>
    <w:rsid w:val="00676EE1"/>
    <w:rsid w:val="00677DF7"/>
    <w:rsid w:val="0069045D"/>
    <w:rsid w:val="00692306"/>
    <w:rsid w:val="00696E51"/>
    <w:rsid w:val="006B4F25"/>
    <w:rsid w:val="006C5786"/>
    <w:rsid w:val="006D0294"/>
    <w:rsid w:val="006D15B7"/>
    <w:rsid w:val="006D6B3E"/>
    <w:rsid w:val="006E2AF4"/>
    <w:rsid w:val="006E2FC8"/>
    <w:rsid w:val="006E62AF"/>
    <w:rsid w:val="006F4996"/>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7580"/>
    <w:rsid w:val="008C4BCA"/>
    <w:rsid w:val="008C6024"/>
    <w:rsid w:val="008C636E"/>
    <w:rsid w:val="008C72E4"/>
    <w:rsid w:val="008D2834"/>
    <w:rsid w:val="008D4780"/>
    <w:rsid w:val="008D560B"/>
    <w:rsid w:val="008E1CA3"/>
    <w:rsid w:val="008E2FE2"/>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6409"/>
    <w:rsid w:val="0093750A"/>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684"/>
    <w:rsid w:val="00A60D76"/>
    <w:rsid w:val="00A65F76"/>
    <w:rsid w:val="00A67D35"/>
    <w:rsid w:val="00A72EAA"/>
    <w:rsid w:val="00A75C5C"/>
    <w:rsid w:val="00A80FB5"/>
    <w:rsid w:val="00A835E8"/>
    <w:rsid w:val="00A85689"/>
    <w:rsid w:val="00A868D5"/>
    <w:rsid w:val="00A86F2A"/>
    <w:rsid w:val="00A9010F"/>
    <w:rsid w:val="00A947F1"/>
    <w:rsid w:val="00A951AF"/>
    <w:rsid w:val="00A9547E"/>
    <w:rsid w:val="00AA3331"/>
    <w:rsid w:val="00AB0ED4"/>
    <w:rsid w:val="00AB3238"/>
    <w:rsid w:val="00AB53A5"/>
    <w:rsid w:val="00AC0353"/>
    <w:rsid w:val="00AC0771"/>
    <w:rsid w:val="00AC40E1"/>
    <w:rsid w:val="00AD1A03"/>
    <w:rsid w:val="00AD2BAE"/>
    <w:rsid w:val="00AD386E"/>
    <w:rsid w:val="00AD54D2"/>
    <w:rsid w:val="00AD62B5"/>
    <w:rsid w:val="00AE0359"/>
    <w:rsid w:val="00AF0869"/>
    <w:rsid w:val="00AF154A"/>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4680C"/>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4C6"/>
    <w:rsid w:val="00CF4CE6"/>
    <w:rsid w:val="00CF570E"/>
    <w:rsid w:val="00D00365"/>
    <w:rsid w:val="00D013F6"/>
    <w:rsid w:val="00D014BD"/>
    <w:rsid w:val="00D03C17"/>
    <w:rsid w:val="00D1244A"/>
    <w:rsid w:val="00D153BC"/>
    <w:rsid w:val="00D15640"/>
    <w:rsid w:val="00D2063C"/>
    <w:rsid w:val="00D20DCB"/>
    <w:rsid w:val="00D34D91"/>
    <w:rsid w:val="00D3581C"/>
    <w:rsid w:val="00D35CB7"/>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E7D18"/>
    <w:rsid w:val="00DF55E9"/>
    <w:rsid w:val="00DF6443"/>
    <w:rsid w:val="00E03127"/>
    <w:rsid w:val="00E03B1F"/>
    <w:rsid w:val="00E0415B"/>
    <w:rsid w:val="00E10C97"/>
    <w:rsid w:val="00E12CD3"/>
    <w:rsid w:val="00E12F3B"/>
    <w:rsid w:val="00E16D45"/>
    <w:rsid w:val="00E17D13"/>
    <w:rsid w:val="00E23277"/>
    <w:rsid w:val="00E27E92"/>
    <w:rsid w:val="00E3194C"/>
    <w:rsid w:val="00E320F0"/>
    <w:rsid w:val="00E323E6"/>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22F712-303E-442D-AB89-F9DB9D8CA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6053</TotalTime>
  <Pages>45</Pages>
  <Words>14835</Words>
  <Characters>84562</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385</cp:revision>
  <cp:lastPrinted>2024-04-11T14:02:00Z</cp:lastPrinted>
  <dcterms:created xsi:type="dcterms:W3CDTF">2023-08-10T16:38:00Z</dcterms:created>
  <dcterms:modified xsi:type="dcterms:W3CDTF">2024-08-15T16:51:00Z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