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40"/>
          <w:szCs w:val="40"/>
        </w:rPr>
        <w:t xml:space="preserve">Resumo Executivo — Relatório Gerencial</w:t>
      </w:r>
    </w:p>
    <w:p>
      <w:pPr>
        <w:spacing w:after="60"/>
      </w:pPr>
      <w:r>
        <w:rPr>
          <w:color w:val="0F766E"/>
          <w:sz w:val="24"/>
          <w:szCs w:val="24"/>
        </w:rPr>
        <w:t xml:space="preserve">Rede de Saúde · Competência: Janeiro a Dezembro de 2025</w:t>
      </w:r>
    </w:p>
    <w:p>
      <w:pPr>
        <w:spacing w:after="400"/>
      </w:pPr>
      <w:r>
        <w:rPr>
          <w:i/>
          <w:iCs/>
          <w:color w:val="6B7280"/>
          <w:sz w:val="19"/>
          <w:szCs w:val="19"/>
        </w:rPr>
        <w:t xml:space="preserve">Exemplo do texto gerado automaticamente pela camada de IA Generativa a partir dos indicadores consolidados (dados_relatorio_gerencial_saude.xlsx). Números fictícios, gerados para fins ilustrativos de portfólio.</w:t>
      </w:r>
    </w:p>
    <w:p>
      <w:pPr>
        <w:pStyle w:val="Heading1"/>
      </w:pPr>
      <w:r>
        <w:t xml:space="preserve">Visão geral</w:t>
      </w:r>
    </w:p>
    <w:p>
      <w:pPr>
        <w:spacing w:after="160"/>
      </w:pPr>
      <w:r>
        <w:t xml:space="preserve">No período analisado, a rede realizou 187.958 atendimentos e faturou R$ 49,07 milhões em receita bruta. Após glosas (R$ 2,83 milhões, equivalentes a 5,8% da receita) e custo operacional (R$ 31,25 milhões), a margem consolidada foi de R$ 17,82 milhões, ou 36,3% da receita bruta. A taxa de ocupação média das 8 unidades foi de 77,6%, com tempo médio de atendimento de 31,4 minutos.</w:t>
      </w:r>
    </w:p>
    <w:p>
      <w:pPr>
        <w:pStyle w:val="Heading1"/>
      </w:pPr>
      <w:r>
        <w:t xml:space="preserve">Indicadores por unidade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900"/>
        <w:gridCol w:w="1500"/>
        <w:gridCol w:w="1550"/>
      </w:tblGrid>
      <w:tr>
        <w:tc>
          <w:tcPr>
            <w:tcW w:type="dxa" w:w="17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Unidade</w:t>
            </w:r>
          </w:p>
        </w:tc>
        <w:tc>
          <w:tcPr>
            <w:tcW w:type="dxa" w:w="17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Atendimentos</w:t>
            </w:r>
          </w:p>
        </w:tc>
        <w:tc>
          <w:tcPr>
            <w:tcW w:type="dxa" w:w="19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Receita Bruta</w:t>
            </w:r>
          </w:p>
        </w:tc>
        <w:tc>
          <w:tcPr>
            <w:tcW w:type="dxa" w:w="15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Glosa</w:t>
            </w:r>
          </w:p>
        </w:tc>
        <w:tc>
          <w:tcPr>
            <w:tcW w:type="dxa" w:w="155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Ocupação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Unidade 01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31.565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R$ 7,63 mi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5,9%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74,9%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Unidade 02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16.947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R$ 4,50 mi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6,8%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73,9%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Unidade 03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22.458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R$ 5,83 mi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6,3%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83,8%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Unidade 04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39.316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R$ 10,40 mi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4,9%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80,6%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Unidade 05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13.107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R$ 3,36 mi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5,8%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81,8%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Unidade 06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24.266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R$ 6,68 mi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6,2%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73,9%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Unidade 07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11.170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R$ 2,99 mi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5,5%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79,0%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Unidade 08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29.129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R$ 7,68 mi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5,5%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73,2%</w:t>
            </w:r>
          </w:p>
        </w:tc>
      </w:tr>
    </w:tbl>
    <w:p>
      <w:pPr>
        <w:spacing w:after="200" w:before="60"/>
      </w:pPr>
      <w:r>
        <w:rPr>
          <w:i/>
          <w:iCs/>
          <w:color w:val="6B7280"/>
          <w:sz w:val="19"/>
          <w:szCs w:val="19"/>
        </w:rPr>
        <w:t xml:space="preserve">Fonte: aba Indicadores_Consolidados de dados_relatorio_gerencial_saude.xlsx.</w:t>
      </w:r>
    </w:p>
    <w:p>
      <w:pPr>
        <w:pStyle w:val="Heading1"/>
      </w:pPr>
      <w:r>
        <w:t xml:space="preserve">Principais achados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Unidade 04 concentra 21% do volume da rede (39.316 atendimentos) e também é a mais rentável em termos percentuais, com margem de 37,8% sobre a receita e a menor taxa de glosa entre as 8 unidades (4,9%). É a referência natural de benchmark comercial.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Unidade 02 tem a maior taxa de glosa da rede (6,8%), quase um ponto percentual acima da média (5,8%), mesmo sendo uma unidade de porte médio. Isso indica um problema pontual de processo, não apenas de volume.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Unidade 03 opera com 83,8% de ocupação, a mais alta da rede, o que sugere que a unidade está próxima do limite de capacidade da agenda atual.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As Unidades 06 e 08 têm as menores taxas de ocupação (73,9% e 73,2%), mesmo com receita relevante, indicando espaço ocioso na agenda antes de qualquer decisão de expansão física.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Unidade 04 também registra o maior tempo médio de atendimento (36,6 minutos, ante uma média de rede de 31,4 minutos), o que, junto ao alto volume, é o ponto mais provável de gargalo operacional apesar do bom desempenho financeiro.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Em bases mensais, o volume de atendimentos da rede oscila entre 15.120 (agosto, menor mês) e 16.116 (junho, maior mês), uma variação relativamente contida, mas a receita bruta cai de forma mais acentuada em dezembro (R$ 3,52 milhões, o mês de menor faturamento), o que não é explicado apenas pelo volume de atendimentos.</w:t>
      </w:r>
    </w:p>
    <w:p>
      <w:pPr>
        <w:pStyle w:val="Heading1"/>
      </w:pPr>
      <w:r>
        <w:t xml:space="preserve">Recomendações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Investigar as causas da glosa na Unidade 02 (documentação clínica, codificação, prazo de envio), usando a Unidade 04 como parâmetro de comparação de processo.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Revisar o fluxo de atendimento da Unidade 04 para reduzir o tempo médio sem comprometer a qualidade, dado o peso da unidade no resultado consolidado.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Avaliar ampliação de agenda ou de capacidade física na Unidade 03, considerando a ocupação já próxima do limite.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Priorizar ações comerciais e de captação nas Unidades 06 e 08 antes de investir em novas unidades, aproveitando a ociosidade atual.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Entender o motivo da queda de receita em dezembro (mix de procedimentos, sazonalidade de convênios, calendário) antes do fechamento do próximo exercício.</w:t>
      </w:r>
    </w:p>
    <w:p>
      <w:pPr>
        <w:pStyle w:val="Heading1"/>
      </w:pPr>
      <w:r>
        <w:t xml:space="preserve">Nota metodológica</w:t>
      </w:r>
    </w:p>
    <w:p>
      <w:pPr>
        <w:spacing w:after="160"/>
      </w:pPr>
      <w:r>
        <w:t xml:space="preserve">Este resumo foi escrito no mesmo formato que a camada de IA Generativa do case produziria automaticamente a cada atualização do relatório: leitura dos indicadores consolidados, identificação de variações relevantes entre unidades e ao longo do ano, e redação de um texto padronizado de apoio à decisão. Na solução real, esse texto é gerado a partir da mesma base usada no modelo do Power BI (ver guia_powerbi_automacao_relatorio_gerencial.docx), sem necessidade de redação manual mês a mês.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0F766E" w:sz="6" w:space="4"/>
      </w:pBdr>
      <w:spacing w:after="160" w:before="320"/>
    </w:pPr>
    <w:rPr>
      <w:rFonts w:ascii="Calibri" w:cs="Calibri" w:eastAsia="Calibri" w:hAnsi="Calibri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60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2026-08-30T18:00:17.336Z</dcterms:created>
  <dcterms:modified xsi:type="dcterms:W3CDTF">2026-08-30T18:00:17.348Z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