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42FB" w:rsidRPr="00CB3F93" w:rsidRDefault="00512281" w:rsidP="00512281">
      <w:pPr>
        <w:spacing w:after="0" w:line="240" w:lineRule="auto"/>
        <w:ind w:left="0" w:right="0" w:firstLine="0"/>
        <w:rPr>
          <w:rFonts w:asciiTheme="minorHAnsi" w:hAnsiTheme="minorHAnsi" w:cstheme="minorHAnsi"/>
          <w:b/>
          <w:color w:val="1F4E79" w:themeColor="accent1" w:themeShade="80"/>
          <w:sz w:val="48"/>
          <w:szCs w:val="48"/>
        </w:rPr>
      </w:pPr>
      <w:r w:rsidRPr="00CB3F93">
        <w:rPr>
          <w:rFonts w:asciiTheme="minorHAnsi" w:hAnsiTheme="minorHAnsi" w:cstheme="minorHAnsi"/>
          <w:b/>
          <w:color w:val="1F4E79" w:themeColor="accent1" w:themeShade="80"/>
          <w:sz w:val="48"/>
          <w:szCs w:val="48"/>
        </w:rPr>
        <w:t>Terms and Conditions</w:t>
      </w:r>
      <w:r w:rsidR="0038507D" w:rsidRPr="00CB3F93">
        <w:rPr>
          <w:rFonts w:asciiTheme="minorHAnsi" w:hAnsiTheme="minorHAnsi" w:cstheme="minorHAnsi"/>
          <w:b/>
          <w:color w:val="1F4E79" w:themeColor="accent1" w:themeShade="80"/>
          <w:sz w:val="48"/>
          <w:szCs w:val="48"/>
        </w:rPr>
        <w:t xml:space="preserve"> – Outward Remittance</w:t>
      </w:r>
    </w:p>
    <w:p w:rsidR="00512281" w:rsidRPr="00CB3F93" w:rsidRDefault="00512281" w:rsidP="00512281">
      <w:pPr>
        <w:spacing w:after="0" w:line="240" w:lineRule="auto"/>
        <w:ind w:left="0" w:right="0" w:firstLine="0"/>
        <w:rPr>
          <w:rFonts w:asciiTheme="minorHAnsi" w:hAnsiTheme="minorHAnsi" w:cstheme="minorHAnsi"/>
          <w:color w:val="1F4E79" w:themeColor="accent1" w:themeShade="80"/>
          <w:szCs w:val="24"/>
        </w:rPr>
      </w:pPr>
    </w:p>
    <w:p w:rsidR="00512281" w:rsidRPr="00CB3F93" w:rsidRDefault="00512281" w:rsidP="0038507D">
      <w:pPr>
        <w:spacing w:after="0" w:line="240" w:lineRule="auto"/>
        <w:ind w:left="0" w:right="0" w:hanging="11"/>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facility of Foreign Outward Remittance through ESFB Online channel being offered by Equitas Small Finance Bank Limited is subject to the following terms and conditions.</w:t>
      </w:r>
    </w:p>
    <w:p w:rsidR="0038507D" w:rsidRPr="00CB3F93" w:rsidRDefault="0038507D" w:rsidP="0038507D">
      <w:pPr>
        <w:spacing w:after="0" w:line="240" w:lineRule="auto"/>
        <w:ind w:left="0" w:right="0" w:hanging="11"/>
        <w:rPr>
          <w:rFonts w:asciiTheme="minorHAnsi" w:hAnsiTheme="minorHAnsi" w:cstheme="minorHAnsi"/>
          <w:color w:val="1F4E79" w:themeColor="accent1" w:themeShade="80"/>
          <w:szCs w:val="24"/>
        </w:rPr>
      </w:pPr>
    </w:p>
    <w:p w:rsidR="00512281" w:rsidRPr="00CB3F93" w:rsidRDefault="00512281" w:rsidP="0038507D">
      <w:pPr>
        <w:spacing w:after="0" w:line="240" w:lineRule="auto"/>
        <w:ind w:left="0" w:right="0" w:hanging="11"/>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Compliance with FEMA, 1999-The user may please note that a foreign outward remittance from India involves drawing of foreign exchange by the user from Equitas Bank, and the same is subject to the provisions of Foreign Exchange Management Act (FEMA), 1999. The user may also note that, as per provisions of the said Act, it is his responsibility to ensure that the transaction is in compliance with the provisions of the said Act, and any rules, regulations, guidelines and notifications issued under the said Act. Any contravention of the same may invite penal action by competent authority under provisions of the said Act.</w:t>
      </w:r>
    </w:p>
    <w:p w:rsidR="0038507D" w:rsidRPr="00CB3F93" w:rsidRDefault="0038507D" w:rsidP="0038507D">
      <w:pPr>
        <w:spacing w:after="0" w:line="240" w:lineRule="auto"/>
        <w:ind w:left="0" w:right="0" w:hanging="11"/>
        <w:rPr>
          <w:rFonts w:asciiTheme="minorHAnsi" w:hAnsiTheme="minorHAnsi" w:cstheme="minorHAnsi"/>
          <w:color w:val="1F4E79" w:themeColor="accent1" w:themeShade="80"/>
          <w:szCs w:val="24"/>
        </w:rPr>
      </w:pPr>
    </w:p>
    <w:p w:rsidR="002D57D9" w:rsidRPr="00CB3F93" w:rsidRDefault="00512281" w:rsidP="0038507D">
      <w:pPr>
        <w:numPr>
          <w:ilvl w:val="0"/>
          <w:numId w:val="1"/>
        </w:numPr>
        <w:spacing w:after="0" w:line="240" w:lineRule="auto"/>
        <w:ind w:left="0" w:right="0"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remitter (i.e. the user) is an individual, Resident in India as defined in Foreign Exchange Management Act (FEMA), 1999, and eligible to draw foreign exchange under provisions of Liberalised Remittance Scheme (LRS) as notified by Reserve Bank of India.</w:t>
      </w:r>
    </w:p>
    <w:p w:rsidR="0038507D" w:rsidRPr="00CB3F93" w:rsidRDefault="0038507D" w:rsidP="0038507D">
      <w:pPr>
        <w:spacing w:after="0" w:line="240" w:lineRule="auto"/>
        <w:ind w:left="0" w:right="0" w:firstLine="0"/>
        <w:jc w:val="both"/>
        <w:rPr>
          <w:rFonts w:asciiTheme="minorHAnsi" w:hAnsiTheme="minorHAnsi" w:cstheme="minorHAnsi"/>
          <w:color w:val="1F4E79" w:themeColor="accent1" w:themeShade="80"/>
          <w:szCs w:val="24"/>
        </w:rPr>
      </w:pPr>
    </w:p>
    <w:p w:rsidR="002D57D9" w:rsidRPr="00CB3F93" w:rsidRDefault="00512281" w:rsidP="0038507D">
      <w:pPr>
        <w:pStyle w:val="ListParagraph"/>
        <w:numPr>
          <w:ilvl w:val="0"/>
          <w:numId w:val="1"/>
        </w:numPr>
        <w:spacing w:after="0" w:line="240" w:lineRule="auto"/>
        <w:ind w:left="0" w:right="0"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Remittance Facility is available only for Customers who have completed full KYC requirements as per the bank.</w:t>
      </w:r>
    </w:p>
    <w:p w:rsidR="0038507D" w:rsidRPr="00CB3F93" w:rsidRDefault="0038507D" w:rsidP="0038507D">
      <w:pPr>
        <w:pStyle w:val="ListParagraph"/>
        <w:spacing w:after="0" w:line="240" w:lineRule="auto"/>
        <w:ind w:left="0" w:right="0" w:firstLine="0"/>
        <w:jc w:val="both"/>
        <w:rPr>
          <w:rFonts w:asciiTheme="minorHAnsi" w:hAnsiTheme="minorHAnsi" w:cstheme="minorHAnsi"/>
          <w:color w:val="1F4E79" w:themeColor="accent1" w:themeShade="80"/>
          <w:szCs w:val="24"/>
        </w:rPr>
      </w:pPr>
    </w:p>
    <w:p w:rsidR="002D57D9" w:rsidRPr="00CB3F93" w:rsidRDefault="00512281" w:rsidP="002D57D9">
      <w:pPr>
        <w:pStyle w:val="ListParagraph"/>
        <w:numPr>
          <w:ilvl w:val="0"/>
          <w:numId w:val="1"/>
        </w:numPr>
        <w:spacing w:after="0" w:line="240" w:lineRule="auto"/>
        <w:ind w:left="0" w:right="0"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total amount of foreign exchange drawn by the user from all sources during the current financial year, including the present transaction, does not exceed USD 250,000 or equivalent.</w:t>
      </w:r>
    </w:p>
    <w:p w:rsidR="0038507D" w:rsidRPr="00CB3F93" w:rsidRDefault="0038507D" w:rsidP="0038507D">
      <w:pPr>
        <w:pStyle w:val="ListParagraph"/>
        <w:spacing w:after="0" w:line="240" w:lineRule="auto"/>
        <w:ind w:left="0" w:right="0" w:firstLine="0"/>
        <w:jc w:val="both"/>
        <w:rPr>
          <w:rFonts w:asciiTheme="minorHAnsi" w:hAnsiTheme="minorHAnsi" w:cstheme="minorHAnsi"/>
          <w:color w:val="1F4E79" w:themeColor="accent1" w:themeShade="80"/>
          <w:szCs w:val="24"/>
        </w:rPr>
      </w:pPr>
    </w:p>
    <w:p w:rsidR="00512281" w:rsidRPr="00CB3F93" w:rsidRDefault="00512281" w:rsidP="002D57D9">
      <w:pPr>
        <w:numPr>
          <w:ilvl w:val="0"/>
          <w:numId w:val="1"/>
        </w:numPr>
        <w:spacing w:after="0" w:line="240" w:lineRule="auto"/>
        <w:ind w:left="0" w:right="-23"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On the Equitas Bank Internet Banking Channel, Remittance Facility is being offered to resident individuals in India who are eligible to draw foreign exchange under Liberalized Remittance Scheme of Reserve Bank of India, and for limited purposes, as allowed by the Bank from time to time, which are in the nature of Current Account and Capital Account transactions, within the provisions of the said Act.</w:t>
      </w:r>
    </w:p>
    <w:p w:rsidR="0038507D" w:rsidRPr="00CB3F93" w:rsidRDefault="0038507D" w:rsidP="0038507D">
      <w:pPr>
        <w:spacing w:after="0" w:line="240" w:lineRule="auto"/>
        <w:ind w:left="0" w:right="-23" w:firstLine="0"/>
        <w:jc w:val="both"/>
        <w:rPr>
          <w:rFonts w:asciiTheme="minorHAnsi" w:hAnsiTheme="minorHAnsi" w:cstheme="minorHAnsi"/>
          <w:color w:val="1F4E79" w:themeColor="accent1" w:themeShade="80"/>
          <w:szCs w:val="24"/>
        </w:rPr>
      </w:pPr>
    </w:p>
    <w:p w:rsidR="00512281" w:rsidRPr="00CB3F93" w:rsidRDefault="00512281" w:rsidP="0038507D">
      <w:pPr>
        <w:numPr>
          <w:ilvl w:val="0"/>
          <w:numId w:val="1"/>
        </w:numPr>
        <w:spacing w:after="0" w:line="240" w:lineRule="auto"/>
        <w:ind w:left="0" w:right="-23" w:firstLine="0"/>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remitter (i.e. the user) himself/herself is not a holder in the beneficiary account to which the remittance is being made under purpose of GIFT. Except for remittances sent under the purpose of "Remittance to own account abroad".</w:t>
      </w:r>
    </w:p>
    <w:p w:rsidR="0038507D" w:rsidRPr="00CB3F93" w:rsidRDefault="0038507D" w:rsidP="0038507D">
      <w:pPr>
        <w:spacing w:after="0" w:line="240" w:lineRule="auto"/>
        <w:ind w:left="0" w:right="-23" w:firstLine="0"/>
        <w:rPr>
          <w:rFonts w:asciiTheme="minorHAnsi" w:hAnsiTheme="minorHAnsi" w:cstheme="minorHAnsi"/>
          <w:color w:val="1F4E79" w:themeColor="accent1" w:themeShade="80"/>
          <w:szCs w:val="24"/>
        </w:rPr>
      </w:pPr>
    </w:p>
    <w:p w:rsidR="00512281" w:rsidRPr="00CB3F93" w:rsidRDefault="00512281" w:rsidP="0038507D">
      <w:pPr>
        <w:numPr>
          <w:ilvl w:val="0"/>
          <w:numId w:val="1"/>
        </w:numPr>
        <w:spacing w:after="0" w:line="240" w:lineRule="auto"/>
        <w:ind w:left="0" w:right="-23"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remitter hereby confirm that the transaction is not linked to Iran/Crimea region of UKRAINE.</w:t>
      </w:r>
    </w:p>
    <w:p w:rsidR="0038507D" w:rsidRPr="00CB3F93" w:rsidRDefault="0038507D" w:rsidP="0038507D">
      <w:pPr>
        <w:spacing w:after="0" w:line="240" w:lineRule="auto"/>
        <w:ind w:left="0" w:right="-23" w:firstLine="0"/>
        <w:jc w:val="both"/>
        <w:rPr>
          <w:rFonts w:asciiTheme="minorHAnsi" w:hAnsiTheme="minorHAnsi" w:cstheme="minorHAnsi"/>
          <w:color w:val="1F4E79" w:themeColor="accent1" w:themeShade="80"/>
          <w:szCs w:val="24"/>
        </w:rPr>
      </w:pPr>
    </w:p>
    <w:p w:rsidR="00512281" w:rsidRPr="00CB3F93" w:rsidRDefault="00512281" w:rsidP="0038507D">
      <w:pPr>
        <w:numPr>
          <w:ilvl w:val="0"/>
          <w:numId w:val="1"/>
        </w:numPr>
        <w:spacing w:after="0" w:line="240" w:lineRule="auto"/>
        <w:ind w:left="0" w:right="-23"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Remittance under PURPOSE of Maintenance of Close Relative the beneficiary should be a resident outside India and does not hold any resident account in India and with whom relation is as declared.</w:t>
      </w:r>
    </w:p>
    <w:p w:rsidR="0038507D" w:rsidRPr="00CB3F93" w:rsidRDefault="0038507D" w:rsidP="0038507D">
      <w:pPr>
        <w:spacing w:after="0" w:line="240" w:lineRule="auto"/>
        <w:ind w:left="0" w:right="-23" w:firstLine="0"/>
        <w:jc w:val="both"/>
        <w:rPr>
          <w:rFonts w:asciiTheme="minorHAnsi" w:hAnsiTheme="minorHAnsi" w:cstheme="minorHAnsi"/>
          <w:color w:val="1F4E79" w:themeColor="accent1" w:themeShade="80"/>
          <w:szCs w:val="24"/>
        </w:rPr>
      </w:pPr>
    </w:p>
    <w:p w:rsidR="0038507D" w:rsidRPr="00CB3F93" w:rsidRDefault="00512281" w:rsidP="0038507D">
      <w:pPr>
        <w:numPr>
          <w:ilvl w:val="0"/>
          <w:numId w:val="1"/>
        </w:numPr>
        <w:spacing w:after="0" w:line="240" w:lineRule="auto"/>
        <w:ind w:left="0" w:right="-23"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remittance is not intended and will not be used for trading in foreign currency, or, dealing in Bitcoins or any other virtual currency.</w:t>
      </w:r>
    </w:p>
    <w:p w:rsidR="0038507D" w:rsidRPr="00CB3F93" w:rsidRDefault="0038507D" w:rsidP="0038507D">
      <w:pPr>
        <w:spacing w:after="0" w:line="240" w:lineRule="auto"/>
        <w:ind w:left="0" w:right="-23" w:firstLine="0"/>
        <w:jc w:val="both"/>
        <w:rPr>
          <w:rFonts w:asciiTheme="minorHAnsi" w:hAnsiTheme="minorHAnsi" w:cstheme="minorHAnsi"/>
          <w:color w:val="1F4E79" w:themeColor="accent1" w:themeShade="80"/>
          <w:szCs w:val="24"/>
        </w:rPr>
      </w:pPr>
    </w:p>
    <w:p w:rsidR="00512281" w:rsidRPr="00CB3F93" w:rsidRDefault="00512281" w:rsidP="0038507D">
      <w:pPr>
        <w:numPr>
          <w:ilvl w:val="0"/>
          <w:numId w:val="1"/>
        </w:numPr>
        <w:spacing w:after="0" w:line="240" w:lineRule="auto"/>
        <w:ind w:left="0" w:right="-23"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remittance is not intended and will not be used for any purpose that is prohibited or restricted under the Foreign Exchange Management Act, 1999 or any rules, regulations or guidelines issued under the said Act.</w:t>
      </w:r>
    </w:p>
    <w:p w:rsidR="00512281" w:rsidRPr="00CB3F93" w:rsidRDefault="00512281" w:rsidP="0038507D">
      <w:pPr>
        <w:pStyle w:val="ListParagraph"/>
        <w:numPr>
          <w:ilvl w:val="0"/>
          <w:numId w:val="1"/>
        </w:numPr>
        <w:spacing w:after="0" w:line="240" w:lineRule="auto"/>
        <w:ind w:left="0" w:right="0"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Bank shall perform the Transfer only if sufficient credit balance in Indian Rupee is available in Customer's relevant bank account with the Bank. Customers will be shown the applicable exchange rate and INR equivalent amount, inclusive of applicable charges and taxes (GST &amp; TCS), which will be debited from Customer's savings bank account with the Bank for the Transfer. Bank reserves the right to recalculate and debit the applicable TCS amount basis the LRS limit utilisation. Same day transfers will only be performed for the Transfers initiated on or before the cut-off time stipulated by the Bank for the transferred currency/country as published on the Banking Channel.</w:t>
      </w:r>
    </w:p>
    <w:p w:rsidR="0038507D" w:rsidRPr="00CB3F93" w:rsidRDefault="0038507D" w:rsidP="0038507D">
      <w:pPr>
        <w:pStyle w:val="ListParagraph"/>
        <w:spacing w:after="0" w:line="240" w:lineRule="auto"/>
        <w:ind w:left="0" w:right="0" w:firstLine="0"/>
        <w:jc w:val="both"/>
        <w:rPr>
          <w:rFonts w:asciiTheme="minorHAnsi" w:hAnsiTheme="minorHAnsi" w:cstheme="minorHAnsi"/>
          <w:color w:val="1F4E79" w:themeColor="accent1" w:themeShade="80"/>
          <w:szCs w:val="24"/>
        </w:rPr>
      </w:pPr>
    </w:p>
    <w:p w:rsidR="00512281" w:rsidRPr="00CB3F93" w:rsidRDefault="00512281" w:rsidP="0038507D">
      <w:pPr>
        <w:numPr>
          <w:ilvl w:val="0"/>
          <w:numId w:val="1"/>
        </w:numPr>
        <w:spacing w:after="0" w:line="240" w:lineRule="auto"/>
        <w:ind w:left="0" w:right="120" w:firstLine="0"/>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Remittance Facility through Equitas Bank Digi Remit Channel is currently subject to the following limits on the amount of remittance:</w:t>
      </w:r>
    </w:p>
    <w:p w:rsidR="00512281" w:rsidRPr="00CB3F93" w:rsidRDefault="00512281" w:rsidP="0038507D">
      <w:pPr>
        <w:numPr>
          <w:ilvl w:val="1"/>
          <w:numId w:val="1"/>
        </w:numPr>
        <w:spacing w:after="0" w:line="240" w:lineRule="auto"/>
        <w:ind w:left="0" w:right="0" w:firstLine="0"/>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Minimum Amount Per Transaction - USD 10 or equivalent</w:t>
      </w:r>
    </w:p>
    <w:p w:rsidR="00512281" w:rsidRPr="00CB3F93" w:rsidRDefault="00512281" w:rsidP="0038507D">
      <w:pPr>
        <w:numPr>
          <w:ilvl w:val="1"/>
          <w:numId w:val="1"/>
        </w:numPr>
        <w:spacing w:after="0" w:line="240" w:lineRule="auto"/>
        <w:ind w:left="0" w:right="0" w:firstLine="0"/>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 xml:space="preserve">Maximum Amount Per Transaction </w:t>
      </w:r>
      <w:r w:rsidR="006A4593" w:rsidRPr="00CB3F93">
        <w:rPr>
          <w:rFonts w:asciiTheme="minorHAnsi" w:hAnsiTheme="minorHAnsi" w:cstheme="minorHAnsi"/>
          <w:color w:val="1F4E79" w:themeColor="accent1" w:themeShade="80"/>
          <w:szCs w:val="24"/>
        </w:rPr>
        <w:t>–</w:t>
      </w:r>
      <w:r w:rsidRPr="00CB3F93">
        <w:rPr>
          <w:rFonts w:asciiTheme="minorHAnsi" w:hAnsiTheme="minorHAnsi" w:cstheme="minorHAnsi"/>
          <w:color w:val="1F4E79" w:themeColor="accent1" w:themeShade="80"/>
          <w:szCs w:val="24"/>
        </w:rPr>
        <w:t xml:space="preserve"> USD</w:t>
      </w:r>
      <w:r w:rsidR="006A4593" w:rsidRPr="00CB3F93">
        <w:rPr>
          <w:rFonts w:asciiTheme="minorHAnsi" w:hAnsiTheme="minorHAnsi" w:cstheme="minorHAnsi"/>
          <w:color w:val="1F4E79" w:themeColor="accent1" w:themeShade="80"/>
          <w:szCs w:val="24"/>
        </w:rPr>
        <w:t xml:space="preserve"> </w:t>
      </w:r>
      <w:r w:rsidRPr="00CB3F93">
        <w:rPr>
          <w:rFonts w:asciiTheme="minorHAnsi" w:hAnsiTheme="minorHAnsi" w:cstheme="minorHAnsi"/>
          <w:color w:val="1F4E79" w:themeColor="accent1" w:themeShade="80"/>
          <w:szCs w:val="24"/>
        </w:rPr>
        <w:t>25,000 or equivalent</w:t>
      </w:r>
    </w:p>
    <w:p w:rsidR="00512281" w:rsidRPr="00CB3F93" w:rsidRDefault="00512281" w:rsidP="0038507D">
      <w:pPr>
        <w:numPr>
          <w:ilvl w:val="1"/>
          <w:numId w:val="1"/>
        </w:numPr>
        <w:spacing w:after="0" w:line="240" w:lineRule="auto"/>
        <w:ind w:left="0" w:right="0" w:firstLine="0"/>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 xml:space="preserve">Maximum Amount Per Financial Year </w:t>
      </w:r>
      <w:r w:rsidR="0038507D" w:rsidRPr="00CB3F93">
        <w:rPr>
          <w:rFonts w:asciiTheme="minorHAnsi" w:hAnsiTheme="minorHAnsi" w:cstheme="minorHAnsi"/>
          <w:color w:val="1F4E79" w:themeColor="accent1" w:themeShade="80"/>
          <w:szCs w:val="24"/>
        </w:rPr>
        <w:t>–</w:t>
      </w:r>
      <w:r w:rsidRPr="00CB3F93">
        <w:rPr>
          <w:rFonts w:asciiTheme="minorHAnsi" w:hAnsiTheme="minorHAnsi" w:cstheme="minorHAnsi"/>
          <w:color w:val="1F4E79" w:themeColor="accent1" w:themeShade="80"/>
          <w:szCs w:val="24"/>
        </w:rPr>
        <w:t xml:space="preserve"> USD</w:t>
      </w:r>
      <w:r w:rsidR="0038507D" w:rsidRPr="00CB3F93">
        <w:rPr>
          <w:rFonts w:asciiTheme="minorHAnsi" w:hAnsiTheme="minorHAnsi" w:cstheme="minorHAnsi"/>
          <w:color w:val="1F4E79" w:themeColor="accent1" w:themeShade="80"/>
          <w:szCs w:val="24"/>
        </w:rPr>
        <w:t xml:space="preserve"> </w:t>
      </w:r>
      <w:r w:rsidRPr="00CB3F93">
        <w:rPr>
          <w:rFonts w:asciiTheme="minorHAnsi" w:hAnsiTheme="minorHAnsi" w:cstheme="minorHAnsi"/>
          <w:color w:val="1F4E79" w:themeColor="accent1" w:themeShade="80"/>
          <w:szCs w:val="24"/>
        </w:rPr>
        <w:t>250,000 or equivalent</w:t>
      </w:r>
    </w:p>
    <w:p w:rsidR="0038507D" w:rsidRPr="00CB3F93" w:rsidRDefault="0038507D" w:rsidP="0038507D">
      <w:pPr>
        <w:spacing w:after="0" w:line="240" w:lineRule="auto"/>
        <w:ind w:left="0" w:right="0" w:firstLine="0"/>
        <w:rPr>
          <w:rFonts w:asciiTheme="minorHAnsi" w:hAnsiTheme="minorHAnsi" w:cstheme="minorHAnsi"/>
          <w:color w:val="1F4E79" w:themeColor="accent1" w:themeShade="80"/>
          <w:szCs w:val="24"/>
        </w:rPr>
      </w:pPr>
    </w:p>
    <w:p w:rsidR="006A4593" w:rsidRPr="00CB3F93" w:rsidRDefault="006A4593" w:rsidP="0038507D">
      <w:pPr>
        <w:numPr>
          <w:ilvl w:val="0"/>
          <w:numId w:val="1"/>
        </w:numPr>
        <w:spacing w:after="0" w:line="240" w:lineRule="auto"/>
        <w:ind w:left="0" w:right="-22"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In case of transaction reversals/returns by the beneficiary bank, the Bank shall have the right to credit the funds back to your account after deducting any applicable return/processing charges including correspondent bank charges.</w:t>
      </w:r>
    </w:p>
    <w:p w:rsidR="0038507D" w:rsidRPr="00CB3F93" w:rsidRDefault="0038507D" w:rsidP="0038507D">
      <w:pPr>
        <w:spacing w:after="0" w:line="240" w:lineRule="auto"/>
        <w:ind w:left="0" w:right="-22" w:firstLine="0"/>
        <w:jc w:val="both"/>
        <w:rPr>
          <w:rFonts w:asciiTheme="minorHAnsi" w:hAnsiTheme="minorHAnsi" w:cstheme="minorHAnsi"/>
          <w:color w:val="1F4E79" w:themeColor="accent1" w:themeShade="80"/>
          <w:szCs w:val="24"/>
        </w:rPr>
      </w:pPr>
    </w:p>
    <w:p w:rsidR="006A4593" w:rsidRPr="00CB3F93" w:rsidRDefault="006A4593" w:rsidP="0038507D">
      <w:pPr>
        <w:numPr>
          <w:ilvl w:val="0"/>
          <w:numId w:val="1"/>
        </w:numPr>
        <w:spacing w:after="0" w:line="240" w:lineRule="auto"/>
        <w:ind w:left="-10" w:right="0"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 xml:space="preserve">Beneficiary Details - It is the responsibility of the remitter to double check and ensure correctness of the details of the Beneficiary Bank, Intermediary Bank (i.e. SWIFT Code, ABA No, Clearing codes and IBAN No.) and Beneficiary's Account No for purposes of foreign/overseas fund transfer. The remitter must note that it is not possible for ESFB to cross-check/verify these details and any error, inadvertent or otherwise, in providing these details by the user can lead funds getting credited to a wrong Bank / Account in foreign lands. It will not be possible for ESFB Bank to recall / retrieve the funds in such situation and may cause a financial loss to the user. Equitas Bank will not be responsible for any loss arising to the user due to such </w:t>
      </w:r>
      <w:r w:rsidR="002D57D9" w:rsidRPr="00CB3F93">
        <w:rPr>
          <w:rFonts w:asciiTheme="minorHAnsi" w:hAnsiTheme="minorHAnsi" w:cstheme="minorHAnsi"/>
          <w:color w:val="1F4E79" w:themeColor="accent1" w:themeShade="80"/>
          <w:szCs w:val="24"/>
        </w:rPr>
        <w:t>errors. May</w:t>
      </w:r>
      <w:r w:rsidRPr="00CB3F93">
        <w:rPr>
          <w:rFonts w:asciiTheme="minorHAnsi" w:hAnsiTheme="minorHAnsi" w:cstheme="minorHAnsi"/>
          <w:color w:val="1F4E79" w:themeColor="accent1" w:themeShade="80"/>
          <w:szCs w:val="24"/>
        </w:rPr>
        <w:t xml:space="preserve"> cause a financial loss to the user. Equitas Bank will not be responsible for any loss arising to the user due to such errors.</w:t>
      </w:r>
    </w:p>
    <w:p w:rsidR="0038507D" w:rsidRPr="00CB3F93" w:rsidRDefault="0038507D" w:rsidP="0038507D">
      <w:pPr>
        <w:spacing w:after="0" w:line="240" w:lineRule="auto"/>
        <w:ind w:left="0" w:right="0" w:firstLine="0"/>
        <w:jc w:val="both"/>
        <w:rPr>
          <w:rFonts w:asciiTheme="minorHAnsi" w:hAnsiTheme="minorHAnsi" w:cstheme="minorHAnsi"/>
          <w:color w:val="1F4E79" w:themeColor="accent1" w:themeShade="80"/>
          <w:szCs w:val="24"/>
        </w:rPr>
      </w:pPr>
    </w:p>
    <w:p w:rsidR="006A4593" w:rsidRPr="00CB3F93" w:rsidRDefault="006A4593" w:rsidP="0038507D">
      <w:pPr>
        <w:numPr>
          <w:ilvl w:val="0"/>
          <w:numId w:val="1"/>
        </w:numPr>
        <w:spacing w:after="0" w:line="240" w:lineRule="auto"/>
        <w:ind w:left="0" w:right="-22"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Bank is not obliged to entertain any requests for recall of successful Transfer(s), and any recall (if made) shall be on a reasonable endeavour basis at the sole discretion of the Bank. In the event a recall is successful, the Customer shall be liable for all fees, charges and/or foreign exchange losses arising out of the Transfer and recall.</w:t>
      </w:r>
    </w:p>
    <w:p w:rsidR="0038507D" w:rsidRPr="00CB3F93" w:rsidRDefault="0038507D" w:rsidP="0038507D">
      <w:pPr>
        <w:spacing w:after="0" w:line="240" w:lineRule="auto"/>
        <w:ind w:left="0" w:right="-22" w:firstLine="0"/>
        <w:jc w:val="both"/>
        <w:rPr>
          <w:rFonts w:asciiTheme="minorHAnsi" w:hAnsiTheme="minorHAnsi" w:cstheme="minorHAnsi"/>
          <w:color w:val="1F4E79" w:themeColor="accent1" w:themeShade="80"/>
          <w:szCs w:val="24"/>
        </w:rPr>
      </w:pPr>
    </w:p>
    <w:p w:rsidR="006A4593" w:rsidRPr="00CB3F93" w:rsidRDefault="006A4593" w:rsidP="0038507D">
      <w:pPr>
        <w:numPr>
          <w:ilvl w:val="0"/>
          <w:numId w:val="1"/>
        </w:numPr>
        <w:spacing w:after="0" w:line="240" w:lineRule="auto"/>
        <w:ind w:left="0" w:right="-22" w:firstLine="0"/>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Bank will not be liable to execute a payment/Transfer and/or for any losses arising out of non-payment in following scenarios:</w:t>
      </w:r>
    </w:p>
    <w:p w:rsidR="006A4593" w:rsidRPr="00CB3F93" w:rsidRDefault="006A4593" w:rsidP="0038507D">
      <w:pPr>
        <w:pStyle w:val="ListParagraph"/>
        <w:numPr>
          <w:ilvl w:val="0"/>
          <w:numId w:val="7"/>
        </w:numPr>
        <w:spacing w:after="0" w:line="240" w:lineRule="auto"/>
        <w:ind w:right="-22"/>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Sufficient credit balance is not available in your relevant bank account to execute the</w:t>
      </w:r>
    </w:p>
    <w:p w:rsidR="006A4593" w:rsidRPr="00CB3F93" w:rsidRDefault="006A4593" w:rsidP="0038507D">
      <w:pPr>
        <w:spacing w:after="0" w:line="240" w:lineRule="auto"/>
        <w:ind w:left="0" w:right="-22"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transfer</w:t>
      </w:r>
    </w:p>
    <w:p w:rsidR="006A4593" w:rsidRPr="00CB3F93" w:rsidRDefault="006A4593" w:rsidP="0038507D">
      <w:pPr>
        <w:pStyle w:val="ListParagraph"/>
        <w:numPr>
          <w:ilvl w:val="0"/>
          <w:numId w:val="7"/>
        </w:numPr>
        <w:spacing w:after="0" w:line="240" w:lineRule="auto"/>
        <w:ind w:right="-22"/>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payment details/instruction are incomplete or incorrect.</w:t>
      </w:r>
    </w:p>
    <w:p w:rsidR="006A4593" w:rsidRPr="00CB3F93" w:rsidRDefault="006A4593" w:rsidP="0038507D">
      <w:pPr>
        <w:pStyle w:val="ListParagraph"/>
        <w:numPr>
          <w:ilvl w:val="0"/>
          <w:numId w:val="7"/>
        </w:numPr>
        <w:spacing w:after="0" w:line="240" w:lineRule="auto"/>
        <w:ind w:right="-22"/>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Bank has reason to believe that the payment instruction is issued to carry out an unlawful transaction or is in contravention to prevalent regulation and FEMA provisions or international restrictions applicable to such remittances (if any).</w:t>
      </w:r>
    </w:p>
    <w:p w:rsidR="00FA2794" w:rsidRPr="00CB3F93" w:rsidRDefault="006A4593" w:rsidP="0038507D">
      <w:pPr>
        <w:pStyle w:val="ListParagraph"/>
        <w:numPr>
          <w:ilvl w:val="0"/>
          <w:numId w:val="7"/>
        </w:numPr>
        <w:spacing w:after="0" w:line="240" w:lineRule="auto"/>
        <w:ind w:right="-22"/>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payment instruction cannot be executed on account of a court order/attachment etc.</w:t>
      </w:r>
    </w:p>
    <w:p w:rsidR="00512281" w:rsidRPr="00CB3F93" w:rsidRDefault="006A4593" w:rsidP="0038507D">
      <w:pPr>
        <w:pStyle w:val="ListParagraph"/>
        <w:numPr>
          <w:ilvl w:val="0"/>
          <w:numId w:val="7"/>
        </w:numPr>
        <w:spacing w:after="0" w:line="240" w:lineRule="auto"/>
        <w:ind w:right="-22"/>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Non-availability of internal systems, Swift network or any other payment transmission mode which is beyond Bank's control</w:t>
      </w:r>
      <w:r w:rsidR="00FA2794" w:rsidRPr="00CB3F93">
        <w:rPr>
          <w:rFonts w:asciiTheme="minorHAnsi" w:hAnsiTheme="minorHAnsi" w:cstheme="minorHAnsi"/>
          <w:color w:val="1F4E79" w:themeColor="accent1" w:themeShade="80"/>
          <w:szCs w:val="24"/>
        </w:rPr>
        <w:t>.</w:t>
      </w:r>
    </w:p>
    <w:p w:rsidR="002D57D9" w:rsidRPr="00CB3F93" w:rsidRDefault="002D57D9" w:rsidP="0038507D">
      <w:pPr>
        <w:pStyle w:val="ListParagraph"/>
        <w:numPr>
          <w:ilvl w:val="0"/>
          <w:numId w:val="7"/>
        </w:numPr>
        <w:spacing w:after="0" w:line="240" w:lineRule="auto"/>
        <w:ind w:right="-22"/>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 xml:space="preserve">Remittances will be processed only for </w:t>
      </w:r>
      <w:proofErr w:type="spellStart"/>
      <w:r w:rsidRPr="00CB3F93">
        <w:rPr>
          <w:rFonts w:asciiTheme="minorHAnsi" w:hAnsiTheme="minorHAnsi" w:cstheme="minorHAnsi"/>
          <w:color w:val="1F4E79" w:themeColor="accent1" w:themeShade="80"/>
          <w:szCs w:val="24"/>
        </w:rPr>
        <w:t>bonafide</w:t>
      </w:r>
      <w:proofErr w:type="spellEnd"/>
      <w:r w:rsidRPr="00CB3F93">
        <w:rPr>
          <w:rFonts w:asciiTheme="minorHAnsi" w:hAnsiTheme="minorHAnsi" w:cstheme="minorHAnsi"/>
          <w:color w:val="1F4E79" w:themeColor="accent1" w:themeShade="80"/>
          <w:szCs w:val="24"/>
        </w:rPr>
        <w:t xml:space="preserve"> and permissible purposes as per RBI/FEMA guidelines.</w:t>
      </w:r>
    </w:p>
    <w:p w:rsidR="002D57D9" w:rsidRPr="00CB3F93" w:rsidRDefault="002D57D9" w:rsidP="0038507D">
      <w:pPr>
        <w:pStyle w:val="ListParagraph"/>
        <w:numPr>
          <w:ilvl w:val="0"/>
          <w:numId w:val="7"/>
        </w:numPr>
        <w:spacing w:after="0" w:line="240" w:lineRule="auto"/>
        <w:ind w:right="-22"/>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Customers must provide complete and valid supporting documents for the stated purpose of remittance.</w:t>
      </w:r>
    </w:p>
    <w:p w:rsidR="002D57D9" w:rsidRPr="00CB3F93" w:rsidRDefault="002D57D9" w:rsidP="0038507D">
      <w:pPr>
        <w:pStyle w:val="ListParagraph"/>
        <w:numPr>
          <w:ilvl w:val="0"/>
          <w:numId w:val="7"/>
        </w:numPr>
        <w:spacing w:after="0" w:line="240" w:lineRule="auto"/>
        <w:ind w:right="-22"/>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Bank reserves the right to reject or delay any transaction if regulatory or internal compliance requirements are not met.</w:t>
      </w:r>
    </w:p>
    <w:p w:rsidR="002D57D9" w:rsidRPr="00CB3F93" w:rsidRDefault="002D57D9" w:rsidP="0038507D">
      <w:pPr>
        <w:pStyle w:val="ListParagraph"/>
        <w:numPr>
          <w:ilvl w:val="0"/>
          <w:numId w:val="7"/>
        </w:numPr>
        <w:spacing w:after="0" w:line="240" w:lineRule="auto"/>
        <w:ind w:right="-22"/>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Exchange rates are subject to market fluctuations until the transaction is executed.</w:t>
      </w:r>
    </w:p>
    <w:p w:rsidR="002D57D9" w:rsidRPr="00CB3F93" w:rsidRDefault="002D57D9" w:rsidP="0038507D">
      <w:pPr>
        <w:pStyle w:val="ListParagraph"/>
        <w:numPr>
          <w:ilvl w:val="0"/>
          <w:numId w:val="7"/>
        </w:numPr>
        <w:spacing w:after="0" w:line="240" w:lineRule="auto"/>
        <w:ind w:right="-22"/>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Applicable charges, correspondent bank fees, and taxes (GST, TCS, etc.) will be recovered from the remitter.</w:t>
      </w:r>
    </w:p>
    <w:p w:rsidR="005C42FB" w:rsidRPr="00CB3F93" w:rsidRDefault="005C42FB" w:rsidP="005C42FB">
      <w:pPr>
        <w:pStyle w:val="ListParagraph"/>
        <w:numPr>
          <w:ilvl w:val="0"/>
          <w:numId w:val="7"/>
        </w:numPr>
        <w:spacing w:after="0" w:line="240" w:lineRule="auto"/>
        <w:ind w:right="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rPr>
        <w:t>The amount converted from Indian Rupees (INR) to foreign currency for processing the outward remittance transaction is subject to FCCT and GST based on prevailing tax regulations.</w:t>
      </w:r>
    </w:p>
    <w:p w:rsidR="002D57D9" w:rsidRPr="00CB3F93" w:rsidRDefault="002D57D9" w:rsidP="0038507D">
      <w:pPr>
        <w:pStyle w:val="ListParagraph"/>
        <w:numPr>
          <w:ilvl w:val="0"/>
          <w:numId w:val="7"/>
        </w:numPr>
        <w:spacing w:after="0" w:line="240" w:lineRule="auto"/>
        <w:ind w:right="-22"/>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Remittances once executed cannot be reversed or cancelled; recall requests, if any, will be on a best-effort basis.</w:t>
      </w:r>
    </w:p>
    <w:p w:rsidR="002D57D9" w:rsidRPr="00CB3F93" w:rsidRDefault="002D57D9" w:rsidP="0038507D">
      <w:pPr>
        <w:pStyle w:val="ListParagraph"/>
        <w:numPr>
          <w:ilvl w:val="0"/>
          <w:numId w:val="7"/>
        </w:numPr>
        <w:spacing w:after="0" w:line="240" w:lineRule="auto"/>
        <w:ind w:right="-22"/>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Bank will not be responsible for delays or losses arising out of intermediary bank actions or regulatory restrictions.</w:t>
      </w:r>
    </w:p>
    <w:p w:rsidR="002D57D9" w:rsidRPr="00CB3F93" w:rsidRDefault="002D57D9" w:rsidP="0038507D">
      <w:pPr>
        <w:pStyle w:val="ListParagraph"/>
        <w:numPr>
          <w:ilvl w:val="0"/>
          <w:numId w:val="7"/>
        </w:numPr>
        <w:spacing w:after="0" w:line="240" w:lineRule="auto"/>
        <w:ind w:right="-22"/>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All transactions are subject to verification of KYC/AML compliance and internal risk parameters.</w:t>
      </w:r>
    </w:p>
    <w:p w:rsidR="002D57D9" w:rsidRPr="00CB3F93" w:rsidRDefault="002D57D9" w:rsidP="0038507D">
      <w:pPr>
        <w:pStyle w:val="ListParagraph"/>
        <w:numPr>
          <w:ilvl w:val="0"/>
          <w:numId w:val="7"/>
        </w:numPr>
        <w:spacing w:after="0" w:line="240" w:lineRule="auto"/>
        <w:ind w:right="-22"/>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The customer must ensure adherence to LRS limits (for residents) and NRE/NRO/FCNR account guidelines (for NRIs).</w:t>
      </w:r>
    </w:p>
    <w:p w:rsidR="0038507D" w:rsidRPr="00CB3F93" w:rsidRDefault="0038507D" w:rsidP="007E4BCB">
      <w:pPr>
        <w:pStyle w:val="ListParagraph"/>
        <w:numPr>
          <w:ilvl w:val="0"/>
          <w:numId w:val="7"/>
        </w:numPr>
        <w:spacing w:after="0" w:line="240" w:lineRule="auto"/>
        <w:ind w:right="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In case the applicant refuses to comply with any such requirement or makes unsatisfactory compliance therewith, the Authorised Dealer shall refuse, in writing, to undertake the transaction and shall, if he has reasons to believe that any contravention / evasion is contemplated by the person, report the matter to the Reserve Bank.</w:t>
      </w:r>
    </w:p>
    <w:p w:rsidR="002D57D9" w:rsidRPr="00CB3F93" w:rsidRDefault="002D57D9" w:rsidP="0038507D">
      <w:pPr>
        <w:pStyle w:val="ListParagraph"/>
        <w:spacing w:after="0" w:line="240" w:lineRule="auto"/>
        <w:ind w:firstLine="0"/>
        <w:rPr>
          <w:rFonts w:asciiTheme="minorHAnsi" w:hAnsiTheme="minorHAnsi" w:cstheme="minorHAnsi"/>
          <w:color w:val="1F4E79" w:themeColor="accent1" w:themeShade="80"/>
          <w:szCs w:val="24"/>
        </w:rPr>
      </w:pPr>
    </w:p>
    <w:p w:rsidR="00FA2794" w:rsidRPr="00CB3F93" w:rsidRDefault="00FA2794" w:rsidP="0038507D">
      <w:pPr>
        <w:pStyle w:val="ListParagraph"/>
        <w:numPr>
          <w:ilvl w:val="0"/>
          <w:numId w:val="1"/>
        </w:numPr>
        <w:spacing w:after="0" w:line="240" w:lineRule="auto"/>
        <w:ind w:left="0" w:right="-22"/>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Customers agree that, in the event of the Transfer getting delayed or withheld at the foreign bank(s), for any reason whatsoever, Customer shall have no claim against the Bank for such delay or withholding of funds.</w:t>
      </w:r>
    </w:p>
    <w:p w:rsidR="00FA2794" w:rsidRPr="00CB3F93" w:rsidRDefault="00FA2794" w:rsidP="0038507D">
      <w:pPr>
        <w:pStyle w:val="ListParagraph"/>
        <w:numPr>
          <w:ilvl w:val="0"/>
          <w:numId w:val="8"/>
        </w:numPr>
        <w:spacing w:after="0" w:line="240" w:lineRule="auto"/>
        <w:ind w:right="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 xml:space="preserve">Customer consents to the Bank, its officials, employees, correspondents and agents disclosing any information relating to the </w:t>
      </w:r>
      <w:r w:rsidRPr="00CB3F93">
        <w:rPr>
          <w:rFonts w:asciiTheme="minorHAnsi" w:hAnsiTheme="minorHAnsi" w:cstheme="minorHAnsi"/>
          <w:color w:val="1F4E79" w:themeColor="accent1" w:themeShade="80"/>
          <w:w w:val="111"/>
          <w:szCs w:val="24"/>
        </w:rPr>
        <w:t>Customer</w:t>
      </w:r>
      <w:r w:rsidRPr="00CB3F93">
        <w:rPr>
          <w:rFonts w:asciiTheme="minorHAnsi" w:hAnsiTheme="minorHAnsi" w:cstheme="minorHAnsi"/>
          <w:color w:val="1F4E79" w:themeColor="accent1" w:themeShade="80"/>
          <w:spacing w:val="6"/>
          <w:w w:val="111"/>
          <w:szCs w:val="24"/>
        </w:rPr>
        <w:t xml:space="preserve"> </w:t>
      </w:r>
      <w:r w:rsidRPr="00CB3F93">
        <w:rPr>
          <w:rFonts w:asciiTheme="minorHAnsi" w:hAnsiTheme="minorHAnsi" w:cstheme="minorHAnsi"/>
          <w:color w:val="1F4E79" w:themeColor="accent1" w:themeShade="80"/>
          <w:w w:val="111"/>
          <w:szCs w:val="24"/>
        </w:rPr>
        <w:t>and</w:t>
      </w:r>
      <w:r w:rsidRPr="00CB3F93">
        <w:rPr>
          <w:rFonts w:asciiTheme="minorHAnsi" w:hAnsiTheme="minorHAnsi" w:cstheme="minorHAnsi"/>
          <w:color w:val="1F4E79" w:themeColor="accent1" w:themeShade="80"/>
          <w:spacing w:val="6"/>
          <w:w w:val="111"/>
          <w:szCs w:val="24"/>
        </w:rPr>
        <w:t xml:space="preserve"> </w:t>
      </w:r>
      <w:r w:rsidRPr="00CB3F93">
        <w:rPr>
          <w:rFonts w:asciiTheme="minorHAnsi" w:hAnsiTheme="minorHAnsi" w:cstheme="minorHAnsi"/>
          <w:color w:val="1F4E79" w:themeColor="accent1" w:themeShade="80"/>
          <w:w w:val="111"/>
          <w:szCs w:val="24"/>
        </w:rPr>
        <w:t>Customer's</w:t>
      </w:r>
      <w:r w:rsidRPr="00CB3F93">
        <w:rPr>
          <w:rFonts w:asciiTheme="minorHAnsi" w:hAnsiTheme="minorHAnsi" w:cstheme="minorHAnsi"/>
          <w:color w:val="1F4E79" w:themeColor="accent1" w:themeShade="80"/>
          <w:spacing w:val="6"/>
          <w:w w:val="111"/>
          <w:szCs w:val="24"/>
        </w:rPr>
        <w:t xml:space="preserve"> </w:t>
      </w:r>
      <w:r w:rsidRPr="00CB3F93">
        <w:rPr>
          <w:rFonts w:asciiTheme="minorHAnsi" w:hAnsiTheme="minorHAnsi" w:cstheme="minorHAnsi"/>
          <w:color w:val="1F4E79" w:themeColor="accent1" w:themeShade="80"/>
          <w:w w:val="111"/>
          <w:szCs w:val="24"/>
        </w:rPr>
        <w:t>Transfer</w:t>
      </w:r>
      <w:r w:rsidRPr="00CB3F93">
        <w:rPr>
          <w:rFonts w:asciiTheme="minorHAnsi" w:hAnsiTheme="minorHAnsi" w:cstheme="minorHAnsi"/>
          <w:color w:val="1F4E79" w:themeColor="accent1" w:themeShade="80"/>
          <w:spacing w:val="6"/>
          <w:w w:val="111"/>
          <w:szCs w:val="24"/>
        </w:rPr>
        <w:t xml:space="preserve"> </w:t>
      </w:r>
      <w:r w:rsidRPr="00CB3F93">
        <w:rPr>
          <w:rFonts w:asciiTheme="minorHAnsi" w:hAnsiTheme="minorHAnsi" w:cstheme="minorHAnsi"/>
          <w:color w:val="1F4E79" w:themeColor="accent1" w:themeShade="80"/>
          <w:w w:val="111"/>
          <w:szCs w:val="24"/>
        </w:rPr>
        <w:t xml:space="preserve">request, </w:t>
      </w:r>
      <w:r w:rsidRPr="00CB3F93">
        <w:rPr>
          <w:rFonts w:asciiTheme="minorHAnsi" w:hAnsiTheme="minorHAnsi" w:cstheme="minorHAnsi"/>
          <w:color w:val="1F4E79" w:themeColor="accent1" w:themeShade="80"/>
          <w:w w:val="114"/>
          <w:szCs w:val="24"/>
        </w:rPr>
        <w:t>the</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subject</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matter</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thereof</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and</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any transaction</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connected</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therewith</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as</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the</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 xml:space="preserve">Bank </w:t>
      </w:r>
      <w:r w:rsidRPr="00CB3F93">
        <w:rPr>
          <w:rFonts w:asciiTheme="minorHAnsi" w:hAnsiTheme="minorHAnsi" w:cstheme="minorHAnsi"/>
          <w:color w:val="1F4E79" w:themeColor="accent1" w:themeShade="80"/>
          <w:w w:val="115"/>
          <w:szCs w:val="24"/>
        </w:rPr>
        <w:t>shall</w:t>
      </w:r>
      <w:r w:rsidRPr="00CB3F93">
        <w:rPr>
          <w:rFonts w:asciiTheme="minorHAnsi" w:hAnsiTheme="minorHAnsi" w:cstheme="minorHAnsi"/>
          <w:color w:val="1F4E79" w:themeColor="accent1" w:themeShade="80"/>
          <w:spacing w:val="6"/>
          <w:w w:val="115"/>
          <w:szCs w:val="24"/>
        </w:rPr>
        <w:t xml:space="preserve"> </w:t>
      </w:r>
      <w:r w:rsidRPr="00CB3F93">
        <w:rPr>
          <w:rFonts w:asciiTheme="minorHAnsi" w:hAnsiTheme="minorHAnsi" w:cstheme="minorHAnsi"/>
          <w:color w:val="1F4E79" w:themeColor="accent1" w:themeShade="80"/>
          <w:w w:val="115"/>
          <w:szCs w:val="24"/>
        </w:rPr>
        <w:t>deem</w:t>
      </w:r>
      <w:r w:rsidRPr="00CB3F93">
        <w:rPr>
          <w:rFonts w:asciiTheme="minorHAnsi" w:hAnsiTheme="minorHAnsi" w:cstheme="minorHAnsi"/>
          <w:color w:val="1F4E79" w:themeColor="accent1" w:themeShade="80"/>
          <w:spacing w:val="6"/>
          <w:w w:val="115"/>
          <w:szCs w:val="24"/>
        </w:rPr>
        <w:t xml:space="preserve"> </w:t>
      </w:r>
      <w:r w:rsidRPr="00CB3F93">
        <w:rPr>
          <w:rFonts w:asciiTheme="minorHAnsi" w:hAnsiTheme="minorHAnsi" w:cstheme="minorHAnsi"/>
          <w:color w:val="1F4E79" w:themeColor="accent1" w:themeShade="80"/>
          <w:w w:val="115"/>
          <w:szCs w:val="24"/>
        </w:rPr>
        <w:t>appropriate.</w:t>
      </w:r>
    </w:p>
    <w:p w:rsidR="007E4BCB" w:rsidRPr="00CB3F93" w:rsidRDefault="00FA2794" w:rsidP="007E4BCB">
      <w:pPr>
        <w:pStyle w:val="ListParagraph"/>
        <w:numPr>
          <w:ilvl w:val="0"/>
          <w:numId w:val="8"/>
        </w:numPr>
        <w:spacing w:after="0" w:line="240" w:lineRule="auto"/>
        <w:ind w:right="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w w:val="112"/>
          <w:szCs w:val="24"/>
        </w:rPr>
        <w:t>The</w:t>
      </w:r>
      <w:r w:rsidRPr="00CB3F93">
        <w:rPr>
          <w:rFonts w:asciiTheme="minorHAnsi" w:hAnsiTheme="minorHAnsi" w:cstheme="minorHAnsi"/>
          <w:color w:val="1F4E79" w:themeColor="accent1" w:themeShade="80"/>
          <w:spacing w:val="6"/>
          <w:w w:val="112"/>
          <w:szCs w:val="24"/>
        </w:rPr>
        <w:t xml:space="preserve"> </w:t>
      </w:r>
      <w:r w:rsidRPr="00CB3F93">
        <w:rPr>
          <w:rFonts w:asciiTheme="minorHAnsi" w:hAnsiTheme="minorHAnsi" w:cstheme="minorHAnsi"/>
          <w:color w:val="1F4E79" w:themeColor="accent1" w:themeShade="80"/>
          <w:w w:val="112"/>
          <w:szCs w:val="24"/>
        </w:rPr>
        <w:t>Bank</w:t>
      </w:r>
      <w:r w:rsidRPr="00CB3F93">
        <w:rPr>
          <w:rFonts w:asciiTheme="minorHAnsi" w:hAnsiTheme="minorHAnsi" w:cstheme="minorHAnsi"/>
          <w:color w:val="1F4E79" w:themeColor="accent1" w:themeShade="80"/>
          <w:spacing w:val="6"/>
          <w:w w:val="112"/>
          <w:szCs w:val="24"/>
        </w:rPr>
        <w:t xml:space="preserve"> </w:t>
      </w:r>
      <w:r w:rsidRPr="00CB3F93">
        <w:rPr>
          <w:rFonts w:asciiTheme="minorHAnsi" w:hAnsiTheme="minorHAnsi" w:cstheme="minorHAnsi"/>
          <w:color w:val="1F4E79" w:themeColor="accent1" w:themeShade="80"/>
          <w:w w:val="112"/>
          <w:szCs w:val="24"/>
        </w:rPr>
        <w:t>reserves</w:t>
      </w:r>
      <w:r w:rsidRPr="00CB3F93">
        <w:rPr>
          <w:rFonts w:asciiTheme="minorHAnsi" w:hAnsiTheme="minorHAnsi" w:cstheme="minorHAnsi"/>
          <w:color w:val="1F4E79" w:themeColor="accent1" w:themeShade="80"/>
          <w:spacing w:val="6"/>
          <w:w w:val="112"/>
          <w:szCs w:val="24"/>
        </w:rPr>
        <w:t xml:space="preserve"> </w:t>
      </w:r>
      <w:r w:rsidRPr="00CB3F93">
        <w:rPr>
          <w:rFonts w:asciiTheme="minorHAnsi" w:hAnsiTheme="minorHAnsi" w:cstheme="minorHAnsi"/>
          <w:color w:val="1F4E79" w:themeColor="accent1" w:themeShade="80"/>
          <w:w w:val="112"/>
          <w:szCs w:val="24"/>
        </w:rPr>
        <w:t>the</w:t>
      </w:r>
      <w:r w:rsidRPr="00CB3F93">
        <w:rPr>
          <w:rFonts w:asciiTheme="minorHAnsi" w:hAnsiTheme="minorHAnsi" w:cstheme="minorHAnsi"/>
          <w:color w:val="1F4E79" w:themeColor="accent1" w:themeShade="80"/>
          <w:spacing w:val="6"/>
          <w:w w:val="112"/>
          <w:szCs w:val="24"/>
        </w:rPr>
        <w:t xml:space="preserve"> </w:t>
      </w:r>
      <w:r w:rsidRPr="00CB3F93">
        <w:rPr>
          <w:rFonts w:asciiTheme="minorHAnsi" w:hAnsiTheme="minorHAnsi" w:cstheme="minorHAnsi"/>
          <w:color w:val="1F4E79" w:themeColor="accent1" w:themeShade="80"/>
          <w:w w:val="112"/>
          <w:szCs w:val="24"/>
        </w:rPr>
        <w:t>right</w:t>
      </w:r>
      <w:r w:rsidRPr="00CB3F93">
        <w:rPr>
          <w:rFonts w:asciiTheme="minorHAnsi" w:hAnsiTheme="minorHAnsi" w:cstheme="minorHAnsi"/>
          <w:color w:val="1F4E79" w:themeColor="accent1" w:themeShade="80"/>
          <w:spacing w:val="6"/>
          <w:w w:val="112"/>
          <w:szCs w:val="24"/>
        </w:rPr>
        <w:t xml:space="preserve"> </w:t>
      </w:r>
      <w:r w:rsidRPr="00CB3F93">
        <w:rPr>
          <w:rFonts w:asciiTheme="minorHAnsi" w:hAnsiTheme="minorHAnsi" w:cstheme="minorHAnsi"/>
          <w:color w:val="1F4E79" w:themeColor="accent1" w:themeShade="80"/>
          <w:w w:val="112"/>
          <w:szCs w:val="24"/>
        </w:rPr>
        <w:t>to</w:t>
      </w:r>
      <w:r w:rsidRPr="00CB3F93">
        <w:rPr>
          <w:rFonts w:asciiTheme="minorHAnsi" w:hAnsiTheme="minorHAnsi" w:cstheme="minorHAnsi"/>
          <w:color w:val="1F4E79" w:themeColor="accent1" w:themeShade="80"/>
          <w:spacing w:val="6"/>
          <w:w w:val="112"/>
          <w:szCs w:val="24"/>
        </w:rPr>
        <w:t xml:space="preserve"> </w:t>
      </w:r>
      <w:r w:rsidRPr="00CB3F93">
        <w:rPr>
          <w:rFonts w:asciiTheme="minorHAnsi" w:hAnsiTheme="minorHAnsi" w:cstheme="minorHAnsi"/>
          <w:color w:val="1F4E79" w:themeColor="accent1" w:themeShade="80"/>
          <w:w w:val="112"/>
          <w:szCs w:val="24"/>
        </w:rPr>
        <w:t>add,</w:t>
      </w:r>
      <w:r w:rsidRPr="00CB3F93">
        <w:rPr>
          <w:rFonts w:asciiTheme="minorHAnsi" w:hAnsiTheme="minorHAnsi" w:cstheme="minorHAnsi"/>
          <w:color w:val="1F4E79" w:themeColor="accent1" w:themeShade="80"/>
          <w:spacing w:val="6"/>
          <w:w w:val="112"/>
          <w:szCs w:val="24"/>
        </w:rPr>
        <w:t xml:space="preserve"> </w:t>
      </w:r>
      <w:r w:rsidRPr="00CB3F93">
        <w:rPr>
          <w:rFonts w:asciiTheme="minorHAnsi" w:hAnsiTheme="minorHAnsi" w:cstheme="minorHAnsi"/>
          <w:color w:val="1F4E79" w:themeColor="accent1" w:themeShade="80"/>
          <w:w w:val="112"/>
          <w:szCs w:val="24"/>
        </w:rPr>
        <w:t>alter,</w:t>
      </w:r>
      <w:r w:rsidRPr="00CB3F93">
        <w:rPr>
          <w:rFonts w:asciiTheme="minorHAnsi" w:hAnsiTheme="minorHAnsi" w:cstheme="minorHAnsi"/>
          <w:color w:val="1F4E79" w:themeColor="accent1" w:themeShade="80"/>
          <w:spacing w:val="6"/>
          <w:w w:val="112"/>
          <w:szCs w:val="24"/>
        </w:rPr>
        <w:t xml:space="preserve"> </w:t>
      </w:r>
      <w:r w:rsidRPr="00CB3F93">
        <w:rPr>
          <w:rFonts w:asciiTheme="minorHAnsi" w:hAnsiTheme="minorHAnsi" w:cstheme="minorHAnsi"/>
          <w:color w:val="1F4E79" w:themeColor="accent1" w:themeShade="80"/>
          <w:w w:val="112"/>
          <w:szCs w:val="24"/>
        </w:rPr>
        <w:t>vary</w:t>
      </w:r>
      <w:r w:rsidRPr="00CB3F93">
        <w:rPr>
          <w:rFonts w:asciiTheme="minorHAnsi" w:hAnsiTheme="minorHAnsi" w:cstheme="minorHAnsi"/>
          <w:color w:val="1F4E79" w:themeColor="accent1" w:themeShade="80"/>
          <w:w w:val="114"/>
          <w:szCs w:val="24"/>
        </w:rPr>
        <w:t xml:space="preserve"> and</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modify</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any</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or</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all</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of</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the</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above</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Terms</w:t>
      </w:r>
      <w:r w:rsidRPr="00CB3F93">
        <w:rPr>
          <w:rFonts w:asciiTheme="minorHAnsi" w:hAnsiTheme="minorHAnsi" w:cstheme="minorHAnsi"/>
          <w:color w:val="1F4E79" w:themeColor="accent1" w:themeShade="80"/>
          <w:spacing w:val="6"/>
          <w:w w:val="114"/>
          <w:szCs w:val="24"/>
        </w:rPr>
        <w:t xml:space="preserve"> </w:t>
      </w:r>
      <w:r w:rsidRPr="00CB3F93">
        <w:rPr>
          <w:rFonts w:asciiTheme="minorHAnsi" w:hAnsiTheme="minorHAnsi" w:cstheme="minorHAnsi"/>
          <w:color w:val="1F4E79" w:themeColor="accent1" w:themeShade="80"/>
          <w:w w:val="114"/>
          <w:szCs w:val="24"/>
        </w:rPr>
        <w:t>at</w:t>
      </w:r>
      <w:r w:rsidRPr="00CB3F93">
        <w:rPr>
          <w:rFonts w:asciiTheme="minorHAnsi" w:hAnsiTheme="minorHAnsi" w:cstheme="minorHAnsi"/>
          <w:color w:val="1F4E79" w:themeColor="accent1" w:themeShade="80"/>
          <w:w w:val="112"/>
          <w:szCs w:val="24"/>
        </w:rPr>
        <w:t xml:space="preserve"> any</w:t>
      </w:r>
      <w:r w:rsidRPr="00CB3F93">
        <w:rPr>
          <w:rFonts w:asciiTheme="minorHAnsi" w:hAnsiTheme="minorHAnsi" w:cstheme="minorHAnsi"/>
          <w:color w:val="1F4E79" w:themeColor="accent1" w:themeShade="80"/>
          <w:spacing w:val="6"/>
          <w:w w:val="112"/>
          <w:szCs w:val="24"/>
        </w:rPr>
        <w:t xml:space="preserve"> </w:t>
      </w:r>
      <w:r w:rsidRPr="00CB3F93">
        <w:rPr>
          <w:rFonts w:asciiTheme="minorHAnsi" w:hAnsiTheme="minorHAnsi" w:cstheme="minorHAnsi"/>
          <w:color w:val="1F4E79" w:themeColor="accent1" w:themeShade="80"/>
          <w:w w:val="112"/>
          <w:szCs w:val="24"/>
        </w:rPr>
        <w:t>time</w:t>
      </w:r>
      <w:r w:rsidRPr="00CB3F93">
        <w:rPr>
          <w:rFonts w:asciiTheme="minorHAnsi" w:hAnsiTheme="minorHAnsi" w:cstheme="minorHAnsi"/>
          <w:color w:val="1F4E79" w:themeColor="accent1" w:themeShade="80"/>
          <w:spacing w:val="6"/>
          <w:w w:val="112"/>
          <w:szCs w:val="24"/>
        </w:rPr>
        <w:t xml:space="preserve"> </w:t>
      </w:r>
      <w:r w:rsidRPr="00CB3F93">
        <w:rPr>
          <w:rFonts w:asciiTheme="minorHAnsi" w:hAnsiTheme="minorHAnsi" w:cstheme="minorHAnsi"/>
          <w:color w:val="1F4E79" w:themeColor="accent1" w:themeShade="80"/>
          <w:w w:val="112"/>
          <w:szCs w:val="24"/>
        </w:rPr>
        <w:t>at</w:t>
      </w:r>
      <w:r w:rsidRPr="00CB3F93">
        <w:rPr>
          <w:rFonts w:asciiTheme="minorHAnsi" w:hAnsiTheme="minorHAnsi" w:cstheme="minorHAnsi"/>
          <w:color w:val="1F4E79" w:themeColor="accent1" w:themeShade="80"/>
          <w:spacing w:val="6"/>
          <w:w w:val="112"/>
          <w:szCs w:val="24"/>
        </w:rPr>
        <w:t xml:space="preserve"> </w:t>
      </w:r>
      <w:r w:rsidRPr="00CB3F93">
        <w:rPr>
          <w:rFonts w:asciiTheme="minorHAnsi" w:hAnsiTheme="minorHAnsi" w:cstheme="minorHAnsi"/>
          <w:color w:val="1F4E79" w:themeColor="accent1" w:themeShade="80"/>
          <w:w w:val="112"/>
          <w:szCs w:val="24"/>
        </w:rPr>
        <w:t>its</w:t>
      </w:r>
      <w:r w:rsidRPr="00CB3F93">
        <w:rPr>
          <w:rFonts w:asciiTheme="minorHAnsi" w:hAnsiTheme="minorHAnsi" w:cstheme="minorHAnsi"/>
          <w:color w:val="1F4E79" w:themeColor="accent1" w:themeShade="80"/>
          <w:spacing w:val="6"/>
          <w:w w:val="112"/>
          <w:szCs w:val="24"/>
        </w:rPr>
        <w:t xml:space="preserve"> </w:t>
      </w:r>
      <w:r w:rsidRPr="00CB3F93">
        <w:rPr>
          <w:rFonts w:asciiTheme="minorHAnsi" w:hAnsiTheme="minorHAnsi" w:cstheme="minorHAnsi"/>
          <w:color w:val="1F4E79" w:themeColor="accent1" w:themeShade="80"/>
          <w:w w:val="112"/>
          <w:szCs w:val="24"/>
        </w:rPr>
        <w:t>discretion</w:t>
      </w:r>
      <w:r w:rsidRPr="00CB3F93">
        <w:rPr>
          <w:rFonts w:asciiTheme="minorHAnsi" w:hAnsiTheme="minorHAnsi" w:cstheme="minorHAnsi"/>
          <w:color w:val="1F4E79" w:themeColor="accent1" w:themeShade="80"/>
          <w:spacing w:val="6"/>
          <w:w w:val="112"/>
          <w:szCs w:val="24"/>
        </w:rPr>
        <w:t xml:space="preserve"> </w:t>
      </w:r>
      <w:r w:rsidRPr="00CB3F93">
        <w:rPr>
          <w:rFonts w:asciiTheme="minorHAnsi" w:hAnsiTheme="minorHAnsi" w:cstheme="minorHAnsi"/>
          <w:color w:val="1F4E79" w:themeColor="accent1" w:themeShade="80"/>
          <w:w w:val="112"/>
          <w:szCs w:val="24"/>
        </w:rPr>
        <w:t>without</w:t>
      </w:r>
      <w:r w:rsidRPr="00CB3F93">
        <w:rPr>
          <w:rFonts w:asciiTheme="minorHAnsi" w:hAnsiTheme="minorHAnsi" w:cstheme="minorHAnsi"/>
          <w:color w:val="1F4E79" w:themeColor="accent1" w:themeShade="80"/>
          <w:spacing w:val="6"/>
          <w:w w:val="112"/>
          <w:szCs w:val="24"/>
        </w:rPr>
        <w:t xml:space="preserve"> </w:t>
      </w:r>
      <w:r w:rsidRPr="00CB3F93">
        <w:rPr>
          <w:rFonts w:asciiTheme="minorHAnsi" w:hAnsiTheme="minorHAnsi" w:cstheme="minorHAnsi"/>
          <w:color w:val="1F4E79" w:themeColor="accent1" w:themeShade="80"/>
          <w:w w:val="112"/>
          <w:szCs w:val="24"/>
        </w:rPr>
        <w:t>any</w:t>
      </w:r>
      <w:r w:rsidRPr="00CB3F93">
        <w:rPr>
          <w:rFonts w:asciiTheme="minorHAnsi" w:hAnsiTheme="minorHAnsi" w:cstheme="minorHAnsi"/>
          <w:color w:val="1F4E79" w:themeColor="accent1" w:themeShade="80"/>
          <w:spacing w:val="6"/>
          <w:w w:val="112"/>
          <w:szCs w:val="24"/>
        </w:rPr>
        <w:t xml:space="preserve"> </w:t>
      </w:r>
      <w:r w:rsidRPr="00CB3F93">
        <w:rPr>
          <w:rFonts w:asciiTheme="minorHAnsi" w:hAnsiTheme="minorHAnsi" w:cstheme="minorHAnsi"/>
          <w:color w:val="1F4E79" w:themeColor="accent1" w:themeShade="80"/>
          <w:w w:val="112"/>
          <w:szCs w:val="24"/>
        </w:rPr>
        <w:t>notice.</w:t>
      </w:r>
    </w:p>
    <w:p w:rsidR="005C42FB" w:rsidRPr="00CB3F93" w:rsidRDefault="005C42FB" w:rsidP="005C42FB">
      <w:pPr>
        <w:spacing w:after="0" w:line="240" w:lineRule="auto"/>
        <w:ind w:left="360" w:right="0" w:firstLine="0"/>
        <w:jc w:val="both"/>
        <w:rPr>
          <w:rFonts w:asciiTheme="minorHAnsi" w:hAnsiTheme="minorHAnsi" w:cstheme="minorHAnsi"/>
          <w:color w:val="1F4E79" w:themeColor="accent1" w:themeShade="80"/>
          <w:szCs w:val="24"/>
        </w:rPr>
      </w:pPr>
    </w:p>
    <w:p w:rsidR="005C42FB" w:rsidRPr="00CB3F93" w:rsidRDefault="005C42FB" w:rsidP="005C42FB">
      <w:pPr>
        <w:spacing w:after="0" w:line="240" w:lineRule="auto"/>
        <w:ind w:left="360" w:right="0" w:firstLine="0"/>
        <w:jc w:val="both"/>
        <w:rPr>
          <w:rFonts w:asciiTheme="minorHAnsi" w:hAnsiTheme="minorHAnsi" w:cstheme="minorHAnsi"/>
          <w:color w:val="1F4E79" w:themeColor="accent1" w:themeShade="80"/>
          <w:szCs w:val="24"/>
        </w:rPr>
      </w:pPr>
    </w:p>
    <w:p w:rsidR="008739F3" w:rsidRPr="00CB3F93" w:rsidRDefault="00CB3F93" w:rsidP="00511AD3">
      <w:pPr>
        <w:pStyle w:val="ListParagraph"/>
        <w:numPr>
          <w:ilvl w:val="0"/>
          <w:numId w:val="1"/>
        </w:numPr>
        <w:shd w:val="clear" w:color="auto" w:fill="FFFFFF"/>
        <w:spacing w:after="0" w:line="240" w:lineRule="auto"/>
        <w:ind w:left="0" w:right="0" w:firstLine="0"/>
        <w:rPr>
          <w:rFonts w:asciiTheme="minorHAnsi" w:eastAsia="Times New Roman" w:hAnsiTheme="minorHAnsi" w:cstheme="minorHAnsi"/>
          <w:color w:val="1F4E79" w:themeColor="accent1" w:themeShade="80"/>
          <w:szCs w:val="24"/>
        </w:rPr>
      </w:pPr>
      <w:r w:rsidRPr="00CB3F93">
        <w:rPr>
          <w:rFonts w:asciiTheme="minorHAnsi" w:eastAsia="Times New Roman" w:hAnsiTheme="minorHAnsi" w:cstheme="minorHAnsi"/>
          <w:color w:val="1F4E79" w:themeColor="accent1" w:themeShade="80"/>
          <w:szCs w:val="24"/>
        </w:rPr>
        <w:t>Authorized Dealers may allow remittances by Resident Individuals for any permitted</w:t>
      </w:r>
      <w:r w:rsidR="008739F3" w:rsidRPr="00CB3F93">
        <w:rPr>
          <w:rFonts w:asciiTheme="minorHAnsi" w:eastAsia="Times New Roman" w:hAnsiTheme="minorHAnsi" w:cstheme="minorHAnsi"/>
          <w:color w:val="1F4E79" w:themeColor="accent1" w:themeShade="80"/>
          <w:szCs w:val="24"/>
        </w:rPr>
        <w:t xml:space="preserve"> </w:t>
      </w:r>
      <w:proofErr w:type="gramStart"/>
      <w:r w:rsidR="008739F3" w:rsidRPr="00CB3F93">
        <w:rPr>
          <w:rFonts w:asciiTheme="minorHAnsi" w:eastAsia="Times New Roman" w:hAnsiTheme="minorHAnsi" w:cstheme="minorHAnsi"/>
          <w:color w:val="1F4E79" w:themeColor="accent1" w:themeShade="80"/>
          <w:szCs w:val="24"/>
        </w:rPr>
        <w:t>Current  or</w:t>
      </w:r>
      <w:proofErr w:type="gramEnd"/>
      <w:r w:rsidR="008739F3" w:rsidRPr="00CB3F93">
        <w:rPr>
          <w:rFonts w:asciiTheme="minorHAnsi" w:eastAsia="Times New Roman" w:hAnsiTheme="minorHAnsi" w:cstheme="minorHAnsi"/>
          <w:color w:val="1F4E79" w:themeColor="accent1" w:themeShade="80"/>
          <w:szCs w:val="24"/>
        </w:rPr>
        <w:t xml:space="preserve">  </w:t>
      </w:r>
      <w:r w:rsidRPr="00CB3F93">
        <w:rPr>
          <w:rFonts w:asciiTheme="minorHAnsi" w:eastAsia="Times New Roman" w:hAnsiTheme="minorHAnsi" w:cstheme="minorHAnsi"/>
          <w:color w:val="1F4E79" w:themeColor="accent1" w:themeShade="80"/>
          <w:szCs w:val="24"/>
        </w:rPr>
        <w:t>Capital Account</w:t>
      </w:r>
      <w:r w:rsidR="008739F3" w:rsidRPr="00CB3F93">
        <w:rPr>
          <w:rFonts w:asciiTheme="minorHAnsi" w:eastAsia="Times New Roman" w:hAnsiTheme="minorHAnsi" w:cstheme="minorHAnsi"/>
          <w:color w:val="1F4E79" w:themeColor="accent1" w:themeShade="80"/>
          <w:szCs w:val="24"/>
        </w:rPr>
        <w:t xml:space="preserve">  Transactions  or  combination  of  both  under  Liberalized</w:t>
      </w:r>
      <w:r w:rsidR="001814CF" w:rsidRPr="00CB3F93">
        <w:rPr>
          <w:rFonts w:asciiTheme="minorHAnsi" w:eastAsia="Times New Roman" w:hAnsiTheme="minorHAnsi" w:cstheme="minorHAnsi"/>
          <w:color w:val="1F4E79" w:themeColor="accent1" w:themeShade="80"/>
          <w:szCs w:val="24"/>
        </w:rPr>
        <w:t xml:space="preserve"> </w:t>
      </w:r>
      <w:r w:rsidR="008739F3" w:rsidRPr="00CB3F93">
        <w:rPr>
          <w:rFonts w:asciiTheme="minorHAnsi" w:eastAsia="Times New Roman" w:hAnsiTheme="minorHAnsi" w:cstheme="minorHAnsi"/>
          <w:color w:val="1F4E79" w:themeColor="accent1" w:themeShade="80"/>
          <w:szCs w:val="24"/>
        </w:rPr>
        <w:t xml:space="preserve">Remittance Scheme (LRS).  Resident Individual Accounts includes Current Account, </w:t>
      </w:r>
    </w:p>
    <w:p w:rsidR="008739F3" w:rsidRPr="00CB3F93" w:rsidRDefault="008739F3" w:rsidP="008739F3">
      <w:pPr>
        <w:shd w:val="clear" w:color="auto" w:fill="FFFFFF"/>
        <w:spacing w:after="0" w:line="240" w:lineRule="auto"/>
        <w:ind w:left="0" w:right="0" w:firstLine="0"/>
        <w:rPr>
          <w:rFonts w:asciiTheme="minorHAnsi" w:eastAsia="Times New Roman" w:hAnsiTheme="minorHAnsi" w:cstheme="minorHAnsi"/>
          <w:color w:val="1F4E79" w:themeColor="accent1" w:themeShade="80"/>
          <w:szCs w:val="24"/>
        </w:rPr>
      </w:pPr>
      <w:r w:rsidRPr="00CB3F93">
        <w:rPr>
          <w:rFonts w:asciiTheme="minorHAnsi" w:eastAsia="Times New Roman" w:hAnsiTheme="minorHAnsi" w:cstheme="minorHAnsi"/>
          <w:color w:val="1F4E79" w:themeColor="accent1" w:themeShade="80"/>
          <w:szCs w:val="24"/>
        </w:rPr>
        <w:t xml:space="preserve">Savings Account in individual capacity.  Current Account includes Individual Current </w:t>
      </w:r>
    </w:p>
    <w:p w:rsidR="008739F3" w:rsidRPr="00CB3F93" w:rsidRDefault="008739F3" w:rsidP="008739F3">
      <w:pPr>
        <w:shd w:val="clear" w:color="auto" w:fill="FFFFFF"/>
        <w:spacing w:after="0" w:line="240" w:lineRule="auto"/>
        <w:ind w:left="0" w:right="0" w:firstLine="0"/>
        <w:rPr>
          <w:rFonts w:asciiTheme="minorHAnsi" w:eastAsia="Times New Roman" w:hAnsiTheme="minorHAnsi" w:cstheme="minorHAnsi"/>
          <w:color w:val="1F4E79" w:themeColor="accent1" w:themeShade="80"/>
          <w:szCs w:val="24"/>
        </w:rPr>
      </w:pPr>
      <w:r w:rsidRPr="00CB3F93">
        <w:rPr>
          <w:rFonts w:asciiTheme="minorHAnsi" w:eastAsia="Times New Roman" w:hAnsiTheme="minorHAnsi" w:cstheme="minorHAnsi"/>
          <w:color w:val="1F4E79" w:themeColor="accent1" w:themeShade="80"/>
          <w:szCs w:val="24"/>
        </w:rPr>
        <w:t xml:space="preserve">Account and Sole Proprietorship Accounts where PAN updated in the account pertains to </w:t>
      </w:r>
    </w:p>
    <w:p w:rsidR="008739F3" w:rsidRPr="00CB3F93" w:rsidRDefault="008739F3" w:rsidP="008739F3">
      <w:pPr>
        <w:shd w:val="clear" w:color="auto" w:fill="FFFFFF"/>
        <w:spacing w:after="0" w:line="240" w:lineRule="auto"/>
        <w:ind w:left="0" w:right="0" w:firstLine="0"/>
        <w:rPr>
          <w:rFonts w:asciiTheme="minorHAnsi" w:eastAsia="Times New Roman" w:hAnsiTheme="minorHAnsi" w:cstheme="minorHAnsi"/>
          <w:color w:val="1F4E79" w:themeColor="accent1" w:themeShade="80"/>
          <w:szCs w:val="24"/>
        </w:rPr>
      </w:pPr>
      <w:r w:rsidRPr="00CB3F93">
        <w:rPr>
          <w:rFonts w:asciiTheme="minorHAnsi" w:eastAsia="Times New Roman" w:hAnsiTheme="minorHAnsi" w:cstheme="minorHAnsi"/>
          <w:color w:val="1F4E79" w:themeColor="accent1" w:themeShade="80"/>
          <w:szCs w:val="24"/>
        </w:rPr>
        <w:t>Individuals</w:t>
      </w:r>
    </w:p>
    <w:p w:rsidR="007E4BCB" w:rsidRPr="00CB3F93" w:rsidRDefault="007E4BCB" w:rsidP="007E4BCB">
      <w:pPr>
        <w:spacing w:after="0" w:line="240" w:lineRule="auto"/>
        <w:ind w:left="0" w:right="0" w:firstLine="0"/>
        <w:jc w:val="both"/>
        <w:rPr>
          <w:rFonts w:asciiTheme="minorHAnsi" w:hAnsiTheme="minorHAnsi" w:cstheme="minorHAnsi"/>
          <w:color w:val="1F4E79" w:themeColor="accent1" w:themeShade="80"/>
          <w:szCs w:val="24"/>
        </w:rPr>
      </w:pPr>
    </w:p>
    <w:p w:rsidR="005718E6" w:rsidRPr="00CB3F93" w:rsidRDefault="001814CF" w:rsidP="007E4BCB">
      <w:pPr>
        <w:spacing w:after="0" w:line="240" w:lineRule="auto"/>
        <w:ind w:left="0" w:right="0"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18.</w:t>
      </w:r>
      <w:r w:rsidRPr="00CB3F93">
        <w:rPr>
          <w:rFonts w:asciiTheme="minorHAnsi" w:hAnsiTheme="minorHAnsi" w:cstheme="minorHAnsi"/>
          <w:color w:val="1F4E79" w:themeColor="accent1" w:themeShade="80"/>
          <w:szCs w:val="24"/>
        </w:rPr>
        <w:tab/>
      </w:r>
      <w:r w:rsidR="005718E6" w:rsidRPr="00CB3F93">
        <w:rPr>
          <w:rFonts w:asciiTheme="minorHAnsi" w:hAnsiTheme="minorHAnsi" w:cstheme="minorHAnsi"/>
          <w:color w:val="1F4E79" w:themeColor="accent1" w:themeShade="80"/>
          <w:szCs w:val="24"/>
        </w:rPr>
        <w:t>Below transactions are not permissible under LRS</w:t>
      </w:r>
    </w:p>
    <w:p w:rsidR="00476E44" w:rsidRPr="00CB3F93" w:rsidRDefault="00476E44" w:rsidP="00476E44">
      <w:pPr>
        <w:spacing w:after="0" w:line="240" w:lineRule="auto"/>
        <w:ind w:left="0" w:right="0"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1) A resident gifting to another resident, in foreign currency, for the credit of the latter’s foreign currency account held abroad under LRS.</w:t>
      </w:r>
    </w:p>
    <w:p w:rsidR="00476E44" w:rsidRPr="00CB3F93" w:rsidRDefault="00476E44" w:rsidP="00476E44">
      <w:pPr>
        <w:spacing w:after="0" w:line="240" w:lineRule="auto"/>
        <w:ind w:left="0" w:right="0"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2) All other transactions which are otherwise not permissible under FEMA and those in the nature of remittance for margins or margin calls to overseas exchanges/ overseas counterparty.</w:t>
      </w:r>
    </w:p>
    <w:p w:rsidR="00476E44" w:rsidRPr="00CB3F93" w:rsidRDefault="00476E44" w:rsidP="00476E44">
      <w:pPr>
        <w:spacing w:after="0" w:line="240" w:lineRule="auto"/>
        <w:ind w:left="0" w:right="0"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3) The Scheme is not available for remittances for any purpose specifically prohibited under Schedule I or any item restricted under Schedule II of Foreign Exchange Management (Current Account Transaction) Rules, 2000, dated May 3, 2000, as amended from time to time.</w:t>
      </w:r>
    </w:p>
    <w:p w:rsidR="001814CF" w:rsidRPr="00CB3F93" w:rsidRDefault="001814CF" w:rsidP="00476E44">
      <w:pPr>
        <w:spacing w:after="0" w:line="240" w:lineRule="auto"/>
        <w:ind w:left="0" w:right="0" w:firstLine="0"/>
        <w:jc w:val="both"/>
        <w:rPr>
          <w:rFonts w:asciiTheme="minorHAnsi" w:hAnsiTheme="minorHAnsi" w:cstheme="minorHAnsi"/>
          <w:color w:val="1F4E79" w:themeColor="accent1" w:themeShade="80"/>
          <w:szCs w:val="24"/>
        </w:rPr>
      </w:pPr>
    </w:p>
    <w:p w:rsidR="0038507D" w:rsidRPr="00CB3F93" w:rsidRDefault="0038507D" w:rsidP="0038507D">
      <w:pPr>
        <w:spacing w:after="0" w:line="240" w:lineRule="auto"/>
        <w:ind w:left="0" w:right="0" w:firstLine="0"/>
        <w:jc w:val="both"/>
        <w:rPr>
          <w:rFonts w:asciiTheme="minorHAnsi" w:hAnsiTheme="minorHAnsi" w:cstheme="minorHAnsi"/>
          <w:color w:val="1F4E79" w:themeColor="accent1" w:themeShade="80"/>
          <w:szCs w:val="24"/>
        </w:rPr>
      </w:pPr>
    </w:p>
    <w:p w:rsidR="005C42FB" w:rsidRPr="00CB3F93" w:rsidRDefault="00327D97" w:rsidP="001814CF">
      <w:pPr>
        <w:pStyle w:val="ListParagraph"/>
        <w:numPr>
          <w:ilvl w:val="0"/>
          <w:numId w:val="10"/>
        </w:numPr>
        <w:spacing w:after="0" w:line="240" w:lineRule="auto"/>
        <w:ind w:left="0" w:right="0"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In case the customer wishes to cancel the transaction initiated by him or found in negative list during AML / Screening checks or any document discrepancies in the processing stage. The D</w:t>
      </w:r>
      <w:r w:rsidR="00C50997" w:rsidRPr="00CB3F93">
        <w:rPr>
          <w:rFonts w:asciiTheme="minorHAnsi" w:hAnsiTheme="minorHAnsi" w:cstheme="minorHAnsi"/>
          <w:color w:val="1F4E79" w:themeColor="accent1" w:themeShade="80"/>
          <w:szCs w:val="24"/>
        </w:rPr>
        <w:t>eal Cancellation, gain/loss may be incurred by the bank as a result of fluctuation in foreign exchange rates. In case of gain the same will be utilized by the bank. In case of loss, such amount will be recovered from the customer.</w:t>
      </w:r>
    </w:p>
    <w:p w:rsidR="00C50997" w:rsidRPr="00CB3F93" w:rsidRDefault="00C50997" w:rsidP="0038507D">
      <w:pPr>
        <w:spacing w:after="0" w:line="240" w:lineRule="auto"/>
        <w:ind w:left="0" w:right="0" w:firstLine="0"/>
        <w:jc w:val="both"/>
        <w:rPr>
          <w:rFonts w:asciiTheme="minorHAnsi" w:hAnsiTheme="minorHAnsi" w:cstheme="minorHAnsi"/>
          <w:color w:val="1F4E79" w:themeColor="accent1" w:themeShade="80"/>
          <w:szCs w:val="24"/>
        </w:rPr>
      </w:pPr>
    </w:p>
    <w:p w:rsidR="005C42FB" w:rsidRPr="00CB3F93" w:rsidRDefault="005C42FB" w:rsidP="001814CF">
      <w:pPr>
        <w:pStyle w:val="ListParagraph"/>
        <w:numPr>
          <w:ilvl w:val="0"/>
          <w:numId w:val="10"/>
        </w:numPr>
        <w:spacing w:after="0" w:line="240" w:lineRule="auto"/>
        <w:ind w:left="0" w:right="0"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 xml:space="preserve">As per Foreign Exchange Management (Deposit) Regulations, 2016, Notification No. FEMA 5(R)/2016-RB, (Amended </w:t>
      </w:r>
      <w:proofErr w:type="spellStart"/>
      <w:r w:rsidRPr="00CB3F93">
        <w:rPr>
          <w:rFonts w:asciiTheme="minorHAnsi" w:hAnsiTheme="minorHAnsi" w:cstheme="minorHAnsi"/>
          <w:color w:val="1F4E79" w:themeColor="accent1" w:themeShade="80"/>
          <w:szCs w:val="24"/>
        </w:rPr>
        <w:t>upto</w:t>
      </w:r>
      <w:proofErr w:type="spellEnd"/>
      <w:r w:rsidRPr="00CB3F93">
        <w:rPr>
          <w:rFonts w:asciiTheme="minorHAnsi" w:hAnsiTheme="minorHAnsi" w:cstheme="minorHAnsi"/>
          <w:color w:val="1F4E79" w:themeColor="accent1" w:themeShade="80"/>
          <w:szCs w:val="24"/>
        </w:rPr>
        <w:t xml:space="preserve"> January 15, 2025) Remittance of funds held in NRO accounts Balances in NRO accounts are not eligible for remittance outside India without the general or specific approval of Reserve Bank.</w:t>
      </w:r>
    </w:p>
    <w:p w:rsidR="005C42FB" w:rsidRPr="00CB3F93" w:rsidRDefault="005C42FB" w:rsidP="001814CF">
      <w:pPr>
        <w:spacing w:after="0" w:line="240" w:lineRule="auto"/>
        <w:ind w:left="0" w:right="0"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In case of remittance in more than one instalment, customer should route the remittance only through one Authorised Dealer.</w:t>
      </w:r>
    </w:p>
    <w:p w:rsidR="005C42FB" w:rsidRPr="00CB3F93" w:rsidRDefault="005C42FB" w:rsidP="001814CF">
      <w:pPr>
        <w:spacing w:after="0" w:line="240" w:lineRule="auto"/>
        <w:ind w:left="0" w:right="0"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Also the said remittance should be made out of the remitter’s balances held in the account arising from his/ her legitimate receivables in India and not by borrowing from any other person or a transfer from any other NRO account.</w:t>
      </w:r>
    </w:p>
    <w:p w:rsidR="00512281" w:rsidRPr="00CB3F93" w:rsidRDefault="005C42FB" w:rsidP="001814CF">
      <w:pPr>
        <w:spacing w:after="0" w:line="240" w:lineRule="auto"/>
        <w:ind w:left="0" w:right="0" w:firstLine="0"/>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szCs w:val="24"/>
        </w:rPr>
        <w:t>If customer has availed Overdraft against FCNR (B) Deposits, such funds cannot be repatriated and remitted overseas.</w:t>
      </w:r>
    </w:p>
    <w:p w:rsidR="00CB3F93" w:rsidRPr="00CB3F93" w:rsidRDefault="00CB3F93" w:rsidP="001814CF">
      <w:pPr>
        <w:spacing w:after="0" w:line="240" w:lineRule="auto"/>
        <w:ind w:left="0" w:right="0" w:firstLine="0"/>
        <w:jc w:val="both"/>
        <w:rPr>
          <w:rFonts w:asciiTheme="minorHAnsi" w:hAnsiTheme="minorHAnsi" w:cstheme="minorHAnsi"/>
          <w:color w:val="1F4E79" w:themeColor="accent1" w:themeShade="80"/>
          <w:szCs w:val="24"/>
        </w:rPr>
      </w:pPr>
    </w:p>
    <w:p w:rsidR="00CB3F93" w:rsidRPr="00CB3F93" w:rsidRDefault="00CB3F93" w:rsidP="00CB3F93">
      <w:pPr>
        <w:pStyle w:val="ListParagraph"/>
        <w:numPr>
          <w:ilvl w:val="0"/>
          <w:numId w:val="10"/>
        </w:numPr>
        <w:spacing w:after="0" w:line="240" w:lineRule="auto"/>
        <w:ind w:left="284" w:right="0" w:hanging="284"/>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rPr>
        <w:t>Customers shall not be charged for delays attributable to delay in regulatory or internal processing issues</w:t>
      </w:r>
      <w:r w:rsidRPr="00CB3F93">
        <w:rPr>
          <w:rFonts w:asciiTheme="minorHAnsi" w:hAnsiTheme="minorHAnsi" w:cstheme="minorHAnsi"/>
          <w:color w:val="1F4E79" w:themeColor="accent1" w:themeShade="80"/>
        </w:rPr>
        <w:t>.</w:t>
      </w:r>
    </w:p>
    <w:p w:rsidR="00CB3F93" w:rsidRPr="00CB3F93" w:rsidRDefault="00CB3F93" w:rsidP="00CB3F93">
      <w:pPr>
        <w:pStyle w:val="ListParagraph"/>
        <w:spacing w:after="0" w:line="240" w:lineRule="auto"/>
        <w:ind w:left="284" w:right="0" w:firstLine="0"/>
        <w:jc w:val="both"/>
        <w:rPr>
          <w:rFonts w:asciiTheme="minorHAnsi" w:hAnsiTheme="minorHAnsi" w:cstheme="minorHAnsi"/>
          <w:color w:val="1F4E79" w:themeColor="accent1" w:themeShade="80"/>
          <w:szCs w:val="24"/>
        </w:rPr>
      </w:pPr>
    </w:p>
    <w:p w:rsidR="00CB3F93" w:rsidRPr="00CB3F93" w:rsidRDefault="00CB3F93" w:rsidP="00CB3F93">
      <w:pPr>
        <w:pStyle w:val="ListParagraph"/>
        <w:numPr>
          <w:ilvl w:val="0"/>
          <w:numId w:val="10"/>
        </w:numPr>
        <w:spacing w:after="0" w:line="240" w:lineRule="auto"/>
        <w:ind w:left="284" w:right="0" w:hanging="284"/>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rPr>
        <w:t>For minor accounts, transactions will be processed only ag</w:t>
      </w:r>
      <w:r w:rsidRPr="00CB3F93">
        <w:rPr>
          <w:rFonts w:asciiTheme="minorHAnsi" w:hAnsiTheme="minorHAnsi" w:cstheme="minorHAnsi"/>
          <w:color w:val="1F4E79" w:themeColor="accent1" w:themeShade="80"/>
        </w:rPr>
        <w:t>ainst the PAN of the guardian.</w:t>
      </w:r>
    </w:p>
    <w:p w:rsidR="00CB3F93" w:rsidRPr="00CB3F93" w:rsidRDefault="00CB3F93" w:rsidP="00CB3F93">
      <w:pPr>
        <w:pStyle w:val="ListParagraph"/>
        <w:rPr>
          <w:rFonts w:asciiTheme="minorHAnsi" w:hAnsiTheme="minorHAnsi" w:cstheme="minorHAnsi"/>
          <w:color w:val="1F4E79" w:themeColor="accent1" w:themeShade="80"/>
        </w:rPr>
      </w:pPr>
    </w:p>
    <w:p w:rsidR="00CB3F93" w:rsidRPr="00CB3F93" w:rsidRDefault="00CB3F93" w:rsidP="00CB3F93">
      <w:pPr>
        <w:pStyle w:val="ListParagraph"/>
        <w:numPr>
          <w:ilvl w:val="0"/>
          <w:numId w:val="10"/>
        </w:numPr>
        <w:spacing w:after="0" w:line="240" w:lineRule="auto"/>
        <w:ind w:left="284" w:right="0" w:hanging="284"/>
        <w:jc w:val="both"/>
        <w:rPr>
          <w:rFonts w:asciiTheme="minorHAnsi" w:hAnsiTheme="minorHAnsi" w:cstheme="minorHAnsi"/>
          <w:color w:val="1F4E79" w:themeColor="accent1" w:themeShade="80"/>
          <w:szCs w:val="24"/>
        </w:rPr>
      </w:pPr>
      <w:r w:rsidRPr="00CB3F93">
        <w:rPr>
          <w:rFonts w:asciiTheme="minorHAnsi" w:hAnsiTheme="minorHAnsi" w:cstheme="minorHAnsi"/>
          <w:color w:val="1F4E79" w:themeColor="accent1" w:themeShade="80"/>
        </w:rPr>
        <w:t>The facility is not available for self-operated minor accounts.</w:t>
      </w:r>
    </w:p>
    <w:p w:rsidR="009571DB" w:rsidRPr="00CB3F93" w:rsidRDefault="009571DB" w:rsidP="005C42FB">
      <w:pPr>
        <w:spacing w:line="259" w:lineRule="auto"/>
        <w:ind w:left="0" w:right="0" w:firstLine="0"/>
        <w:jc w:val="both"/>
        <w:rPr>
          <w:rFonts w:asciiTheme="minorHAnsi" w:hAnsiTheme="minorHAnsi" w:cstheme="minorHAnsi"/>
          <w:color w:val="1F4E79" w:themeColor="accent1" w:themeShade="80"/>
          <w:szCs w:val="24"/>
        </w:rPr>
      </w:pPr>
    </w:p>
    <w:p w:rsidR="009571DB" w:rsidRPr="00CB3F93" w:rsidRDefault="009571DB" w:rsidP="009571DB">
      <w:pPr>
        <w:ind w:left="0"/>
        <w:rPr>
          <w:rFonts w:asciiTheme="minorHAnsi" w:hAnsiTheme="minorHAnsi" w:cstheme="minorHAnsi"/>
          <w:b/>
          <w:color w:val="1F4E79" w:themeColor="accent1" w:themeShade="80"/>
          <w:szCs w:val="24"/>
        </w:rPr>
      </w:pPr>
      <w:r w:rsidRPr="00CB3F93">
        <w:rPr>
          <w:rFonts w:asciiTheme="minorHAnsi" w:hAnsiTheme="minorHAnsi" w:cstheme="minorHAnsi"/>
          <w:b/>
          <w:color w:val="1F4E79" w:themeColor="accent1" w:themeShade="80"/>
          <w:szCs w:val="24"/>
        </w:rPr>
        <w:t>For assistance, please contact your home branch / RM or write to our customer care team. Visit our website for the latest updates on outward remittance services.</w:t>
      </w:r>
    </w:p>
    <w:p w:rsidR="009571DB" w:rsidRPr="00CB3F93" w:rsidRDefault="009571DB" w:rsidP="005C42FB">
      <w:pPr>
        <w:spacing w:line="259" w:lineRule="auto"/>
        <w:ind w:left="0" w:right="0" w:firstLine="0"/>
        <w:jc w:val="both"/>
        <w:rPr>
          <w:rFonts w:asciiTheme="minorHAnsi" w:hAnsiTheme="minorHAnsi" w:cstheme="minorHAnsi"/>
          <w:color w:val="1F4E79" w:themeColor="accent1" w:themeShade="80"/>
          <w:szCs w:val="24"/>
        </w:rPr>
      </w:pPr>
    </w:p>
    <w:sectPr w:rsidR="009571DB" w:rsidRPr="00CB3F93" w:rsidSect="0038507D">
      <w:pgSz w:w="11906" w:h="16838"/>
      <w:pgMar w:top="1440" w:right="1274"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06383"/>
    <w:multiLevelType w:val="hybridMultilevel"/>
    <w:tmpl w:val="C3BE05AA"/>
    <w:lvl w:ilvl="0" w:tplc="C13CAA5A">
      <w:start w:val="14"/>
      <w:numFmt w:val="decimal"/>
      <w:lvlText w:val="%1."/>
      <w:lvlJc w:val="left"/>
      <w:pPr>
        <w:ind w:left="35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E020C2EA">
      <w:start w:val="1"/>
      <w:numFmt w:val="lowerLetter"/>
      <w:lvlText w:val="%2."/>
      <w:lvlJc w:val="left"/>
      <w:pPr>
        <w:ind w:left="64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13CCF20C">
      <w:start w:val="1"/>
      <w:numFmt w:val="lowerRoman"/>
      <w:lvlText w:val="%3"/>
      <w:lvlJc w:val="left"/>
      <w:pPr>
        <w:ind w:left="24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469883E4">
      <w:start w:val="1"/>
      <w:numFmt w:val="decimal"/>
      <w:lvlText w:val="%4"/>
      <w:lvlJc w:val="left"/>
      <w:pPr>
        <w:ind w:left="32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44D4F272">
      <w:start w:val="1"/>
      <w:numFmt w:val="lowerLetter"/>
      <w:lvlText w:val="%5"/>
      <w:lvlJc w:val="left"/>
      <w:pPr>
        <w:ind w:left="39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82546710">
      <w:start w:val="1"/>
      <w:numFmt w:val="lowerRoman"/>
      <w:lvlText w:val="%6"/>
      <w:lvlJc w:val="left"/>
      <w:pPr>
        <w:ind w:left="46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59FC8E78">
      <w:start w:val="1"/>
      <w:numFmt w:val="decimal"/>
      <w:lvlText w:val="%7"/>
      <w:lvlJc w:val="left"/>
      <w:pPr>
        <w:ind w:left="53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49AFE40">
      <w:start w:val="1"/>
      <w:numFmt w:val="lowerLetter"/>
      <w:lvlText w:val="%8"/>
      <w:lvlJc w:val="left"/>
      <w:pPr>
        <w:ind w:left="60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6E2E779E">
      <w:start w:val="1"/>
      <w:numFmt w:val="lowerRoman"/>
      <w:lvlText w:val="%9"/>
      <w:lvlJc w:val="left"/>
      <w:pPr>
        <w:ind w:left="68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1" w15:restartNumberingAfterBreak="0">
    <w:nsid w:val="08B41847"/>
    <w:multiLevelType w:val="hybridMultilevel"/>
    <w:tmpl w:val="D36EB392"/>
    <w:lvl w:ilvl="0" w:tplc="40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5519F7"/>
    <w:multiLevelType w:val="hybridMultilevel"/>
    <w:tmpl w:val="E3D03DCA"/>
    <w:lvl w:ilvl="0" w:tplc="4009000F">
      <w:start w:val="1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721F1D"/>
    <w:multiLevelType w:val="hybridMultilevel"/>
    <w:tmpl w:val="D2186D52"/>
    <w:lvl w:ilvl="0" w:tplc="3B0229CA">
      <w:start w:val="1"/>
      <w:numFmt w:val="decimal"/>
      <w:lvlText w:val="%1."/>
      <w:lvlJc w:val="left"/>
      <w:pPr>
        <w:ind w:left="4186"/>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B142E312">
      <w:start w:val="1"/>
      <w:numFmt w:val="lowerLetter"/>
      <w:lvlText w:val="%2"/>
      <w:lvlJc w:val="left"/>
      <w:pPr>
        <w:ind w:left="511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ACF600C2">
      <w:start w:val="1"/>
      <w:numFmt w:val="lowerRoman"/>
      <w:lvlText w:val="%3"/>
      <w:lvlJc w:val="left"/>
      <w:pPr>
        <w:ind w:left="583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8CC604A8">
      <w:start w:val="1"/>
      <w:numFmt w:val="decimal"/>
      <w:lvlText w:val="%4"/>
      <w:lvlJc w:val="left"/>
      <w:pPr>
        <w:ind w:left="655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1EF02AC6">
      <w:start w:val="1"/>
      <w:numFmt w:val="lowerLetter"/>
      <w:lvlText w:val="%5"/>
      <w:lvlJc w:val="left"/>
      <w:pPr>
        <w:ind w:left="727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3DDA4620">
      <w:start w:val="1"/>
      <w:numFmt w:val="lowerRoman"/>
      <w:lvlText w:val="%6"/>
      <w:lvlJc w:val="left"/>
      <w:pPr>
        <w:ind w:left="799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44C13C6">
      <w:start w:val="1"/>
      <w:numFmt w:val="decimal"/>
      <w:lvlText w:val="%7"/>
      <w:lvlJc w:val="left"/>
      <w:pPr>
        <w:ind w:left="871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D3921FEE">
      <w:start w:val="1"/>
      <w:numFmt w:val="lowerLetter"/>
      <w:lvlText w:val="%8"/>
      <w:lvlJc w:val="left"/>
      <w:pPr>
        <w:ind w:left="943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60925D54">
      <w:start w:val="1"/>
      <w:numFmt w:val="lowerRoman"/>
      <w:lvlText w:val="%9"/>
      <w:lvlJc w:val="left"/>
      <w:pPr>
        <w:ind w:left="1015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3E0C0DCD"/>
    <w:multiLevelType w:val="hybridMultilevel"/>
    <w:tmpl w:val="7AA6A9F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BE47CBC"/>
    <w:multiLevelType w:val="hybridMultilevel"/>
    <w:tmpl w:val="2A94F190"/>
    <w:lvl w:ilvl="0" w:tplc="DC401E28">
      <w:start w:val="19"/>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5EA05AEA"/>
    <w:multiLevelType w:val="hybridMultilevel"/>
    <w:tmpl w:val="2C2CDDA8"/>
    <w:lvl w:ilvl="0" w:tplc="09DC9A3C">
      <w:start w:val="4"/>
      <w:numFmt w:val="decimal"/>
      <w:lvlText w:val="%1."/>
      <w:lvlJc w:val="left"/>
      <w:pPr>
        <w:ind w:left="43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5CC44322">
      <w:start w:val="1"/>
      <w:numFmt w:val="lowerLetter"/>
      <w:lvlText w:val="%2"/>
      <w:lvlJc w:val="left"/>
      <w:pPr>
        <w:ind w:left="219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BFAEE8A0">
      <w:start w:val="1"/>
      <w:numFmt w:val="lowerRoman"/>
      <w:lvlText w:val="%3"/>
      <w:lvlJc w:val="left"/>
      <w:pPr>
        <w:ind w:left="291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FBC44840">
      <w:start w:val="1"/>
      <w:numFmt w:val="decimal"/>
      <w:lvlText w:val="%4"/>
      <w:lvlJc w:val="left"/>
      <w:pPr>
        <w:ind w:left="36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16D69478">
      <w:start w:val="1"/>
      <w:numFmt w:val="lowerLetter"/>
      <w:lvlText w:val="%5"/>
      <w:lvlJc w:val="left"/>
      <w:pPr>
        <w:ind w:left="43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53EAA3EC">
      <w:start w:val="1"/>
      <w:numFmt w:val="lowerRoman"/>
      <w:lvlText w:val="%6"/>
      <w:lvlJc w:val="left"/>
      <w:pPr>
        <w:ind w:left="50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C9A3312">
      <w:start w:val="1"/>
      <w:numFmt w:val="decimal"/>
      <w:lvlText w:val="%7"/>
      <w:lvlJc w:val="left"/>
      <w:pPr>
        <w:ind w:left="579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90A2F8AC">
      <w:start w:val="1"/>
      <w:numFmt w:val="lowerLetter"/>
      <w:lvlText w:val="%8"/>
      <w:lvlJc w:val="left"/>
      <w:pPr>
        <w:ind w:left="651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9AEAAFBA">
      <w:start w:val="1"/>
      <w:numFmt w:val="lowerRoman"/>
      <w:lvlText w:val="%9"/>
      <w:lvlJc w:val="left"/>
      <w:pPr>
        <w:ind w:left="72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7" w15:restartNumberingAfterBreak="0">
    <w:nsid w:val="60ED3464"/>
    <w:multiLevelType w:val="hybridMultilevel"/>
    <w:tmpl w:val="EA86BD4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1C91BB3"/>
    <w:multiLevelType w:val="hybridMultilevel"/>
    <w:tmpl w:val="823CBDB4"/>
    <w:lvl w:ilvl="0" w:tplc="3B0229CA">
      <w:start w:val="1"/>
      <w:numFmt w:val="decimal"/>
      <w:lvlText w:val="%1."/>
      <w:lvlJc w:val="left"/>
      <w:pPr>
        <w:ind w:left="1306"/>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B142E312">
      <w:start w:val="1"/>
      <w:numFmt w:val="lowerLetter"/>
      <w:lvlText w:val="%2"/>
      <w:lvlJc w:val="left"/>
      <w:pPr>
        <w:ind w:left="223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ACF600C2">
      <w:start w:val="1"/>
      <w:numFmt w:val="lowerRoman"/>
      <w:lvlText w:val="%3"/>
      <w:lvlJc w:val="left"/>
      <w:pPr>
        <w:ind w:left="295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8CC604A8">
      <w:start w:val="1"/>
      <w:numFmt w:val="decimal"/>
      <w:lvlText w:val="%4"/>
      <w:lvlJc w:val="left"/>
      <w:pPr>
        <w:ind w:left="367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1EF02AC6">
      <w:start w:val="1"/>
      <w:numFmt w:val="lowerLetter"/>
      <w:lvlText w:val="%5"/>
      <w:lvlJc w:val="left"/>
      <w:pPr>
        <w:ind w:left="439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3DDA4620">
      <w:start w:val="1"/>
      <w:numFmt w:val="lowerRoman"/>
      <w:lvlText w:val="%6"/>
      <w:lvlJc w:val="left"/>
      <w:pPr>
        <w:ind w:left="511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44C13C6">
      <w:start w:val="1"/>
      <w:numFmt w:val="decimal"/>
      <w:lvlText w:val="%7"/>
      <w:lvlJc w:val="left"/>
      <w:pPr>
        <w:ind w:left="583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D3921FEE">
      <w:start w:val="1"/>
      <w:numFmt w:val="lowerLetter"/>
      <w:lvlText w:val="%8"/>
      <w:lvlJc w:val="left"/>
      <w:pPr>
        <w:ind w:left="655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60925D54">
      <w:start w:val="1"/>
      <w:numFmt w:val="lowerRoman"/>
      <w:lvlText w:val="%9"/>
      <w:lvlJc w:val="left"/>
      <w:pPr>
        <w:ind w:left="727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9" w15:restartNumberingAfterBreak="0">
    <w:nsid w:val="780E047B"/>
    <w:multiLevelType w:val="hybridMultilevel"/>
    <w:tmpl w:val="1E1EEDA2"/>
    <w:lvl w:ilvl="0" w:tplc="0652C952">
      <w:start w:val="11"/>
      <w:numFmt w:val="decimal"/>
      <w:lvlText w:val="%1."/>
      <w:lvlJc w:val="left"/>
      <w:pPr>
        <w:ind w:left="326"/>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E5324362">
      <w:start w:val="1"/>
      <w:numFmt w:val="lowerLetter"/>
      <w:lvlText w:val="%2."/>
      <w:lvlJc w:val="left"/>
      <w:pPr>
        <w:ind w:left="62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6BFABAAA">
      <w:start w:val="1"/>
      <w:numFmt w:val="lowerRoman"/>
      <w:lvlText w:val="%3"/>
      <w:lvlJc w:val="left"/>
      <w:pPr>
        <w:ind w:left="24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B9D0DC6E">
      <w:start w:val="1"/>
      <w:numFmt w:val="decimal"/>
      <w:lvlText w:val="%4"/>
      <w:lvlJc w:val="left"/>
      <w:pPr>
        <w:ind w:left="32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E022170A">
      <w:start w:val="1"/>
      <w:numFmt w:val="lowerLetter"/>
      <w:lvlText w:val="%5"/>
      <w:lvlJc w:val="left"/>
      <w:pPr>
        <w:ind w:left="39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5ED46A88">
      <w:start w:val="1"/>
      <w:numFmt w:val="lowerRoman"/>
      <w:lvlText w:val="%6"/>
      <w:lvlJc w:val="left"/>
      <w:pPr>
        <w:ind w:left="46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85D6EEFC">
      <w:start w:val="1"/>
      <w:numFmt w:val="decimal"/>
      <w:lvlText w:val="%7"/>
      <w:lvlJc w:val="left"/>
      <w:pPr>
        <w:ind w:left="53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D160F65C">
      <w:start w:val="1"/>
      <w:numFmt w:val="lowerLetter"/>
      <w:lvlText w:val="%8"/>
      <w:lvlJc w:val="left"/>
      <w:pPr>
        <w:ind w:left="60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D9004F92">
      <w:start w:val="1"/>
      <w:numFmt w:val="lowerRoman"/>
      <w:lvlText w:val="%9"/>
      <w:lvlJc w:val="left"/>
      <w:pPr>
        <w:ind w:left="68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abstractNumId w:val="3"/>
  </w:num>
  <w:num w:numId="2">
    <w:abstractNumId w:val="8"/>
  </w:num>
  <w:num w:numId="3">
    <w:abstractNumId w:val="6"/>
  </w:num>
  <w:num w:numId="4">
    <w:abstractNumId w:val="9"/>
  </w:num>
  <w:num w:numId="5">
    <w:abstractNumId w:val="0"/>
  </w:num>
  <w:num w:numId="6">
    <w:abstractNumId w:val="4"/>
  </w:num>
  <w:num w:numId="7">
    <w:abstractNumId w:val="1"/>
  </w:num>
  <w:num w:numId="8">
    <w:abstractNumId w:val="7"/>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281"/>
    <w:rsid w:val="001814CF"/>
    <w:rsid w:val="001C4786"/>
    <w:rsid w:val="002D57D9"/>
    <w:rsid w:val="00327D97"/>
    <w:rsid w:val="0038507D"/>
    <w:rsid w:val="003D6417"/>
    <w:rsid w:val="00476E44"/>
    <w:rsid w:val="00512281"/>
    <w:rsid w:val="005718E6"/>
    <w:rsid w:val="005C42FB"/>
    <w:rsid w:val="0065415F"/>
    <w:rsid w:val="006A4593"/>
    <w:rsid w:val="007B2B8B"/>
    <w:rsid w:val="007E4BCB"/>
    <w:rsid w:val="008739F3"/>
    <w:rsid w:val="009571DB"/>
    <w:rsid w:val="00C50997"/>
    <w:rsid w:val="00CB3F93"/>
    <w:rsid w:val="00F11C9F"/>
    <w:rsid w:val="00F22C00"/>
    <w:rsid w:val="00FA27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50CDE"/>
  <w15:chartTrackingRefBased/>
  <w15:docId w15:val="{8E8F5523-C6CE-4AAF-A590-B8034565B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2281"/>
    <w:pPr>
      <w:spacing w:line="311" w:lineRule="auto"/>
      <w:ind w:left="1090" w:right="43" w:hanging="10"/>
    </w:pPr>
    <w:rPr>
      <w:rFonts w:ascii="Calibri" w:eastAsia="Calibri" w:hAnsi="Calibri" w:cs="Calibri"/>
      <w:color w:val="333333"/>
      <w:sz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22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96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1600</Words>
  <Characters>9125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G</dc:creator>
  <cp:keywords/>
  <dc:description/>
  <cp:lastModifiedBy>Kishore G</cp:lastModifiedBy>
  <cp:revision>4</cp:revision>
  <dcterms:created xsi:type="dcterms:W3CDTF">2026-09-16T02:12:00Z</dcterms:created>
  <dcterms:modified xsi:type="dcterms:W3CDTF">2026-10-21T13:11:00Z</dcterms:modified>
</cp:coreProperties>
</file>