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270A" w:rsidRDefault="00000000">
      <w:r>
        <w:pict w14:anchorId="37231469">
          <v:rect id="_x0000_i1025" style="width:0;height:1.5pt" o:hralign="center" o:hrstd="t" o:hr="t" fillcolor="#a0a0a0" stroked="f"/>
        </w:pict>
      </w:r>
    </w:p>
    <w:p w14:paraId="00000002" w14:textId="77777777" w:rsidR="003A270A" w:rsidRDefault="00000000">
      <w:pPr>
        <w:pStyle w:val="Heading1"/>
        <w:keepNext w:val="0"/>
        <w:keepLines w:val="0"/>
        <w:spacing w:before="480"/>
        <w:rPr>
          <w:b/>
          <w:bCs/>
          <w:sz w:val="46"/>
          <w:szCs w:val="46"/>
        </w:rPr>
      </w:pPr>
      <w:bookmarkStart w:id="0" w:name="_xgk6rqyin70h" w:colFirst="0" w:colLast="0"/>
      <w:bookmarkEnd w:id="0"/>
      <w:r>
        <w:rPr>
          <w:rFonts w:ascii="Fira Mono" w:eastAsia="Fira Mono" w:hAnsi="Fira Mono" w:cs="Fira Mono"/>
          <w:b/>
          <w:bCs/>
          <w:sz w:val="46"/>
          <w:szCs w:val="46"/>
        </w:rPr>
        <w:t xml:space="preserve">⭐ Project Outline </w:t>
      </w:r>
    </w:p>
    <w:p w14:paraId="00000003" w14:textId="77777777" w:rsidR="003A270A" w:rsidRDefault="00000000">
      <w:pPr>
        <w:pStyle w:val="Heading1"/>
        <w:keepNext w:val="0"/>
        <w:keepLines w:val="0"/>
        <w:spacing w:before="480"/>
        <w:rPr>
          <w:b/>
          <w:bCs/>
          <w:i/>
          <w:iCs/>
          <w:color w:val="000000"/>
          <w:sz w:val="26"/>
          <w:szCs w:val="26"/>
        </w:rPr>
      </w:pPr>
      <w:bookmarkStart w:id="1" w:name="_2138vp6toh7f" w:colFirst="0" w:colLast="0"/>
      <w:bookmarkEnd w:id="1"/>
      <w:r>
        <w:rPr>
          <w:b/>
          <w:bCs/>
          <w:i/>
          <w:iCs/>
          <w:color w:val="000000"/>
          <w:sz w:val="26"/>
          <w:szCs w:val="26"/>
        </w:rPr>
        <w:t>“The goal of this analysis is to examine nearly a century of U.S. bank failure data to identify structural patterns—such as crisis‑driven spikes, geographic concentration, institutional characteristics, and cost variability—and to understand how different economic eras, regulatory environments, and bank types contributed to the scale and financial impact of failures.”</w:t>
      </w:r>
    </w:p>
    <w:p w14:paraId="00000004" w14:textId="77777777" w:rsidR="003A270A" w:rsidRDefault="00000000">
      <w:r>
        <w:pict w14:anchorId="622AB381">
          <v:rect id="_x0000_i1026" style="width:0;height:1.5pt" o:hralign="center" o:hrstd="t" o:hr="t" fillcolor="#a0a0a0" stroked="f"/>
        </w:pict>
      </w:r>
    </w:p>
    <w:p w14:paraId="00000005" w14:textId="77777777" w:rsidR="003A270A" w:rsidRDefault="00000000">
      <w:pPr>
        <w:pStyle w:val="Heading1"/>
        <w:keepNext w:val="0"/>
        <w:keepLines w:val="0"/>
        <w:spacing w:before="480"/>
        <w:rPr>
          <w:b/>
          <w:bCs/>
          <w:sz w:val="46"/>
          <w:szCs w:val="46"/>
        </w:rPr>
      </w:pPr>
      <w:bookmarkStart w:id="2" w:name="_ds3jplw2vmrl" w:colFirst="0" w:colLast="0"/>
      <w:bookmarkEnd w:id="2"/>
      <w:r>
        <w:rPr>
          <w:b/>
          <w:bCs/>
          <w:sz w:val="46"/>
          <w:szCs w:val="46"/>
        </w:rPr>
        <w:t>🧭 1. Introduction &amp; Problem Statement</w:t>
      </w:r>
    </w:p>
    <w:p w14:paraId="00000006" w14:textId="77777777" w:rsidR="003A270A" w:rsidRDefault="00000000">
      <w:pPr>
        <w:pStyle w:val="Heading3"/>
        <w:keepNext w:val="0"/>
        <w:keepLines w:val="0"/>
        <w:spacing w:before="280"/>
        <w:rPr>
          <w:b/>
          <w:bCs/>
          <w:color w:val="000000"/>
          <w:sz w:val="26"/>
          <w:szCs w:val="26"/>
        </w:rPr>
      </w:pPr>
      <w:bookmarkStart w:id="3" w:name="_vi5t2afh60zu" w:colFirst="0" w:colLast="0"/>
      <w:bookmarkEnd w:id="3"/>
      <w:r>
        <w:rPr>
          <w:b/>
          <w:bCs/>
          <w:color w:val="000000"/>
          <w:sz w:val="26"/>
          <w:szCs w:val="26"/>
        </w:rPr>
        <w:t>Purpose:</w:t>
      </w:r>
    </w:p>
    <w:p w14:paraId="00000007" w14:textId="77777777" w:rsidR="003A270A" w:rsidRDefault="00000000">
      <w:pPr>
        <w:numPr>
          <w:ilvl w:val="0"/>
          <w:numId w:val="9"/>
        </w:numPr>
        <w:spacing w:before="240"/>
      </w:pPr>
      <w:r>
        <w:t>Explain why analyzing bank failures matters</w:t>
      </w:r>
    </w:p>
    <w:p w14:paraId="00000008" w14:textId="77777777" w:rsidR="003A270A" w:rsidRDefault="00000000">
      <w:pPr>
        <w:numPr>
          <w:ilvl w:val="0"/>
          <w:numId w:val="9"/>
        </w:numPr>
      </w:pPr>
      <w:r>
        <w:t>Introduce the dataset (FDIC failures 1930–2020)</w:t>
      </w:r>
    </w:p>
    <w:p w14:paraId="00000009" w14:textId="77777777" w:rsidR="003A270A" w:rsidRDefault="00000000">
      <w:pPr>
        <w:numPr>
          <w:ilvl w:val="0"/>
          <w:numId w:val="9"/>
        </w:numPr>
        <w:spacing w:after="240"/>
      </w:pPr>
      <w:r>
        <w:t>State your research objective</w:t>
      </w:r>
    </w:p>
    <w:p w14:paraId="0000000A" w14:textId="77777777" w:rsidR="003A270A" w:rsidRDefault="00000000">
      <w:pPr>
        <w:pStyle w:val="Heading3"/>
        <w:keepNext w:val="0"/>
        <w:keepLines w:val="0"/>
        <w:spacing w:before="280"/>
        <w:rPr>
          <w:b/>
          <w:bCs/>
          <w:color w:val="000000"/>
          <w:sz w:val="26"/>
          <w:szCs w:val="26"/>
        </w:rPr>
      </w:pPr>
      <w:bookmarkStart w:id="4" w:name="_g53kolciijt3" w:colFirst="0" w:colLast="0"/>
      <w:bookmarkEnd w:id="4"/>
      <w:r>
        <w:rPr>
          <w:b/>
          <w:bCs/>
          <w:color w:val="000000"/>
          <w:sz w:val="26"/>
          <w:szCs w:val="26"/>
        </w:rPr>
        <w:t>Include:</w:t>
      </w:r>
    </w:p>
    <w:p w14:paraId="0000000B" w14:textId="77777777" w:rsidR="003A270A" w:rsidRDefault="00000000">
      <w:pPr>
        <w:numPr>
          <w:ilvl w:val="0"/>
          <w:numId w:val="1"/>
        </w:numPr>
        <w:spacing w:before="240"/>
      </w:pPr>
      <w:r>
        <w:rPr>
          <w:b/>
          <w:bCs/>
        </w:rPr>
        <w:t>Problem Statement</w:t>
      </w:r>
      <w:r>
        <w:t xml:space="preserve"> </w:t>
      </w:r>
    </w:p>
    <w:p w14:paraId="0000000C" w14:textId="77777777" w:rsidR="003A270A" w:rsidRDefault="00000000">
      <w:pPr>
        <w:numPr>
          <w:ilvl w:val="0"/>
          <w:numId w:val="1"/>
        </w:numPr>
        <w:spacing w:after="240"/>
      </w:pPr>
      <w:r>
        <w:t>Brief dataset description</w:t>
      </w:r>
    </w:p>
    <w:p w14:paraId="0000000D" w14:textId="77777777" w:rsidR="003A270A" w:rsidRDefault="00000000">
      <w:r>
        <w:pict w14:anchorId="34159358">
          <v:rect id="_x0000_i1027" style="width:0;height:1.5pt" o:hralign="center" o:hrstd="t" o:hr="t" fillcolor="#a0a0a0" stroked="f"/>
        </w:pict>
      </w:r>
    </w:p>
    <w:p w14:paraId="0000000E" w14:textId="77777777" w:rsidR="003A270A" w:rsidRDefault="00000000">
      <w:pPr>
        <w:pStyle w:val="Heading1"/>
        <w:keepNext w:val="0"/>
        <w:keepLines w:val="0"/>
        <w:spacing w:before="480"/>
        <w:rPr>
          <w:b/>
          <w:bCs/>
          <w:sz w:val="46"/>
          <w:szCs w:val="46"/>
        </w:rPr>
      </w:pPr>
      <w:bookmarkStart w:id="5" w:name="_syqm8hyeo42y" w:colFirst="0" w:colLast="0"/>
      <w:bookmarkEnd w:id="5"/>
      <w:r>
        <w:rPr>
          <w:b/>
          <w:bCs/>
          <w:sz w:val="46"/>
          <w:szCs w:val="46"/>
        </w:rPr>
        <w:t>📅 2. Temporal Patterns in Bank Failures (When do failures occur?)</w:t>
      </w:r>
    </w:p>
    <w:p w14:paraId="0000000F" w14:textId="77777777" w:rsidR="003A270A" w:rsidRDefault="00000000">
      <w:pPr>
        <w:pStyle w:val="Heading3"/>
        <w:keepNext w:val="0"/>
        <w:keepLines w:val="0"/>
        <w:spacing w:before="280"/>
        <w:rPr>
          <w:b/>
          <w:bCs/>
          <w:color w:val="000000"/>
          <w:sz w:val="26"/>
          <w:szCs w:val="26"/>
        </w:rPr>
      </w:pPr>
      <w:bookmarkStart w:id="6" w:name="_xtieycy4j07s" w:colFirst="0" w:colLast="0"/>
      <w:bookmarkEnd w:id="6"/>
      <w:r>
        <w:rPr>
          <w:b/>
          <w:bCs/>
          <w:color w:val="000000"/>
          <w:sz w:val="26"/>
          <w:szCs w:val="26"/>
        </w:rPr>
        <w:t>Questions:</w:t>
      </w:r>
    </w:p>
    <w:p w14:paraId="00000010" w14:textId="77777777" w:rsidR="003A270A" w:rsidRDefault="00000000">
      <w:pPr>
        <w:numPr>
          <w:ilvl w:val="0"/>
          <w:numId w:val="14"/>
        </w:numPr>
        <w:spacing w:before="240"/>
      </w:pPr>
      <w:r>
        <w:t>Do failures occur steadily or in waves?</w:t>
      </w:r>
    </w:p>
    <w:p w14:paraId="00000011" w14:textId="77777777" w:rsidR="003A270A" w:rsidRDefault="00000000">
      <w:pPr>
        <w:numPr>
          <w:ilvl w:val="0"/>
          <w:numId w:val="14"/>
        </w:numPr>
      </w:pPr>
      <w:r>
        <w:t>Which decades had the highest failure activity?</w:t>
      </w:r>
    </w:p>
    <w:p w14:paraId="00000012" w14:textId="77777777" w:rsidR="003A270A" w:rsidRDefault="00000000">
      <w:pPr>
        <w:numPr>
          <w:ilvl w:val="0"/>
          <w:numId w:val="14"/>
        </w:numPr>
        <w:spacing w:after="240"/>
      </w:pPr>
      <w:r>
        <w:t>How do crisis periods compare?</w:t>
      </w:r>
    </w:p>
    <w:p w14:paraId="00000013" w14:textId="77777777" w:rsidR="003A270A" w:rsidRDefault="00000000">
      <w:pPr>
        <w:pStyle w:val="Heading3"/>
        <w:keepNext w:val="0"/>
        <w:keepLines w:val="0"/>
        <w:spacing w:before="280"/>
        <w:rPr>
          <w:b/>
          <w:bCs/>
          <w:color w:val="000000"/>
          <w:sz w:val="26"/>
          <w:szCs w:val="26"/>
        </w:rPr>
      </w:pPr>
      <w:bookmarkStart w:id="7" w:name="_55xf4xijchci" w:colFirst="0" w:colLast="0"/>
      <w:bookmarkEnd w:id="7"/>
      <w:r>
        <w:rPr>
          <w:b/>
          <w:bCs/>
          <w:color w:val="000000"/>
          <w:sz w:val="26"/>
          <w:szCs w:val="26"/>
        </w:rPr>
        <w:lastRenderedPageBreak/>
        <w:t>Visualizations:</w:t>
      </w:r>
    </w:p>
    <w:p w14:paraId="00000014" w14:textId="77777777" w:rsidR="003A270A" w:rsidRDefault="00000000">
      <w:pPr>
        <w:numPr>
          <w:ilvl w:val="0"/>
          <w:numId w:val="21"/>
        </w:numPr>
        <w:spacing w:before="240"/>
      </w:pPr>
      <w:r>
        <w:rPr>
          <w:b/>
          <w:bCs/>
        </w:rPr>
        <w:t>Bank Failures per Year (Line Chart)</w:t>
      </w:r>
      <w:r>
        <w:rPr>
          <w:b/>
          <w:bCs/>
        </w:rPr>
        <w:br/>
      </w:r>
    </w:p>
    <w:p w14:paraId="00000015" w14:textId="77777777" w:rsidR="003A270A" w:rsidRDefault="00000000">
      <w:pPr>
        <w:numPr>
          <w:ilvl w:val="1"/>
          <w:numId w:val="21"/>
        </w:numPr>
      </w:pPr>
      <w:r>
        <w:t>Shows crisis spikes (1930s, 1980s, 2010)</w:t>
      </w:r>
    </w:p>
    <w:p w14:paraId="00000016" w14:textId="77777777" w:rsidR="003A270A" w:rsidRDefault="00000000">
      <w:pPr>
        <w:numPr>
          <w:ilvl w:val="0"/>
          <w:numId w:val="21"/>
        </w:numPr>
      </w:pPr>
      <w:r>
        <w:rPr>
          <w:b/>
          <w:bCs/>
        </w:rPr>
        <w:t>Bank Failures by Decade (Bar Chart)</w:t>
      </w:r>
      <w:r>
        <w:rPr>
          <w:b/>
          <w:bCs/>
        </w:rPr>
        <w:br/>
      </w:r>
    </w:p>
    <w:p w14:paraId="00000017" w14:textId="77777777" w:rsidR="003A270A" w:rsidRDefault="00000000">
      <w:pPr>
        <w:numPr>
          <w:ilvl w:val="1"/>
          <w:numId w:val="21"/>
        </w:numPr>
      </w:pPr>
      <w:r>
        <w:t>Highlights long‑term structural patterns</w:t>
      </w:r>
    </w:p>
    <w:p w14:paraId="00000018" w14:textId="77777777" w:rsidR="003A270A" w:rsidRDefault="00000000">
      <w:pPr>
        <w:numPr>
          <w:ilvl w:val="0"/>
          <w:numId w:val="21"/>
        </w:numPr>
      </w:pPr>
      <w:r>
        <w:rPr>
          <w:b/>
          <w:bCs/>
        </w:rPr>
        <w:t>Comparison Chart: 1930s vs 1980s vs 2010s</w:t>
      </w:r>
      <w:r>
        <w:rPr>
          <w:b/>
          <w:bCs/>
        </w:rPr>
        <w:br/>
      </w:r>
    </w:p>
    <w:p w14:paraId="00000019" w14:textId="77777777" w:rsidR="003A270A" w:rsidRDefault="00000000">
      <w:pPr>
        <w:numPr>
          <w:ilvl w:val="1"/>
          <w:numId w:val="21"/>
        </w:numPr>
        <w:spacing w:after="240"/>
      </w:pPr>
      <w:r>
        <w:t>Shows the three major crisis eras side‑by‑side</w:t>
      </w:r>
    </w:p>
    <w:p w14:paraId="0000001A" w14:textId="77777777" w:rsidR="003A270A" w:rsidRDefault="00000000">
      <w:pPr>
        <w:pStyle w:val="Heading3"/>
        <w:keepNext w:val="0"/>
        <w:keepLines w:val="0"/>
        <w:spacing w:before="280"/>
        <w:rPr>
          <w:b/>
          <w:bCs/>
          <w:color w:val="000000"/>
          <w:sz w:val="26"/>
          <w:szCs w:val="26"/>
        </w:rPr>
      </w:pPr>
      <w:bookmarkStart w:id="8" w:name="_okw11i6b5tln" w:colFirst="0" w:colLast="0"/>
      <w:bookmarkEnd w:id="8"/>
      <w:r>
        <w:rPr>
          <w:b/>
          <w:bCs/>
          <w:color w:val="000000"/>
          <w:sz w:val="26"/>
          <w:szCs w:val="26"/>
        </w:rPr>
        <w:t>Insights to highlight:</w:t>
      </w:r>
    </w:p>
    <w:p w14:paraId="0000001B" w14:textId="77777777" w:rsidR="003A270A" w:rsidRDefault="00000000">
      <w:pPr>
        <w:numPr>
          <w:ilvl w:val="0"/>
          <w:numId w:val="11"/>
        </w:numPr>
        <w:spacing w:before="240"/>
      </w:pPr>
      <w:r>
        <w:t>Failures cluster in waves, not evenly</w:t>
      </w:r>
    </w:p>
    <w:p w14:paraId="0000001C" w14:textId="77777777" w:rsidR="003A270A" w:rsidRDefault="00000000">
      <w:pPr>
        <w:numPr>
          <w:ilvl w:val="0"/>
          <w:numId w:val="11"/>
        </w:numPr>
      </w:pPr>
      <w:r>
        <w:t>The 1980s S&amp;L crisis dwarfs all other periods</w:t>
      </w:r>
    </w:p>
    <w:p w14:paraId="0000001D" w14:textId="77777777" w:rsidR="003A270A" w:rsidRDefault="00000000">
      <w:pPr>
        <w:numPr>
          <w:ilvl w:val="0"/>
          <w:numId w:val="11"/>
        </w:numPr>
        <w:spacing w:after="240"/>
      </w:pPr>
      <w:r>
        <w:t>The 2010s show post‑2008 aftershocks but far fewer failures</w:t>
      </w:r>
    </w:p>
    <w:p w14:paraId="0000001E" w14:textId="77777777" w:rsidR="003A270A" w:rsidRDefault="00000000">
      <w:r>
        <w:pict w14:anchorId="54C4E036">
          <v:rect id="_x0000_i1028" style="width:0;height:1.5pt" o:hralign="center" o:hrstd="t" o:hr="t" fillcolor="#a0a0a0" stroked="f"/>
        </w:pict>
      </w:r>
    </w:p>
    <w:p w14:paraId="0000001F" w14:textId="77777777" w:rsidR="003A270A" w:rsidRDefault="00000000">
      <w:pPr>
        <w:pStyle w:val="Heading1"/>
        <w:keepNext w:val="0"/>
        <w:keepLines w:val="0"/>
        <w:spacing w:before="480"/>
        <w:rPr>
          <w:b/>
          <w:bCs/>
          <w:sz w:val="46"/>
          <w:szCs w:val="46"/>
        </w:rPr>
      </w:pPr>
      <w:bookmarkStart w:id="9" w:name="_76w9d0hl7sv8" w:colFirst="0" w:colLast="0"/>
      <w:bookmarkEnd w:id="9"/>
      <w:r>
        <w:rPr>
          <w:b/>
          <w:bCs/>
          <w:sz w:val="46"/>
          <w:szCs w:val="46"/>
        </w:rPr>
        <w:t>🌎 3. Geographic Patterns (Where do failures occur?)</w:t>
      </w:r>
    </w:p>
    <w:p w14:paraId="00000020" w14:textId="77777777" w:rsidR="003A270A" w:rsidRDefault="00000000">
      <w:pPr>
        <w:pStyle w:val="Heading3"/>
        <w:keepNext w:val="0"/>
        <w:keepLines w:val="0"/>
        <w:spacing w:before="280"/>
        <w:rPr>
          <w:b/>
          <w:bCs/>
          <w:color w:val="000000"/>
          <w:sz w:val="26"/>
          <w:szCs w:val="26"/>
        </w:rPr>
      </w:pPr>
      <w:bookmarkStart w:id="10" w:name="_2iltlaovjps5" w:colFirst="0" w:colLast="0"/>
      <w:bookmarkEnd w:id="10"/>
      <w:r>
        <w:rPr>
          <w:b/>
          <w:bCs/>
          <w:color w:val="000000"/>
          <w:sz w:val="26"/>
          <w:szCs w:val="26"/>
        </w:rPr>
        <w:t>Questions:</w:t>
      </w:r>
    </w:p>
    <w:p w14:paraId="00000021" w14:textId="77777777" w:rsidR="003A270A" w:rsidRDefault="00000000">
      <w:pPr>
        <w:numPr>
          <w:ilvl w:val="0"/>
          <w:numId w:val="4"/>
        </w:numPr>
        <w:spacing w:before="240"/>
      </w:pPr>
      <w:r>
        <w:t>Which states experienced the most failures?</w:t>
      </w:r>
    </w:p>
    <w:p w14:paraId="00000022" w14:textId="77777777" w:rsidR="003A270A" w:rsidRDefault="00000000">
      <w:pPr>
        <w:numPr>
          <w:ilvl w:val="0"/>
          <w:numId w:val="4"/>
        </w:numPr>
      </w:pPr>
      <w:r>
        <w:t>Are failures regionally concentrated?</w:t>
      </w:r>
    </w:p>
    <w:p w14:paraId="00000023" w14:textId="77777777" w:rsidR="003A270A" w:rsidRDefault="00000000">
      <w:pPr>
        <w:numPr>
          <w:ilvl w:val="0"/>
          <w:numId w:val="4"/>
        </w:numPr>
        <w:spacing w:after="240"/>
      </w:pPr>
      <w:r>
        <w:t>Do crisis periods affect different states differently?</w:t>
      </w:r>
    </w:p>
    <w:p w14:paraId="00000024" w14:textId="77777777" w:rsidR="003A270A" w:rsidRDefault="00000000">
      <w:pPr>
        <w:pStyle w:val="Heading3"/>
        <w:keepNext w:val="0"/>
        <w:keepLines w:val="0"/>
        <w:spacing w:before="280"/>
        <w:rPr>
          <w:b/>
          <w:bCs/>
          <w:color w:val="000000"/>
          <w:sz w:val="26"/>
          <w:szCs w:val="26"/>
        </w:rPr>
      </w:pPr>
      <w:bookmarkStart w:id="11" w:name="_qfzc70ae7twc" w:colFirst="0" w:colLast="0"/>
      <w:bookmarkEnd w:id="11"/>
      <w:r>
        <w:rPr>
          <w:b/>
          <w:bCs/>
          <w:color w:val="000000"/>
          <w:sz w:val="26"/>
          <w:szCs w:val="26"/>
        </w:rPr>
        <w:t>Visualizations:</w:t>
      </w:r>
    </w:p>
    <w:p w14:paraId="00000025" w14:textId="77777777" w:rsidR="003A270A" w:rsidRDefault="00000000">
      <w:pPr>
        <w:numPr>
          <w:ilvl w:val="0"/>
          <w:numId w:val="19"/>
        </w:numPr>
        <w:spacing w:before="240"/>
      </w:pPr>
      <w:r>
        <w:rPr>
          <w:b/>
          <w:bCs/>
        </w:rPr>
        <w:t>Top 10 States by Number of Failures (Bar Chart)</w:t>
      </w:r>
    </w:p>
    <w:p w14:paraId="00000026" w14:textId="77777777" w:rsidR="003A270A" w:rsidRDefault="00000000">
      <w:pPr>
        <w:numPr>
          <w:ilvl w:val="0"/>
          <w:numId w:val="19"/>
        </w:numPr>
      </w:pPr>
      <w:r>
        <w:rPr>
          <w:b/>
          <w:bCs/>
        </w:rPr>
        <w:t>Choropleth Map (optional)</w:t>
      </w:r>
    </w:p>
    <w:p w14:paraId="00000027" w14:textId="77777777" w:rsidR="003A270A" w:rsidRDefault="00000000">
      <w:pPr>
        <w:numPr>
          <w:ilvl w:val="1"/>
          <w:numId w:val="19"/>
        </w:numPr>
      </w:pPr>
      <w:r>
        <w:t>If you want a geographic heatmap</w:t>
      </w:r>
    </w:p>
    <w:p w14:paraId="00000028" w14:textId="77777777" w:rsidR="003A270A" w:rsidRDefault="00000000">
      <w:pPr>
        <w:numPr>
          <w:ilvl w:val="0"/>
          <w:numId w:val="19"/>
        </w:numPr>
        <w:spacing w:after="240"/>
      </w:pPr>
      <w:r>
        <w:rPr>
          <w:b/>
          <w:bCs/>
        </w:rPr>
        <w:t>State‑level cost or decade comparison (optional)</w:t>
      </w:r>
    </w:p>
    <w:p w14:paraId="00000029" w14:textId="77777777" w:rsidR="003A270A" w:rsidRDefault="00000000">
      <w:pPr>
        <w:pStyle w:val="Heading3"/>
        <w:keepNext w:val="0"/>
        <w:keepLines w:val="0"/>
        <w:spacing w:before="280"/>
        <w:rPr>
          <w:b/>
          <w:bCs/>
          <w:color w:val="000000"/>
          <w:sz w:val="26"/>
          <w:szCs w:val="26"/>
        </w:rPr>
      </w:pPr>
      <w:bookmarkStart w:id="12" w:name="_wa173kqbezxu" w:colFirst="0" w:colLast="0"/>
      <w:bookmarkEnd w:id="12"/>
      <w:r>
        <w:rPr>
          <w:b/>
          <w:bCs/>
          <w:color w:val="000000"/>
          <w:sz w:val="26"/>
          <w:szCs w:val="26"/>
        </w:rPr>
        <w:t>Insights to highlight:</w:t>
      </w:r>
    </w:p>
    <w:p w14:paraId="0000002A" w14:textId="77777777" w:rsidR="003A270A" w:rsidRDefault="00000000">
      <w:pPr>
        <w:numPr>
          <w:ilvl w:val="0"/>
          <w:numId w:val="3"/>
        </w:numPr>
        <w:spacing w:before="240"/>
      </w:pPr>
      <w:r>
        <w:t>Illinois, Texas, California, and Nebraska dominate</w:t>
      </w:r>
    </w:p>
    <w:p w14:paraId="0000002B" w14:textId="77777777" w:rsidR="003A270A" w:rsidRDefault="00000000">
      <w:pPr>
        <w:numPr>
          <w:ilvl w:val="0"/>
          <w:numId w:val="3"/>
        </w:numPr>
        <w:spacing w:after="240"/>
      </w:pPr>
      <w:r>
        <w:t>The 1980s crisis was heavily concentrated in the Southwest</w:t>
      </w:r>
    </w:p>
    <w:p w14:paraId="0000002C" w14:textId="77777777" w:rsidR="003A270A" w:rsidRDefault="00000000">
      <w:r>
        <w:lastRenderedPageBreak/>
        <w:pict w14:anchorId="310B494A">
          <v:rect id="_x0000_i1029" style="width:0;height:1.5pt" o:hralign="center" o:hrstd="t" o:hr="t" fillcolor="#a0a0a0" stroked="f"/>
        </w:pict>
      </w:r>
    </w:p>
    <w:p w14:paraId="0000002D" w14:textId="77777777" w:rsidR="003A270A" w:rsidRDefault="00000000">
      <w:pPr>
        <w:pStyle w:val="Heading1"/>
        <w:keepNext w:val="0"/>
        <w:keepLines w:val="0"/>
        <w:spacing w:before="480"/>
        <w:rPr>
          <w:b/>
          <w:bCs/>
          <w:sz w:val="46"/>
          <w:szCs w:val="46"/>
        </w:rPr>
      </w:pPr>
      <w:bookmarkStart w:id="13" w:name="_12pdtpz2c2o9" w:colFirst="0" w:colLast="0"/>
      <w:bookmarkEnd w:id="13"/>
      <w:r>
        <w:rPr>
          <w:b/>
          <w:bCs/>
          <w:sz w:val="46"/>
          <w:szCs w:val="46"/>
        </w:rPr>
        <w:t>🏦 4. Institutional Characteristics (What types of banks failed?)</w:t>
      </w:r>
    </w:p>
    <w:p w14:paraId="0000002E" w14:textId="77777777" w:rsidR="003A270A" w:rsidRDefault="00000000">
      <w:pPr>
        <w:pStyle w:val="Heading3"/>
        <w:keepNext w:val="0"/>
        <w:keepLines w:val="0"/>
        <w:spacing w:before="280"/>
        <w:rPr>
          <w:b/>
          <w:bCs/>
          <w:color w:val="000000"/>
          <w:sz w:val="26"/>
          <w:szCs w:val="26"/>
        </w:rPr>
      </w:pPr>
      <w:bookmarkStart w:id="14" w:name="_uixpfp1vezag" w:colFirst="0" w:colLast="0"/>
      <w:bookmarkEnd w:id="14"/>
      <w:r>
        <w:rPr>
          <w:b/>
          <w:bCs/>
          <w:color w:val="000000"/>
          <w:sz w:val="26"/>
          <w:szCs w:val="26"/>
        </w:rPr>
        <w:t>Questions:</w:t>
      </w:r>
    </w:p>
    <w:p w14:paraId="0000002F" w14:textId="77777777" w:rsidR="003A270A" w:rsidRDefault="00000000">
      <w:pPr>
        <w:numPr>
          <w:ilvl w:val="0"/>
          <w:numId w:val="5"/>
        </w:numPr>
        <w:spacing w:before="240"/>
      </w:pPr>
      <w:r>
        <w:t>What kinds of institutions failed?</w:t>
      </w:r>
    </w:p>
    <w:p w14:paraId="00000030" w14:textId="77777777" w:rsidR="003A270A" w:rsidRDefault="00000000">
      <w:pPr>
        <w:numPr>
          <w:ilvl w:val="0"/>
          <w:numId w:val="5"/>
        </w:numPr>
      </w:pPr>
      <w:r>
        <w:t>What do their names reveal?</w:t>
      </w:r>
    </w:p>
    <w:p w14:paraId="00000031" w14:textId="77777777" w:rsidR="003A270A" w:rsidRDefault="00000000">
      <w:pPr>
        <w:numPr>
          <w:ilvl w:val="0"/>
          <w:numId w:val="5"/>
        </w:numPr>
        <w:spacing w:after="240"/>
      </w:pPr>
      <w:r>
        <w:t>How do charter classes differ?</w:t>
      </w:r>
    </w:p>
    <w:p w14:paraId="00000032" w14:textId="77777777" w:rsidR="003A270A" w:rsidRDefault="00000000">
      <w:pPr>
        <w:pStyle w:val="Heading3"/>
        <w:keepNext w:val="0"/>
        <w:keepLines w:val="0"/>
        <w:spacing w:before="280"/>
        <w:rPr>
          <w:b/>
          <w:bCs/>
          <w:color w:val="000000"/>
          <w:sz w:val="26"/>
          <w:szCs w:val="26"/>
        </w:rPr>
      </w:pPr>
      <w:bookmarkStart w:id="15" w:name="_j5eq1o4r9ppo" w:colFirst="0" w:colLast="0"/>
      <w:bookmarkEnd w:id="15"/>
      <w:r>
        <w:rPr>
          <w:b/>
          <w:bCs/>
          <w:color w:val="000000"/>
          <w:sz w:val="26"/>
          <w:szCs w:val="26"/>
        </w:rPr>
        <w:t>Visualizations:</w:t>
      </w:r>
    </w:p>
    <w:p w14:paraId="00000033" w14:textId="77777777" w:rsidR="003A270A" w:rsidRDefault="00000000">
      <w:pPr>
        <w:numPr>
          <w:ilvl w:val="0"/>
          <w:numId w:val="12"/>
        </w:numPr>
        <w:spacing w:before="240"/>
      </w:pPr>
      <w:r>
        <w:rPr>
          <w:b/>
          <w:bCs/>
        </w:rPr>
        <w:t>Word Cloud or Word Frequency Bar Chart</w:t>
      </w:r>
    </w:p>
    <w:p w14:paraId="00000034" w14:textId="77777777" w:rsidR="003A270A" w:rsidRDefault="00000000">
      <w:pPr>
        <w:numPr>
          <w:ilvl w:val="1"/>
          <w:numId w:val="12"/>
        </w:numPr>
      </w:pPr>
      <w:r>
        <w:t>Shows patterns like “Savings”, “FSB”, “National”, “State”</w:t>
      </w:r>
    </w:p>
    <w:p w14:paraId="00000035" w14:textId="77777777" w:rsidR="003A270A" w:rsidRDefault="00000000">
      <w:pPr>
        <w:numPr>
          <w:ilvl w:val="0"/>
          <w:numId w:val="12"/>
        </w:numPr>
      </w:pPr>
      <w:r>
        <w:rPr>
          <w:b/>
          <w:bCs/>
        </w:rPr>
        <w:t>Failures by Charter Class (Bar Chart)</w:t>
      </w:r>
    </w:p>
    <w:p w14:paraId="00000036" w14:textId="77777777" w:rsidR="003A270A" w:rsidRDefault="00000000">
      <w:pPr>
        <w:numPr>
          <w:ilvl w:val="0"/>
          <w:numId w:val="12"/>
        </w:numPr>
        <w:spacing w:after="240"/>
      </w:pPr>
      <w:r>
        <w:rPr>
          <w:b/>
          <w:bCs/>
        </w:rPr>
        <w:t>Resolution Type Distribution (Bar Chart)</w:t>
      </w:r>
    </w:p>
    <w:p w14:paraId="00000037" w14:textId="77777777" w:rsidR="003A270A" w:rsidRDefault="00000000">
      <w:pPr>
        <w:pStyle w:val="Heading3"/>
        <w:keepNext w:val="0"/>
        <w:keepLines w:val="0"/>
        <w:spacing w:before="280"/>
        <w:rPr>
          <w:b/>
          <w:bCs/>
          <w:color w:val="000000"/>
          <w:sz w:val="26"/>
          <w:szCs w:val="26"/>
        </w:rPr>
      </w:pPr>
      <w:bookmarkStart w:id="16" w:name="_d69ro59p1o6x" w:colFirst="0" w:colLast="0"/>
      <w:bookmarkEnd w:id="16"/>
      <w:r>
        <w:rPr>
          <w:b/>
          <w:bCs/>
          <w:color w:val="000000"/>
          <w:sz w:val="26"/>
          <w:szCs w:val="26"/>
        </w:rPr>
        <w:t>Insights to highlight:</w:t>
      </w:r>
    </w:p>
    <w:p w14:paraId="00000038" w14:textId="77777777" w:rsidR="003A270A" w:rsidRDefault="00000000">
      <w:pPr>
        <w:numPr>
          <w:ilvl w:val="0"/>
          <w:numId w:val="6"/>
        </w:numPr>
        <w:spacing w:before="240"/>
      </w:pPr>
      <w:r>
        <w:t>1930s: small community banks</w:t>
      </w:r>
    </w:p>
    <w:p w14:paraId="00000039" w14:textId="77777777" w:rsidR="003A270A" w:rsidRDefault="00000000">
      <w:pPr>
        <w:numPr>
          <w:ilvl w:val="0"/>
          <w:numId w:val="6"/>
        </w:numPr>
      </w:pPr>
      <w:r>
        <w:t>1980s: Savings &amp; Loan institutions</w:t>
      </w:r>
    </w:p>
    <w:p w14:paraId="0000003A" w14:textId="77777777" w:rsidR="003A270A" w:rsidRDefault="00000000">
      <w:pPr>
        <w:numPr>
          <w:ilvl w:val="0"/>
          <w:numId w:val="6"/>
        </w:numPr>
        <w:spacing w:after="240"/>
      </w:pPr>
      <w:r>
        <w:t>Resolution types shift dramatically during crises</w:t>
      </w:r>
    </w:p>
    <w:p w14:paraId="0000003B" w14:textId="77777777" w:rsidR="003A270A" w:rsidRDefault="00000000">
      <w:r>
        <w:pict w14:anchorId="6889365F">
          <v:rect id="_x0000_i1030" style="width:0;height:1.5pt" o:hralign="center" o:hrstd="t" o:hr="t" fillcolor="#a0a0a0" stroked="f"/>
        </w:pict>
      </w:r>
    </w:p>
    <w:p w14:paraId="0000003C" w14:textId="77777777" w:rsidR="003A270A" w:rsidRDefault="00000000">
      <w:pPr>
        <w:pStyle w:val="Heading1"/>
        <w:keepNext w:val="0"/>
        <w:keepLines w:val="0"/>
        <w:spacing w:before="480"/>
        <w:rPr>
          <w:b/>
          <w:bCs/>
          <w:sz w:val="46"/>
          <w:szCs w:val="46"/>
        </w:rPr>
      </w:pPr>
      <w:bookmarkStart w:id="17" w:name="_55fbnm4thq5g" w:colFirst="0" w:colLast="0"/>
      <w:bookmarkEnd w:id="17"/>
      <w:r>
        <w:rPr>
          <w:b/>
          <w:bCs/>
          <w:sz w:val="46"/>
          <w:szCs w:val="46"/>
        </w:rPr>
        <w:t>💰 5. Financial Impact: Cost of Bank Failures</w:t>
      </w:r>
    </w:p>
    <w:p w14:paraId="0000003D" w14:textId="77777777" w:rsidR="003A270A" w:rsidRDefault="00000000">
      <w:pPr>
        <w:pStyle w:val="Heading3"/>
        <w:keepNext w:val="0"/>
        <w:keepLines w:val="0"/>
        <w:spacing w:before="280"/>
        <w:rPr>
          <w:b/>
          <w:bCs/>
          <w:color w:val="000000"/>
          <w:sz w:val="26"/>
          <w:szCs w:val="26"/>
        </w:rPr>
      </w:pPr>
      <w:bookmarkStart w:id="18" w:name="_dw6z6lh38bil" w:colFirst="0" w:colLast="0"/>
      <w:bookmarkEnd w:id="18"/>
      <w:r>
        <w:rPr>
          <w:b/>
          <w:bCs/>
          <w:color w:val="000000"/>
          <w:sz w:val="26"/>
          <w:szCs w:val="26"/>
        </w:rPr>
        <w:t>Questions:</w:t>
      </w:r>
    </w:p>
    <w:p w14:paraId="0000003E" w14:textId="77777777" w:rsidR="003A270A" w:rsidRDefault="00000000">
      <w:pPr>
        <w:numPr>
          <w:ilvl w:val="0"/>
          <w:numId w:val="13"/>
        </w:numPr>
        <w:spacing w:before="240"/>
      </w:pPr>
      <w:r>
        <w:t>How expensive are failures?</w:t>
      </w:r>
    </w:p>
    <w:p w14:paraId="0000003F" w14:textId="77777777" w:rsidR="003A270A" w:rsidRDefault="00000000">
      <w:pPr>
        <w:numPr>
          <w:ilvl w:val="0"/>
          <w:numId w:val="13"/>
        </w:numPr>
      </w:pPr>
      <w:r>
        <w:t>How does cost vary by decade, state, or resolution type?</w:t>
      </w:r>
    </w:p>
    <w:p w14:paraId="00000040" w14:textId="77777777" w:rsidR="003A270A" w:rsidRDefault="00000000">
      <w:pPr>
        <w:numPr>
          <w:ilvl w:val="0"/>
          <w:numId w:val="13"/>
        </w:numPr>
        <w:spacing w:after="240"/>
      </w:pPr>
      <w:r>
        <w:t>Are costs evenly distributed or skewed?</w:t>
      </w:r>
    </w:p>
    <w:p w14:paraId="00000041" w14:textId="77777777" w:rsidR="003A270A" w:rsidRDefault="00000000">
      <w:pPr>
        <w:pStyle w:val="Heading3"/>
        <w:keepNext w:val="0"/>
        <w:keepLines w:val="0"/>
        <w:spacing w:before="280"/>
        <w:rPr>
          <w:b/>
          <w:bCs/>
          <w:color w:val="000000"/>
          <w:sz w:val="26"/>
          <w:szCs w:val="26"/>
        </w:rPr>
      </w:pPr>
      <w:bookmarkStart w:id="19" w:name="_emmzolghrggh" w:colFirst="0" w:colLast="0"/>
      <w:bookmarkEnd w:id="19"/>
      <w:r>
        <w:rPr>
          <w:b/>
          <w:bCs/>
          <w:color w:val="000000"/>
          <w:sz w:val="26"/>
          <w:szCs w:val="26"/>
        </w:rPr>
        <w:t>Visualizations:</w:t>
      </w:r>
    </w:p>
    <w:p w14:paraId="00000042" w14:textId="77777777" w:rsidR="003A270A" w:rsidRDefault="00000000">
      <w:pPr>
        <w:numPr>
          <w:ilvl w:val="0"/>
          <w:numId w:val="18"/>
        </w:numPr>
        <w:spacing w:before="240"/>
      </w:pPr>
      <w:r>
        <w:rPr>
          <w:b/>
          <w:bCs/>
        </w:rPr>
        <w:t>Histogram of Cost (Raw Scale)</w:t>
      </w:r>
    </w:p>
    <w:p w14:paraId="00000043" w14:textId="77777777" w:rsidR="003A270A" w:rsidRDefault="00000000">
      <w:pPr>
        <w:numPr>
          <w:ilvl w:val="1"/>
          <w:numId w:val="18"/>
        </w:numPr>
      </w:pPr>
      <w:r>
        <w:lastRenderedPageBreak/>
        <w:t>Shows extreme skew</w:t>
      </w:r>
    </w:p>
    <w:p w14:paraId="00000044" w14:textId="77777777" w:rsidR="003A270A" w:rsidRDefault="00000000">
      <w:pPr>
        <w:numPr>
          <w:ilvl w:val="0"/>
          <w:numId w:val="18"/>
        </w:numPr>
      </w:pPr>
      <w:r>
        <w:rPr>
          <w:b/>
          <w:bCs/>
        </w:rPr>
        <w:t>Log‑Scaled Histogram of Cost</w:t>
      </w:r>
    </w:p>
    <w:p w14:paraId="00000045" w14:textId="77777777" w:rsidR="003A270A" w:rsidRDefault="00000000">
      <w:pPr>
        <w:numPr>
          <w:ilvl w:val="1"/>
          <w:numId w:val="18"/>
        </w:numPr>
      </w:pPr>
      <w:r>
        <w:t>Reveals underlying structure</w:t>
      </w:r>
    </w:p>
    <w:p w14:paraId="00000046" w14:textId="77777777" w:rsidR="003A270A" w:rsidRDefault="00000000">
      <w:pPr>
        <w:numPr>
          <w:ilvl w:val="0"/>
          <w:numId w:val="18"/>
        </w:numPr>
      </w:pPr>
      <w:r>
        <w:rPr>
          <w:b/>
          <w:bCs/>
        </w:rPr>
        <w:t>Boxplot of Cost by Decade</w:t>
      </w:r>
    </w:p>
    <w:p w14:paraId="00000047" w14:textId="77777777" w:rsidR="003A270A" w:rsidRDefault="00000000">
      <w:pPr>
        <w:numPr>
          <w:ilvl w:val="1"/>
          <w:numId w:val="18"/>
        </w:numPr>
      </w:pPr>
      <w:r>
        <w:t>Shows why the 1980s have the widest spread</w:t>
      </w:r>
    </w:p>
    <w:p w14:paraId="00000048" w14:textId="77777777" w:rsidR="003A270A" w:rsidRDefault="00000000">
      <w:pPr>
        <w:numPr>
          <w:ilvl w:val="0"/>
          <w:numId w:val="18"/>
        </w:numPr>
      </w:pPr>
      <w:r>
        <w:rPr>
          <w:b/>
          <w:bCs/>
        </w:rPr>
        <w:t>Average Cost by Resolution Type (Bar Chart)</w:t>
      </w:r>
    </w:p>
    <w:p w14:paraId="00000049" w14:textId="77777777" w:rsidR="003A270A" w:rsidRDefault="00000000">
      <w:pPr>
        <w:numPr>
          <w:ilvl w:val="0"/>
          <w:numId w:val="18"/>
        </w:numPr>
        <w:spacing w:after="240"/>
      </w:pPr>
      <w:r>
        <w:rPr>
          <w:b/>
          <w:bCs/>
        </w:rPr>
        <w:t>Top 10 States by Average Cost (Bar Chart)</w:t>
      </w:r>
    </w:p>
    <w:p w14:paraId="0000004A" w14:textId="77777777" w:rsidR="003A270A" w:rsidRDefault="00000000">
      <w:pPr>
        <w:pStyle w:val="Heading3"/>
        <w:keepNext w:val="0"/>
        <w:keepLines w:val="0"/>
        <w:spacing w:before="280"/>
        <w:rPr>
          <w:b/>
          <w:bCs/>
          <w:color w:val="000000"/>
          <w:sz w:val="26"/>
          <w:szCs w:val="26"/>
        </w:rPr>
      </w:pPr>
      <w:bookmarkStart w:id="20" w:name="_3hg69va4j3oe" w:colFirst="0" w:colLast="0"/>
      <w:bookmarkEnd w:id="20"/>
      <w:r>
        <w:rPr>
          <w:b/>
          <w:bCs/>
          <w:color w:val="000000"/>
          <w:sz w:val="26"/>
          <w:szCs w:val="26"/>
        </w:rPr>
        <w:t>Insights to highlight:</w:t>
      </w:r>
    </w:p>
    <w:p w14:paraId="0000004B" w14:textId="77777777" w:rsidR="003A270A" w:rsidRDefault="00000000">
      <w:pPr>
        <w:numPr>
          <w:ilvl w:val="0"/>
          <w:numId w:val="7"/>
        </w:numPr>
        <w:spacing w:before="240"/>
      </w:pPr>
      <w:r>
        <w:t>Costs are extremely skewed</w:t>
      </w:r>
    </w:p>
    <w:p w14:paraId="0000004C" w14:textId="77777777" w:rsidR="003A270A" w:rsidRDefault="00000000">
      <w:pPr>
        <w:numPr>
          <w:ilvl w:val="0"/>
          <w:numId w:val="7"/>
        </w:numPr>
      </w:pPr>
      <w:r>
        <w:t>The 1980s show the widest spread and highest outliers</w:t>
      </w:r>
    </w:p>
    <w:p w14:paraId="0000004D" w14:textId="77777777" w:rsidR="003A270A" w:rsidRDefault="00000000">
      <w:pPr>
        <w:numPr>
          <w:ilvl w:val="0"/>
          <w:numId w:val="7"/>
        </w:numPr>
      </w:pPr>
      <w:r>
        <w:t>Assistance deals are the most expensive</w:t>
      </w:r>
    </w:p>
    <w:p w14:paraId="0000004E" w14:textId="77777777" w:rsidR="003A270A" w:rsidRDefault="00000000">
      <w:pPr>
        <w:numPr>
          <w:ilvl w:val="0"/>
          <w:numId w:val="7"/>
        </w:numPr>
        <w:spacing w:after="240"/>
      </w:pPr>
      <w:r>
        <w:t>A few failures dominate total losses</w:t>
      </w:r>
    </w:p>
    <w:p w14:paraId="0000004F" w14:textId="77777777" w:rsidR="003A270A" w:rsidRDefault="00000000">
      <w:r>
        <w:pict w14:anchorId="7B6C4969">
          <v:rect id="_x0000_i1031" style="width:0;height:1.5pt" o:hralign="center" o:hrstd="t" o:hr="t" fillcolor="#a0a0a0" stroked="f"/>
        </w:pict>
      </w:r>
    </w:p>
    <w:p w14:paraId="00000050" w14:textId="698EF93A" w:rsidR="003A270A" w:rsidRPr="00D33462" w:rsidRDefault="00000000">
      <w:pPr>
        <w:pStyle w:val="Heading1"/>
        <w:keepNext w:val="0"/>
        <w:keepLines w:val="0"/>
        <w:spacing w:before="480"/>
        <w:rPr>
          <w:b/>
          <w:bCs/>
          <w:sz w:val="46"/>
          <w:szCs w:val="46"/>
          <w:lang w:val="en-CA"/>
        </w:rPr>
      </w:pPr>
      <w:bookmarkStart w:id="21" w:name="_afs4aqydybsh" w:colFirst="0" w:colLast="0"/>
      <w:bookmarkEnd w:id="21"/>
      <w:r>
        <w:rPr>
          <w:b/>
          <w:bCs/>
          <w:sz w:val="46"/>
          <w:szCs w:val="46"/>
        </w:rPr>
        <w:t>📈 6. Relationship Analysis (What drives cost?</w:t>
      </w:r>
    </w:p>
    <w:p w14:paraId="00000051" w14:textId="77777777" w:rsidR="003A270A" w:rsidRDefault="00000000">
      <w:pPr>
        <w:pStyle w:val="Heading3"/>
        <w:keepNext w:val="0"/>
        <w:keepLines w:val="0"/>
        <w:spacing w:before="280"/>
        <w:rPr>
          <w:b/>
          <w:bCs/>
          <w:color w:val="000000"/>
          <w:sz w:val="26"/>
          <w:szCs w:val="26"/>
        </w:rPr>
      </w:pPr>
      <w:bookmarkStart w:id="22" w:name="_xsgnu48yqdlp" w:colFirst="0" w:colLast="0"/>
      <w:bookmarkEnd w:id="22"/>
      <w:r>
        <w:rPr>
          <w:b/>
          <w:bCs/>
          <w:color w:val="000000"/>
          <w:sz w:val="26"/>
          <w:szCs w:val="26"/>
        </w:rPr>
        <w:t>Questions:</w:t>
      </w:r>
    </w:p>
    <w:p w14:paraId="00000052" w14:textId="77777777" w:rsidR="003A270A" w:rsidRDefault="00000000">
      <w:pPr>
        <w:numPr>
          <w:ilvl w:val="0"/>
          <w:numId w:val="17"/>
        </w:numPr>
        <w:spacing w:before="240"/>
      </w:pPr>
      <w:r>
        <w:t>Do larger banks cost more to resolve?</w:t>
      </w:r>
    </w:p>
    <w:p w14:paraId="00000053" w14:textId="77777777" w:rsidR="003A270A" w:rsidRDefault="00000000">
      <w:pPr>
        <w:numPr>
          <w:ilvl w:val="0"/>
          <w:numId w:val="17"/>
        </w:numPr>
        <w:spacing w:after="240"/>
      </w:pPr>
      <w:r>
        <w:t>Are assets and deposits correlated with cost?</w:t>
      </w:r>
    </w:p>
    <w:p w14:paraId="00000054" w14:textId="77777777" w:rsidR="003A270A" w:rsidRDefault="00000000">
      <w:pPr>
        <w:pStyle w:val="Heading3"/>
        <w:keepNext w:val="0"/>
        <w:keepLines w:val="0"/>
        <w:spacing w:before="280"/>
        <w:rPr>
          <w:b/>
          <w:bCs/>
          <w:color w:val="000000"/>
          <w:sz w:val="26"/>
          <w:szCs w:val="26"/>
        </w:rPr>
      </w:pPr>
      <w:bookmarkStart w:id="23" w:name="_2ubbd3oeq22z" w:colFirst="0" w:colLast="0"/>
      <w:bookmarkEnd w:id="23"/>
      <w:r>
        <w:rPr>
          <w:b/>
          <w:bCs/>
          <w:color w:val="000000"/>
          <w:sz w:val="26"/>
          <w:szCs w:val="26"/>
        </w:rPr>
        <w:t>Visualizations:</w:t>
      </w:r>
    </w:p>
    <w:p w14:paraId="00000055" w14:textId="77777777" w:rsidR="003A270A" w:rsidRDefault="00000000">
      <w:pPr>
        <w:numPr>
          <w:ilvl w:val="0"/>
          <w:numId w:val="10"/>
        </w:numPr>
        <w:spacing w:before="240"/>
      </w:pPr>
      <w:r>
        <w:rPr>
          <w:b/>
          <w:bCs/>
        </w:rPr>
        <w:t>Scatter Plot: Assets vs Cost</w:t>
      </w:r>
    </w:p>
    <w:p w14:paraId="00000056" w14:textId="77777777" w:rsidR="003A270A" w:rsidRDefault="00000000">
      <w:pPr>
        <w:numPr>
          <w:ilvl w:val="0"/>
          <w:numId w:val="10"/>
        </w:numPr>
      </w:pPr>
      <w:r>
        <w:rPr>
          <w:b/>
          <w:bCs/>
        </w:rPr>
        <w:t>Scatter Plot: Deposits vs Cost</w:t>
      </w:r>
    </w:p>
    <w:p w14:paraId="00000057" w14:textId="77777777" w:rsidR="003A270A" w:rsidRDefault="00000000">
      <w:pPr>
        <w:numPr>
          <w:ilvl w:val="0"/>
          <w:numId w:val="10"/>
        </w:numPr>
        <w:spacing w:after="240"/>
      </w:pPr>
      <w:r>
        <w:rPr>
          <w:b/>
          <w:bCs/>
        </w:rPr>
        <w:t>Correlation Heatmap (optional)</w:t>
      </w:r>
    </w:p>
    <w:p w14:paraId="00000058" w14:textId="77777777" w:rsidR="003A270A" w:rsidRDefault="00000000">
      <w:pPr>
        <w:pStyle w:val="Heading3"/>
        <w:keepNext w:val="0"/>
        <w:keepLines w:val="0"/>
        <w:spacing w:before="280"/>
        <w:rPr>
          <w:b/>
          <w:bCs/>
          <w:color w:val="000000"/>
          <w:sz w:val="26"/>
          <w:szCs w:val="26"/>
        </w:rPr>
      </w:pPr>
      <w:bookmarkStart w:id="24" w:name="_7dbyes6mdmwu" w:colFirst="0" w:colLast="0"/>
      <w:bookmarkEnd w:id="24"/>
      <w:r>
        <w:rPr>
          <w:b/>
          <w:bCs/>
          <w:color w:val="000000"/>
          <w:sz w:val="26"/>
          <w:szCs w:val="26"/>
        </w:rPr>
        <w:t>Insights to highlight:</w:t>
      </w:r>
    </w:p>
    <w:p w14:paraId="00000059" w14:textId="77777777" w:rsidR="003A270A" w:rsidRDefault="00000000">
      <w:pPr>
        <w:numPr>
          <w:ilvl w:val="0"/>
          <w:numId w:val="8"/>
        </w:numPr>
        <w:spacing w:before="240"/>
      </w:pPr>
      <w:r>
        <w:t>Larger banks tend to cost more, but with many exceptions</w:t>
      </w:r>
    </w:p>
    <w:p w14:paraId="0000005A" w14:textId="77777777" w:rsidR="003A270A" w:rsidRDefault="00000000">
      <w:pPr>
        <w:numPr>
          <w:ilvl w:val="0"/>
          <w:numId w:val="8"/>
        </w:numPr>
        <w:spacing w:after="240"/>
      </w:pPr>
      <w:r>
        <w:t>Cost is influenced by resolution type and economic era</w:t>
      </w:r>
    </w:p>
    <w:p w14:paraId="0000005B" w14:textId="77777777" w:rsidR="003A270A" w:rsidRDefault="00000000">
      <w:r>
        <w:pict w14:anchorId="75C82E0B">
          <v:rect id="_x0000_i1032" style="width:0;height:1.5pt" o:hralign="center" o:hrstd="t" o:hr="t" fillcolor="#a0a0a0" stroked="f"/>
        </w:pict>
      </w:r>
    </w:p>
    <w:p w14:paraId="0000005C" w14:textId="77777777" w:rsidR="003A270A" w:rsidRDefault="00000000">
      <w:pPr>
        <w:pStyle w:val="Heading1"/>
        <w:keepNext w:val="0"/>
        <w:keepLines w:val="0"/>
        <w:spacing w:before="480"/>
        <w:rPr>
          <w:b/>
          <w:bCs/>
          <w:sz w:val="46"/>
          <w:szCs w:val="46"/>
        </w:rPr>
      </w:pPr>
      <w:bookmarkStart w:id="25" w:name="_hqmr3nsc4qqp" w:colFirst="0" w:colLast="0"/>
      <w:bookmarkEnd w:id="25"/>
      <w:r>
        <w:rPr>
          <w:b/>
          <w:bCs/>
          <w:sz w:val="46"/>
          <w:szCs w:val="46"/>
        </w:rPr>
        <w:t>🧩 7. Missing Data &amp; Imputation Analysis</w:t>
      </w:r>
    </w:p>
    <w:p w14:paraId="0000005D" w14:textId="77777777" w:rsidR="003A270A" w:rsidRDefault="00000000">
      <w:pPr>
        <w:pStyle w:val="Heading3"/>
        <w:keepNext w:val="0"/>
        <w:keepLines w:val="0"/>
        <w:spacing w:before="280"/>
        <w:rPr>
          <w:b/>
          <w:bCs/>
          <w:color w:val="000000"/>
          <w:sz w:val="26"/>
          <w:szCs w:val="26"/>
        </w:rPr>
      </w:pPr>
      <w:bookmarkStart w:id="26" w:name="_bx3pskl54rua" w:colFirst="0" w:colLast="0"/>
      <w:bookmarkEnd w:id="26"/>
      <w:r>
        <w:rPr>
          <w:b/>
          <w:bCs/>
          <w:color w:val="000000"/>
          <w:sz w:val="26"/>
          <w:szCs w:val="26"/>
        </w:rPr>
        <w:lastRenderedPageBreak/>
        <w:t>Questions:</w:t>
      </w:r>
    </w:p>
    <w:p w14:paraId="0000005E" w14:textId="77777777" w:rsidR="003A270A" w:rsidRDefault="00000000">
      <w:pPr>
        <w:numPr>
          <w:ilvl w:val="0"/>
          <w:numId w:val="16"/>
        </w:numPr>
        <w:spacing w:before="240"/>
      </w:pPr>
      <w:r>
        <w:t>What happens if you drop missing cost values?</w:t>
      </w:r>
    </w:p>
    <w:p w14:paraId="0000005F" w14:textId="77777777" w:rsidR="003A270A" w:rsidRDefault="00000000">
      <w:pPr>
        <w:numPr>
          <w:ilvl w:val="0"/>
          <w:numId w:val="16"/>
        </w:numPr>
        <w:spacing w:after="240"/>
      </w:pPr>
      <w:r>
        <w:t>What happens if you impute them?</w:t>
      </w:r>
    </w:p>
    <w:p w14:paraId="00000060" w14:textId="77777777" w:rsidR="003A270A" w:rsidRDefault="00000000">
      <w:pPr>
        <w:pStyle w:val="Heading3"/>
        <w:keepNext w:val="0"/>
        <w:keepLines w:val="0"/>
        <w:spacing w:before="280"/>
        <w:rPr>
          <w:b/>
          <w:bCs/>
          <w:color w:val="000000"/>
          <w:sz w:val="26"/>
          <w:szCs w:val="26"/>
        </w:rPr>
      </w:pPr>
      <w:bookmarkStart w:id="27" w:name="_za9ff0rxgzcd" w:colFirst="0" w:colLast="0"/>
      <w:bookmarkEnd w:id="27"/>
      <w:r>
        <w:rPr>
          <w:b/>
          <w:bCs/>
          <w:color w:val="000000"/>
          <w:sz w:val="26"/>
          <w:szCs w:val="26"/>
        </w:rPr>
        <w:t>Visualizations:</w:t>
      </w:r>
    </w:p>
    <w:p w14:paraId="00000061" w14:textId="77777777" w:rsidR="003A270A" w:rsidRDefault="00000000">
      <w:pPr>
        <w:numPr>
          <w:ilvl w:val="0"/>
          <w:numId w:val="20"/>
        </w:numPr>
        <w:spacing w:before="240"/>
      </w:pPr>
      <w:r>
        <w:rPr>
          <w:b/>
          <w:bCs/>
        </w:rPr>
        <w:t>Missingness by Decade (Bar Chart)</w:t>
      </w:r>
    </w:p>
    <w:p w14:paraId="00000062" w14:textId="77777777" w:rsidR="003A270A" w:rsidRDefault="00000000">
      <w:pPr>
        <w:numPr>
          <w:ilvl w:val="0"/>
          <w:numId w:val="20"/>
        </w:numPr>
        <w:spacing w:after="240"/>
      </w:pPr>
      <w:r>
        <w:rPr>
          <w:b/>
          <w:bCs/>
        </w:rPr>
        <w:t>Before/After Histogram (Mean vs Median Imputation)</w:t>
      </w:r>
    </w:p>
    <w:p w14:paraId="00000063" w14:textId="77777777" w:rsidR="003A270A" w:rsidRDefault="00000000">
      <w:pPr>
        <w:pStyle w:val="Heading3"/>
        <w:keepNext w:val="0"/>
        <w:keepLines w:val="0"/>
        <w:spacing w:before="280"/>
        <w:rPr>
          <w:b/>
          <w:bCs/>
          <w:color w:val="000000"/>
          <w:sz w:val="26"/>
          <w:szCs w:val="26"/>
        </w:rPr>
      </w:pPr>
      <w:bookmarkStart w:id="28" w:name="_grbne6a9o5xi" w:colFirst="0" w:colLast="0"/>
      <w:bookmarkEnd w:id="28"/>
      <w:r>
        <w:rPr>
          <w:b/>
          <w:bCs/>
          <w:color w:val="000000"/>
          <w:sz w:val="26"/>
          <w:szCs w:val="26"/>
        </w:rPr>
        <w:t>Insights to highlight:</w:t>
      </w:r>
    </w:p>
    <w:p w14:paraId="00000064" w14:textId="77777777" w:rsidR="003A270A" w:rsidRDefault="00000000">
      <w:pPr>
        <w:numPr>
          <w:ilvl w:val="0"/>
          <w:numId w:val="2"/>
        </w:numPr>
        <w:spacing w:before="240"/>
      </w:pPr>
      <w:r>
        <w:t>Missing cost is NOT random</w:t>
      </w:r>
    </w:p>
    <w:p w14:paraId="00000065" w14:textId="77777777" w:rsidR="003A270A" w:rsidRDefault="00000000">
      <w:pPr>
        <w:numPr>
          <w:ilvl w:val="0"/>
          <w:numId w:val="2"/>
        </w:numPr>
      </w:pPr>
      <w:r>
        <w:t>Dropping rows biases the dataset toward recent decades</w:t>
      </w:r>
    </w:p>
    <w:p w14:paraId="00000066" w14:textId="77777777" w:rsidR="003A270A" w:rsidRDefault="00000000">
      <w:pPr>
        <w:numPr>
          <w:ilvl w:val="0"/>
          <w:numId w:val="2"/>
        </w:numPr>
        <w:spacing w:after="240"/>
      </w:pPr>
      <w:r>
        <w:t>Mean imputation distorts the distribution</w:t>
      </w:r>
    </w:p>
    <w:p w14:paraId="00000067" w14:textId="77777777" w:rsidR="003A270A" w:rsidRDefault="00000000">
      <w:r>
        <w:pict w14:anchorId="6851E403">
          <v:rect id="_x0000_i1033" style="width:0;height:1.5pt" o:hralign="center" o:hrstd="t" o:hr="t" fillcolor="#a0a0a0" stroked="f"/>
        </w:pict>
      </w:r>
    </w:p>
    <w:p w14:paraId="00000068" w14:textId="77777777" w:rsidR="003A270A" w:rsidRDefault="00000000">
      <w:pPr>
        <w:pStyle w:val="Heading1"/>
        <w:keepNext w:val="0"/>
        <w:keepLines w:val="0"/>
        <w:spacing w:before="480"/>
        <w:rPr>
          <w:b/>
          <w:bCs/>
          <w:sz w:val="46"/>
          <w:szCs w:val="46"/>
        </w:rPr>
      </w:pPr>
      <w:bookmarkStart w:id="29" w:name="_qgzws171nwti" w:colFirst="0" w:colLast="0"/>
      <w:bookmarkEnd w:id="29"/>
      <w:r>
        <w:rPr>
          <w:b/>
          <w:bCs/>
          <w:sz w:val="46"/>
          <w:szCs w:val="46"/>
        </w:rPr>
        <w:t>🧠 8. Conclusion &amp; Key Insights</w:t>
      </w:r>
    </w:p>
    <w:p w14:paraId="00000069" w14:textId="77777777" w:rsidR="003A270A" w:rsidRDefault="00000000">
      <w:pPr>
        <w:pStyle w:val="Heading3"/>
        <w:keepNext w:val="0"/>
        <w:keepLines w:val="0"/>
        <w:spacing w:before="280"/>
        <w:rPr>
          <w:b/>
          <w:bCs/>
          <w:color w:val="000000"/>
          <w:sz w:val="26"/>
          <w:szCs w:val="26"/>
        </w:rPr>
      </w:pPr>
      <w:bookmarkStart w:id="30" w:name="_6pxebcyzdfck" w:colFirst="0" w:colLast="0"/>
      <w:bookmarkEnd w:id="30"/>
      <w:r>
        <w:rPr>
          <w:b/>
          <w:bCs/>
          <w:color w:val="000000"/>
          <w:sz w:val="26"/>
          <w:szCs w:val="26"/>
        </w:rPr>
        <w:t>Summarize:</w:t>
      </w:r>
    </w:p>
    <w:p w14:paraId="0000006A" w14:textId="77777777" w:rsidR="003A270A" w:rsidRDefault="00000000">
      <w:pPr>
        <w:numPr>
          <w:ilvl w:val="0"/>
          <w:numId w:val="15"/>
        </w:numPr>
        <w:spacing w:before="240"/>
      </w:pPr>
      <w:r>
        <w:t>The three major crisis eras</w:t>
      </w:r>
    </w:p>
    <w:p w14:paraId="0000006B" w14:textId="77777777" w:rsidR="003A270A" w:rsidRDefault="00000000">
      <w:pPr>
        <w:numPr>
          <w:ilvl w:val="0"/>
          <w:numId w:val="15"/>
        </w:numPr>
      </w:pPr>
      <w:r>
        <w:t>Geographic concentration</w:t>
      </w:r>
    </w:p>
    <w:p w14:paraId="0000006C" w14:textId="77777777" w:rsidR="003A270A" w:rsidRDefault="00000000">
      <w:pPr>
        <w:numPr>
          <w:ilvl w:val="0"/>
          <w:numId w:val="15"/>
        </w:numPr>
      </w:pPr>
      <w:r>
        <w:t>Institutional patterns</w:t>
      </w:r>
    </w:p>
    <w:p w14:paraId="0000006D" w14:textId="77777777" w:rsidR="003A270A" w:rsidRDefault="00000000">
      <w:pPr>
        <w:numPr>
          <w:ilvl w:val="0"/>
          <w:numId w:val="15"/>
        </w:numPr>
      </w:pPr>
      <w:r>
        <w:t>Cost variability</w:t>
      </w:r>
    </w:p>
    <w:p w14:paraId="0000006E" w14:textId="77777777" w:rsidR="003A270A" w:rsidRDefault="00000000">
      <w:pPr>
        <w:numPr>
          <w:ilvl w:val="0"/>
          <w:numId w:val="15"/>
        </w:numPr>
        <w:spacing w:after="240"/>
      </w:pPr>
      <w:r>
        <w:t>What the data teaches about systemic risk</w:t>
      </w:r>
    </w:p>
    <w:p w14:paraId="0000006F" w14:textId="77777777" w:rsidR="003A270A" w:rsidRDefault="003A270A">
      <w:pPr>
        <w:spacing w:before="240" w:after="240"/>
      </w:pPr>
    </w:p>
    <w:p w14:paraId="00000070" w14:textId="77777777" w:rsidR="003A270A" w:rsidRDefault="003A270A"/>
    <w:p w14:paraId="00000071" w14:textId="77777777" w:rsidR="003A270A" w:rsidRDefault="003A270A"/>
    <w:sectPr w:rsidR="003A27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ira Mono">
    <w:charset w:val="00"/>
    <w:family w:val="modern"/>
    <w:pitch w:val="fixed"/>
    <w:sig w:usb0="40000287" w:usb1="02003801" w:usb2="00000000" w:usb3="00000000" w:csb0="0000009F" w:csb1="00000000"/>
    <w:embedBold r:id="rId1" w:fontKey="{BD3411CB-DC04-4847-BF23-EEF43746871C}"/>
  </w:font>
  <w:font w:name="Calibri">
    <w:panose1 w:val="020F0502020204030204"/>
    <w:charset w:val="00"/>
    <w:family w:val="swiss"/>
    <w:pitch w:val="variable"/>
    <w:sig w:usb0="E4002EFF" w:usb1="C200247B" w:usb2="00000009" w:usb3="00000000" w:csb0="000001FF" w:csb1="00000000"/>
    <w:embedRegular r:id="rId2" w:fontKey="{30C4EC92-ECAC-4791-9CA5-60E131330C42}"/>
  </w:font>
  <w:font w:name="Raavi">
    <w:panose1 w:val="02000500000000000000"/>
    <w:charset w:val="00"/>
    <w:family w:val="swiss"/>
    <w:pitch w:val="variable"/>
    <w:sig w:usb0="00020003" w:usb1="00000000" w:usb2="00000000" w:usb3="00000000" w:csb0="00000001" w:csb1="00000000"/>
    <w:embedRegular r:id="rId3" w:fontKey="{0D37A73C-628C-4FDD-9C83-78C3AAFC00C6}"/>
  </w:font>
  <w:font w:name="Cambria">
    <w:panose1 w:val="02040503050406030204"/>
    <w:charset w:val="00"/>
    <w:family w:val="roman"/>
    <w:pitch w:val="variable"/>
    <w:sig w:usb0="E00006FF" w:usb1="420024FF" w:usb2="02000000" w:usb3="00000000" w:csb0="0000019F" w:csb1="00000000"/>
    <w:embedRegular r:id="rId4" w:fontKey="{965A8DBD-BE8D-41B5-84A3-B84E31075E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E3B"/>
    <w:multiLevelType w:val="multilevel"/>
    <w:tmpl w:val="43546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B6FDE"/>
    <w:multiLevelType w:val="multilevel"/>
    <w:tmpl w:val="C6FC2D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E13CB6"/>
    <w:multiLevelType w:val="multilevel"/>
    <w:tmpl w:val="B70A8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63022A"/>
    <w:multiLevelType w:val="multilevel"/>
    <w:tmpl w:val="4EA21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DF0908"/>
    <w:multiLevelType w:val="multilevel"/>
    <w:tmpl w:val="334E8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040085"/>
    <w:multiLevelType w:val="multilevel"/>
    <w:tmpl w:val="279C0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CE3A90"/>
    <w:multiLevelType w:val="multilevel"/>
    <w:tmpl w:val="C436E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9627586"/>
    <w:multiLevelType w:val="multilevel"/>
    <w:tmpl w:val="EEBC3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B02F5F"/>
    <w:multiLevelType w:val="multilevel"/>
    <w:tmpl w:val="08B2D8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FD11C54"/>
    <w:multiLevelType w:val="multilevel"/>
    <w:tmpl w:val="DDEA0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56527A"/>
    <w:multiLevelType w:val="multilevel"/>
    <w:tmpl w:val="8D58D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892459"/>
    <w:multiLevelType w:val="multilevel"/>
    <w:tmpl w:val="26FC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AC1264"/>
    <w:multiLevelType w:val="multilevel"/>
    <w:tmpl w:val="80DCE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C25241"/>
    <w:multiLevelType w:val="multilevel"/>
    <w:tmpl w:val="A6EC2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E657A9"/>
    <w:multiLevelType w:val="multilevel"/>
    <w:tmpl w:val="52D05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7C31377"/>
    <w:multiLevelType w:val="multilevel"/>
    <w:tmpl w:val="04AC9B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D857A53"/>
    <w:multiLevelType w:val="multilevel"/>
    <w:tmpl w:val="2ED04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D848FC"/>
    <w:multiLevelType w:val="multilevel"/>
    <w:tmpl w:val="844CE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9E09DE"/>
    <w:multiLevelType w:val="multilevel"/>
    <w:tmpl w:val="57665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9475C0"/>
    <w:multiLevelType w:val="multilevel"/>
    <w:tmpl w:val="44B67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303213"/>
    <w:multiLevelType w:val="multilevel"/>
    <w:tmpl w:val="88F6A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83747608">
    <w:abstractNumId w:val="12"/>
  </w:num>
  <w:num w:numId="2" w16cid:durableId="1839298706">
    <w:abstractNumId w:val="17"/>
  </w:num>
  <w:num w:numId="3" w16cid:durableId="473373945">
    <w:abstractNumId w:val="9"/>
  </w:num>
  <w:num w:numId="4" w16cid:durableId="186061605">
    <w:abstractNumId w:val="3"/>
  </w:num>
  <w:num w:numId="5" w16cid:durableId="1094396922">
    <w:abstractNumId w:val="11"/>
  </w:num>
  <w:num w:numId="6" w16cid:durableId="1169515066">
    <w:abstractNumId w:val="4"/>
  </w:num>
  <w:num w:numId="7" w16cid:durableId="348139857">
    <w:abstractNumId w:val="10"/>
  </w:num>
  <w:num w:numId="8" w16cid:durableId="1235822926">
    <w:abstractNumId w:val="2"/>
  </w:num>
  <w:num w:numId="9" w16cid:durableId="866528741">
    <w:abstractNumId w:val="16"/>
  </w:num>
  <w:num w:numId="10" w16cid:durableId="445464096">
    <w:abstractNumId w:val="6"/>
  </w:num>
  <w:num w:numId="11" w16cid:durableId="1478762405">
    <w:abstractNumId w:val="5"/>
  </w:num>
  <w:num w:numId="12" w16cid:durableId="1658608830">
    <w:abstractNumId w:val="1"/>
  </w:num>
  <w:num w:numId="13" w16cid:durableId="1807776834">
    <w:abstractNumId w:val="18"/>
  </w:num>
  <w:num w:numId="14" w16cid:durableId="1457288321">
    <w:abstractNumId w:val="13"/>
  </w:num>
  <w:num w:numId="15" w16cid:durableId="1704086515">
    <w:abstractNumId w:val="7"/>
  </w:num>
  <w:num w:numId="16" w16cid:durableId="917059976">
    <w:abstractNumId w:val="19"/>
  </w:num>
  <w:num w:numId="17" w16cid:durableId="1855878992">
    <w:abstractNumId w:val="0"/>
  </w:num>
  <w:num w:numId="18" w16cid:durableId="1449935823">
    <w:abstractNumId w:val="14"/>
  </w:num>
  <w:num w:numId="19" w16cid:durableId="293565066">
    <w:abstractNumId w:val="8"/>
  </w:num>
  <w:num w:numId="20" w16cid:durableId="774635702">
    <w:abstractNumId w:val="20"/>
  </w:num>
  <w:num w:numId="21" w16cid:durableId="14315816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70A"/>
    <w:rsid w:val="003A270A"/>
    <w:rsid w:val="00586F36"/>
    <w:rsid w:val="00D33462"/>
    <w:rsid w:val="00E84009"/>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719E"/>
  <w15:docId w15:val="{D69EFF99-0EC5-41DF-B91E-23D86E37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883</TotalTime>
  <Pages>1</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3</cp:revision>
  <dcterms:created xsi:type="dcterms:W3CDTF">2026-05-13T01:47:00Z</dcterms:created>
  <dcterms:modified xsi:type="dcterms:W3CDTF">2026-05-13T16:35:00Z</dcterms:modified>
</cp:coreProperties>
</file>