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rFonts w:ascii="Calibri" w:cs="Calibri" w:eastAsia="Calibri" w:hAnsi="Calibri"/>
          <w:sz w:val="36"/>
          <w:szCs w:val="36"/>
        </w:rPr>
      </w:pPr>
      <w:bookmarkStart w:colFirst="0" w:colLast="0" w:name="_fohr92cswpo1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2025 Machine Learning Fall - HW4 Report Template</w:t>
        <w:br w:type="textWrapping"/>
        <w:br w:type="textWrapping"/>
        <w:t xml:space="preserve">Student ID: </w:t>
        <w:tab/>
        <w:tab/>
        <w:tab/>
        <w:t xml:space="preserve"> Name: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line="276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(1.5%) Briefly describe the method(s) you used to achieve higher accuracy in your model.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2. (1.5%) Compare traditional RNN/LSTM architectures with modern decoder-only Transformer language models. Then, intuitively explain how the self-attention mechanism works and how it improves performance.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