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Roboto" w:cs="Roboto" w:eastAsia="Roboto" w:hAnsi="Roboto"/>
          <w:b w:val="1"/>
          <w:color w:val="3f3f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rtl w:val="0"/>
        </w:rPr>
        <w:t xml:space="preserve">Google Tivi OLED Sony 4K 65 inch XR-65A80K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36"/>
          <w:szCs w:val="36"/>
          <w:rtl w:val="0"/>
        </w:rPr>
        <w:t xml:space="preserve">Giá: </w:t>
      </w:r>
      <w:r w:rsidDel="00000000" w:rsidR="00000000" w:rsidRPr="00000000">
        <w:rPr>
          <w:rFonts w:ascii="Roboto" w:cs="Roboto" w:eastAsia="Roboto" w:hAnsi="Roboto"/>
          <w:b w:val="1"/>
          <w:color w:val="3f3f3f"/>
          <w:sz w:val="42"/>
          <w:szCs w:val="42"/>
          <w:highlight w:val="white"/>
          <w:rtl w:val="0"/>
        </w:rPr>
        <w:t xml:space="preserve">49.900.000đ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rFonts w:ascii="Roboto" w:cs="Roboto" w:eastAsia="Roboto" w:hAnsi="Roboto"/>
          <w:b w:val="1"/>
          <w:color w:val="3f3f3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b w:val="1"/>
          <w:color w:val="3f3f3f"/>
          <w:sz w:val="24"/>
          <w:szCs w:val="24"/>
          <w:highlight w:val="white"/>
        </w:rPr>
      </w:pPr>
      <w:bookmarkStart w:colFirst="0" w:colLast="0" w:name="_7rf36qb9ha41" w:id="0"/>
      <w:bookmarkEnd w:id="0"/>
      <w:r w:rsidDel="00000000" w:rsidR="00000000" w:rsidRPr="00000000">
        <w:rPr>
          <w:rFonts w:ascii="Roboto" w:cs="Roboto" w:eastAsia="Roboto" w:hAnsi="Roboto"/>
          <w:b w:val="1"/>
          <w:color w:val="3f3f3f"/>
          <w:sz w:val="24"/>
          <w:szCs w:val="24"/>
          <w:highlight w:val="white"/>
          <w:rtl w:val="0"/>
        </w:rPr>
        <w:t xml:space="preserve">Đặc điểm nổi bật: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Thiết kế thanh mảnh, màn hình phẳng chân đế hợp kim sang trọng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Màn hình OLED 65 inch cùng độ phân giải 4K cho hình ảnh sắc nét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XR Triluminos PRO với dải màu rộng, rực rỡ đầy tự nhiên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Công nghệ Dolby Atmos âm thanh chân thực, đa chiều và sống động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Trang bị hệ điều hành Google TV có giao diện tùy chỉnh, dễ tìm kiếm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ind w:left="1020" w:hanging="360"/>
        <w:rPr>
          <w:b w:val="1"/>
          <w:color w:val="3f3f3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3f3f"/>
          <w:sz w:val="21"/>
          <w:szCs w:val="21"/>
          <w:highlight w:val="white"/>
          <w:rtl w:val="0"/>
        </w:rPr>
        <w:t xml:space="preserve">+ Tích hợp Micro với chức năng tìm kiếm nhanh chóng qua giọng nói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