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“</w:t>
      </w:r>
      <w:r w:rsidDel="00000000" w:rsidR="00000000" w:rsidRPr="00000000">
        <w:rPr>
          <w:sz w:val="20"/>
          <w:rtl w:val="0"/>
        </w:rPr>
        <w:t xml:space="preserve">Peter O’Toole”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changed my lens, made me think,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kept tabs on you through traces;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face-to-face, the sheer lack of ink,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Do you know how my heart races?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Your wit, your might, bright eyes, and figure,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Your sarcasm, earnestness, condescension;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Yes, you stand alone, then stand with her,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You later stand with him and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Try I to keep away? You’ve never seen such efforts,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I am weakened, I am swayed,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Closer, closer, in the manner of open hearts;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At this rate, next week I’ll be slain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Thankfully, circumstances keep our distance long,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My passions bottled, and never overflowing;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simply, sweetly hum song after song,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containment paradoxically stimulating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 sometimes ponder, though, what I’d say,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If somehow, someday we collided, you and 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Could I make the small talk to pass the time of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Or would I choke and stutter, manage a smile wry?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minutes pass, counting grains of rice,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But I imagine I ask if you come here often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The exchange is enchanting, the chatter quite nice;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Too bad you’re crammed in your coffin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