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FE384" w14:textId="56769748" w:rsidR="00DD7D6E" w:rsidRDefault="004F1EBD" w:rsidP="00DD7D6E">
      <w:pPr>
        <w:pStyle w:val="Title"/>
      </w:pPr>
      <w:r>
        <w:t>System dynamics to support growth in the nascent U.S. bioproducts industry</w:t>
      </w:r>
    </w:p>
    <w:p w14:paraId="740DAA8F" w14:textId="4B55316D" w:rsidR="009E4F8A" w:rsidRDefault="009E4F8A" w:rsidP="009E4F8A"/>
    <w:p w14:paraId="1E55F7A5" w14:textId="3B141DDF" w:rsidR="009E4F8A" w:rsidRPr="0079710B" w:rsidRDefault="009E4F8A" w:rsidP="00DD6642">
      <w:pPr>
        <w:jc w:val="center"/>
        <w:rPr>
          <w:vertAlign w:val="superscript"/>
        </w:rPr>
      </w:pPr>
      <w:r>
        <w:t>Rebecca Hanes</w:t>
      </w:r>
      <w:r>
        <w:rPr>
          <w:vertAlign w:val="superscript"/>
        </w:rPr>
        <w:t>1</w:t>
      </w:r>
      <w:r>
        <w:t>, Brian Bush</w:t>
      </w:r>
      <w:r>
        <w:rPr>
          <w:vertAlign w:val="superscript"/>
        </w:rPr>
        <w:t>1</w:t>
      </w:r>
      <w:r>
        <w:t>, Lauren Sittler</w:t>
      </w:r>
      <w:r>
        <w:rPr>
          <w:vertAlign w:val="superscript"/>
        </w:rPr>
        <w:t>1</w:t>
      </w:r>
      <w:r w:rsidR="00293D9D">
        <w:t>, Anthony Foretich</w:t>
      </w:r>
      <w:r w:rsidR="0079710B">
        <w:rPr>
          <w:vertAlign w:val="superscript"/>
        </w:rPr>
        <w:t>2</w:t>
      </w:r>
    </w:p>
    <w:p w14:paraId="5648B7E2" w14:textId="0DCAC204" w:rsidR="009E4F8A" w:rsidRDefault="009E4F8A" w:rsidP="009E4F8A">
      <w:pPr>
        <w:pStyle w:val="ListParagraph"/>
        <w:numPr>
          <w:ilvl w:val="0"/>
          <w:numId w:val="5"/>
        </w:numPr>
      </w:pPr>
      <w:r>
        <w:t>Strategic En</w:t>
      </w:r>
      <w:r w:rsidR="00E24412">
        <w:t>er</w:t>
      </w:r>
      <w:r>
        <w:t>gy Analysis Center, National Renewable Energy Laboratory, Golden, CO, USA</w:t>
      </w:r>
    </w:p>
    <w:p w14:paraId="3681CA4D" w14:textId="146E38D6" w:rsidR="0079710B" w:rsidRDefault="0079710B" w:rsidP="009E4F8A">
      <w:pPr>
        <w:pStyle w:val="ListParagraph"/>
        <w:numPr>
          <w:ilvl w:val="0"/>
          <w:numId w:val="5"/>
        </w:numPr>
      </w:pPr>
      <w:proofErr w:type="spellStart"/>
      <w:r>
        <w:t>Affilation</w:t>
      </w:r>
      <w:proofErr w:type="spellEnd"/>
      <w:r>
        <w:t xml:space="preserve"> TBD</w:t>
      </w:r>
    </w:p>
    <w:p w14:paraId="29CED80F" w14:textId="1ECF8132" w:rsidR="00DD693C" w:rsidRDefault="00DD693C" w:rsidP="00DD693C">
      <w:pPr>
        <w:pStyle w:val="Heading1"/>
      </w:pPr>
      <w:r>
        <w:t>Abstract</w:t>
      </w:r>
    </w:p>
    <w:p w14:paraId="199C2280" w14:textId="424B1F0F" w:rsidR="00DD693C" w:rsidRDefault="004F77D9" w:rsidP="004F1EBD">
      <w:r>
        <w:t xml:space="preserve">Bioproducts have the potential to improve the sustainability and economic performance of integrated biorefineries, reduce the dependence of the U.S. chemical sector on imported fossil feedstocks, and contribute to an improvement in the sustainability of the U.S. chemical sector. However, it has historically been difficult to develop bioproduct technology to full commercial scale and to capture market share </w:t>
      </w:r>
      <w:r w:rsidR="004F1EBD">
        <w:t>from incumbent products</w:t>
      </w:r>
      <w:r>
        <w:t xml:space="preserve">. </w:t>
      </w:r>
      <w:r w:rsidR="004F1EBD">
        <w:t>To support bioproduct industry stakeholders in making decisions that will increase the likelihood of a bioproduct entering the commercial market, this work presents the Bioproduct Transition Dynamics (BTD) model, a system dynamics model of the bioproduct technology development process that will contribute to a greater understanding of the factors that contribute to or hinder a bioproduct’s market success. At the core of the BTD model</w:t>
      </w:r>
      <w:r>
        <w:t xml:space="preserve"> is the feedback loop between technology developers</w:t>
      </w:r>
      <w:r w:rsidR="00DC2EB8">
        <w:t xml:space="preserve">, </w:t>
      </w:r>
      <w:r>
        <w:t>investors</w:t>
      </w:r>
      <w:r w:rsidR="00DC2EB8">
        <w:t xml:space="preserve"> providing financial support,</w:t>
      </w:r>
      <w:r>
        <w:t xml:space="preserve"> and government entities providing funds for research, </w:t>
      </w:r>
      <w:r w:rsidR="00C70391">
        <w:t>development,</w:t>
      </w:r>
      <w:r>
        <w:t xml:space="preserve"> and commercialization. Th</w:t>
      </w:r>
      <w:r w:rsidR="00C70391">
        <w:t>e</w:t>
      </w:r>
      <w:r>
        <w:t xml:space="preserve"> model serves as a decision support tool usable by bioproduct industry stakeholders to inform decisions</w:t>
      </w:r>
      <w:r w:rsidR="00DC2EB8">
        <w:t xml:space="preserve"> around </w:t>
      </w:r>
      <w:r w:rsidR="00C70391">
        <w:t>which</w:t>
      </w:r>
      <w:r w:rsidR="00DC2EB8">
        <w:t xml:space="preserve"> bioproduct development projects to pursue, which to invest in, and which </w:t>
      </w:r>
      <w:r w:rsidR="00C70391">
        <w:t>would benefit most from government support</w:t>
      </w:r>
      <w:r>
        <w:t>. We apply the BTD model to determining the critical factors that cause the Valley of Death for bioproducts and identifying ways of navigating the Valley of Death through to commercialization. We also compare direct replacement bioproducts with performance advantaged bioproducts, to determine if these two types of bioproducts have substantially different paths to commercial success.</w:t>
      </w:r>
      <w:r w:rsidR="00DC2EB8">
        <w:t xml:space="preserve"> Results show that while there are few factors that are critical to success by themselves, there are many combinations of factors that generally lead to market success. </w:t>
      </w:r>
    </w:p>
    <w:p w14:paraId="359F2F73" w14:textId="4361BA0A" w:rsidR="00DD693C" w:rsidRDefault="00DD693C" w:rsidP="00DD693C">
      <w:pPr>
        <w:pStyle w:val="Heading1"/>
      </w:pPr>
      <w:r>
        <w:t>Introduction</w:t>
      </w:r>
    </w:p>
    <w:p w14:paraId="5A9E7FB0" w14:textId="082A2DE0" w:rsidR="00A83FE4" w:rsidRDefault="00C70391" w:rsidP="00A83FE4">
      <w:r>
        <w:t xml:space="preserve">Transitioning to a domestic bioeconomy in the U.S. would offer economic, energy security, environmental, and social benefits and </w:t>
      </w:r>
      <w:r w:rsidR="00A17B1F">
        <w:t xml:space="preserve">has been a goal at the federal level since </w:t>
      </w:r>
      <w:r w:rsidR="00F61BDD">
        <w:t xml:space="preserve">the Biomass Research and Development Board began work on the Bioeconomy Initiative in </w:t>
      </w:r>
      <w:r w:rsidR="00A17B1F">
        <w:t>2</w:t>
      </w:r>
      <w:r w:rsidR="000E509B">
        <w:t>013</w:t>
      </w:r>
      <w:r w:rsidR="00F61BDD">
        <w:t xml:space="preserve">. </w:t>
      </w:r>
      <w:r w:rsidR="00F61BDD">
        <w:fldChar w:fldCharType="begin"/>
      </w:r>
      <w:r w:rsidR="00F61BDD">
        <w:instrText xml:space="preserve"> ADDIN ZOTERO_ITEM CSL_CITATION {"citationID":"KV0ao5Em","properties":{"formattedCitation":"(1)","plainCitation":"(1)","noteIndex":0},"citationItems":[{"id":2800,"uris":["http://zotero.org/groups/2185154/items/RL8PKTIM"],"uri":["http://zotero.org/groups/2185154/items/RL8PKTIM"],"itemData":{"id":2800,"type":"report","title":"The Bioeconomy Initiative: Implementation Framework","publisher":"BR&amp;D Board","URL":"biomassboard.gov/pdfs/Bioeconomy_Initiative_Implementation_Framework_FINAL.pdf","author":[{"family":"Biomass Research and Development Board","given":""}],"issued":{"date-parts":[["2019",3]]}}}],"schema":"https://github.com/citation-style-language/schema/raw/master/csl-citation.json"} </w:instrText>
      </w:r>
      <w:r w:rsidR="00F61BDD">
        <w:fldChar w:fldCharType="separate"/>
      </w:r>
      <w:r w:rsidR="00F61BDD" w:rsidRPr="00F61BDD">
        <w:rPr>
          <w:rFonts w:cs="Times New Roman"/>
        </w:rPr>
        <w:t>(1)</w:t>
      </w:r>
      <w:r w:rsidR="00F61BDD">
        <w:fldChar w:fldCharType="end"/>
      </w:r>
      <w:r w:rsidR="00F61BDD">
        <w:t xml:space="preserve"> </w:t>
      </w:r>
      <w:r w:rsidR="007E58FA">
        <w:t>Bioproducts</w:t>
      </w:r>
      <w:r w:rsidR="000E509B">
        <w:t>, chemicals produced from biomass rather than fossil feedstocks,</w:t>
      </w:r>
      <w:r w:rsidR="007E58FA">
        <w:t xml:space="preserve"> are a </w:t>
      </w:r>
      <w:r w:rsidR="00F61BDD">
        <w:t>fundamental part of the emerging bioeconomy and have the potential to convert much of the U.S. chemical and manufacturing sectors to biomass-derived feedstocks.</w:t>
      </w:r>
      <w:r w:rsidR="00A83FE4">
        <w:t xml:space="preserve"> </w:t>
      </w:r>
      <w:r w:rsidR="000E509B">
        <w:t xml:space="preserve">Bioproducts have the potential to </w:t>
      </w:r>
      <w:r w:rsidR="000E509B">
        <w:lastRenderedPageBreak/>
        <w:t>reduce the U.S. chemical sector’s dependence on imported fossil feedstocks and to</w:t>
      </w:r>
      <w:r w:rsidR="000E509B" w:rsidRPr="006D74E4">
        <w:t xml:space="preserve"> improve the overall sustainability of integrated </w:t>
      </w:r>
      <w:r w:rsidR="000E509B" w:rsidRPr="000C3D49">
        <w:t>biorefineries</w:t>
      </w:r>
      <w:r>
        <w:t xml:space="preserve"> that also produce liquid biofuels</w:t>
      </w:r>
      <w:r w:rsidR="000E509B">
        <w:t xml:space="preserve">. </w:t>
      </w:r>
      <w:r w:rsidR="000E509B">
        <w:fldChar w:fldCharType="begin"/>
      </w:r>
      <w:r w:rsidR="00F61BDD">
        <w:instrText xml:space="preserve"> ADDIN ZOTERO_ITEM CSL_CITATION {"citationID":"5RQaJALH","properties":{"formattedCitation":"(2)","plainCitation":"(2)","noteIndex":0},"citationItems":[{"id":2791,"uris":["http://zotero.org/groups/2185154/items/WN3VPCXN"],"uri":["http://zotero.org/groups/2185154/items/WN3VPCXN"],"itemData":{"id":2791,"type":"article-journal","title":"The Techno-Economic Basis for Coproduct Manufacturing To Enable Hydrocarbon Fuel Production from Lignocellulosic Biomass","container-title":"ACS Sustainable Chemistry &amp; Engineering","page":"3196-3211","volume":"4","issue":"6","source":"ACS Publications","abstract":"Biorefinery process development relies on techno-economic analysis (TEA) to identify primary cost drivers, prioritize research directions, and mitigate technical risk for scale-up through development of detailed process designs. Here, we conduct TEA of a model 2000 dry metric ton-per-day lignocellulosic biorefinery that employs a two-step pretreatment and enzymatic hydrolysis to produce biomass-derived sugars, followed by biological lipid production, lipid recovery, and catalytic hydrotreating to produce renewable diesel blendstock (RDB). On the basis of projected near-term technical feasibility of these steps, we predict that RDB could be produced at a minimum fuel selling price (MFSP) of USD $9.55/gasoline-gallon-equivalent (GGE), predicated on the need for improvements in the lipid productivity and yield beyond current benchmark performance. This cost is significant given the limitations in scale and high costs for aerobic cultivation of oleaginous microbes and subsequent lipid extraction/recovery. In light of this predicted cost, we developed an alternative pathway which demonstrates that RDB costs could be substantially reduced in the near term if upgradeable fractions of biomass, in this case hemicellulose-derived sugars, are diverted to coproducts of sufficient value and market size; here, we use succinic acid as an example coproduct. The coproduction model predicts an MFSP of USD $5.28/GGE when leaving conversion and yield parameters unchanged for the fuel production pathway, leading to a change in biorefinery RDB capacity from 24 to 15 MM GGE/year and 0.13 MM tons of succinic acid per year. Additional analysis demonstrates that beyond the near-term projections assumed in the models here, further reductions in the MFSP toward $2–3/GGE (which would be competitive with fossil-based hydrocarbon fuels) are possible with additional transformational improvements in the fuel and coproduct trains, especially in terms of carbon efficiency to both fuels and coproducts, recovery and purification of fuels and coproducts, and coproduct selection and price. Overall, this analysis documents potential economics for both a hydrocarbon fuel and bioproduct process pathway and highlights prioritized research directions beyond the current benchmark to enable hydrocarbon fuel production via an oleaginous microbial platform with simultaneous coproduct manufacturing from lignocellulosic biomass.","DOI":"10.1021/acssuschemeng.6b00243","journalAbbreviation":"ACS Sustainable Chem. Eng.","author":[{"family":"Biddy","given":"Mary J."},{"family":"Davis","given":"Ryan"},{"family":"Humbird","given":"David"},{"family":"Tao","given":"Ling"},{"family":"Dowe","given":"Nancy"},{"family":"Guarnieri","given":"Michael T."},{"family":"Linger","given":"Jeffrey G."},{"family":"Karp","given":"Eric M."},{"family":"Salvachúa","given":"Davinia"},{"family":"Vardon","given":"Derek R."},{"family":"Beckham","given":"Gregg T."}],"issued":{"date-parts":[["2016",6,6]]}}}],"schema":"https://github.com/citation-style-language/schema/raw/master/csl-citation.json"} </w:instrText>
      </w:r>
      <w:r w:rsidR="000E509B">
        <w:fldChar w:fldCharType="separate"/>
      </w:r>
      <w:r w:rsidR="00F61BDD" w:rsidRPr="00F61BDD">
        <w:rPr>
          <w:rFonts w:cs="Times New Roman"/>
        </w:rPr>
        <w:t>(2)</w:t>
      </w:r>
      <w:r w:rsidR="000E509B">
        <w:fldChar w:fldCharType="end"/>
      </w:r>
      <w:r w:rsidR="000E509B">
        <w:t xml:space="preserve"> Some high value bioproducts can also improve the economic feasibility of biorefineries by providing an additional revenue stream without requiring a separate processing facility. Bioproducts, like biofuels, rely on domestic supply chains based in the agricultural sector; increased demand for the biomass feedstocks is likely to increase activity in the agricultural sector and generate jobs both seasonal (farming, harvesting and transportation work) and year-round (biomass depot and biorefinery work). </w:t>
      </w:r>
      <w:r w:rsidR="007E58FA">
        <w:t>The Bioenergy Technologies Office (</w:t>
      </w:r>
      <w:r w:rsidR="00A83FE4" w:rsidRPr="006D74E4">
        <w:t>BETO</w:t>
      </w:r>
      <w:r w:rsidR="007E58FA">
        <w:t xml:space="preserve">) within the U.S. Department of Energy </w:t>
      </w:r>
      <w:r w:rsidR="00F61BDD">
        <w:t xml:space="preserve">Office of Energy Efficiency and Renewable Energy </w:t>
      </w:r>
      <w:r w:rsidR="00A83FE4" w:rsidRPr="006D74E4">
        <w:t xml:space="preserve">has developed a broad understanding of </w:t>
      </w:r>
      <w:r w:rsidR="00A83FE4">
        <w:t>the</w:t>
      </w:r>
      <w:r w:rsidR="00A83FE4" w:rsidRPr="006D74E4">
        <w:t xml:space="preserve"> processes that produce bioproducts and the associated </w:t>
      </w:r>
      <w:r w:rsidR="00A83FE4">
        <w:t>technological, economic, and sustainability</w:t>
      </w:r>
      <w:r w:rsidR="00A83FE4" w:rsidRPr="006D74E4">
        <w:t xml:space="preserve"> a</w:t>
      </w:r>
      <w:r w:rsidR="00A83FE4">
        <w:t>ttributes</w:t>
      </w:r>
      <w:r w:rsidR="00AC1A8B">
        <w:t xml:space="preserve">. </w:t>
      </w:r>
      <w:r>
        <w:fldChar w:fldCharType="begin"/>
      </w:r>
      <w:r>
        <w:instrText xml:space="preserve"> ADDIN ZOTERO_ITEM CSL_CITATION {"citationID":"IGgoPudE","properties":{"formattedCitation":"(3)","plainCitation":"(3)","noteIndex":0},"citationItems":[{"id":2794,"uris":["http://zotero.org/groups/2185154/items/IW4FGKD5"],"uri":["http://zotero.org/groups/2185154/items/IW4FGKD5"],"itemData":{"id":2794,"type":"report","title":"Chemicals from Biomass: A Market Assessment of Bioproducts with Near-Term Potential","publisher":"National Renewable Energy Lab. (NREL), Golden, CO (United States)","source":"www.osti.gov","abstract":"The U.S. Department of Energy's Office of Scientific and Technical Information","URL":"https://www.osti.gov/biblio/1244312-chemicals-from-biomass-market-assessment-bioproducts-near-term-potential","note":"DOI: 10.2172/1244312","number":"NREL/TP-5100-65509","title-short":"Chemicals from Biomass","language":"English","author":[{"family":"Biddy","given":"Mary J."},{"family":"Scarlata","given":"Christopher"},{"family":"Kinchin","given":"Christopher"}],"issued":{"date-parts":[["2016",3,23]]},"accessed":{"date-parts":[["2019",9,10]]}}}],"schema":"https://github.com/citation-style-language/schema/raw/master/csl-citation.json"} </w:instrText>
      </w:r>
      <w:r>
        <w:fldChar w:fldCharType="separate"/>
      </w:r>
      <w:r w:rsidRPr="00F61BDD">
        <w:rPr>
          <w:rFonts w:cs="Times New Roman"/>
        </w:rPr>
        <w:t>(3)</w:t>
      </w:r>
      <w:r>
        <w:fldChar w:fldCharType="end"/>
      </w:r>
      <w:r>
        <w:t xml:space="preserve"> </w:t>
      </w:r>
      <w:r w:rsidR="00AC1A8B">
        <w:t xml:space="preserve">Work is ongoing to develop </w:t>
      </w:r>
      <w:r>
        <w:t xml:space="preserve">the </w:t>
      </w:r>
      <w:r w:rsidR="00AC1A8B">
        <w:t>different feedstocks, production pathways, microorganisms, and separation techniques</w:t>
      </w:r>
      <w:r>
        <w:t xml:space="preserve"> necessary to commercialize bioproducts</w:t>
      </w:r>
      <w:r w:rsidR="00F61BDD">
        <w:t xml:space="preserve">. </w:t>
      </w:r>
      <w:r w:rsidR="00AC1A8B">
        <w:t>H</w:t>
      </w:r>
      <w:r w:rsidR="00A83FE4">
        <w:t>owever,</w:t>
      </w:r>
      <w:r w:rsidR="00A83FE4" w:rsidRPr="006D74E4">
        <w:t xml:space="preserve"> the </w:t>
      </w:r>
      <w:r w:rsidR="00AC1A8B">
        <w:t xml:space="preserve">drivers behind successful bioproduct commercialization and possible </w:t>
      </w:r>
      <w:r w:rsidR="00A83FE4">
        <w:t>scenarios under which the bioproducts industry can capture additional</w:t>
      </w:r>
      <w:r w:rsidR="00A83FE4" w:rsidRPr="00174D3E">
        <w:t xml:space="preserve"> market share</w:t>
      </w:r>
      <w:r w:rsidR="00A83FE4">
        <w:t xml:space="preserve"> </w:t>
      </w:r>
      <w:r w:rsidR="00A83FE4" w:rsidRPr="006D74E4">
        <w:t xml:space="preserve">are not yet well understood. </w:t>
      </w:r>
      <w:r w:rsidR="00AC1A8B">
        <w:t>Bioproducts have historically proven difficult to develop to full commercial scale, and industry anecdotes are clear that even economically competitive performance-advantaged bioproducts are not guaranteed to succeed in the market</w:t>
      </w:r>
      <w:r>
        <w:t xml:space="preserve"> in the medium to long term</w:t>
      </w:r>
      <w:r w:rsidR="00AC1A8B">
        <w:t xml:space="preserve">. </w:t>
      </w:r>
      <w:r w:rsidR="00A83FE4">
        <w:t xml:space="preserve">This lack of understanding both contributes to the low market share of existing bioproducts </w:t>
      </w:r>
      <w:r w:rsidR="00F61BDD">
        <w:t xml:space="preserve">– as of 2013, bioproducts comprised approximately 4% of the U.S. chemical market </w:t>
      </w:r>
      <w:r w:rsidR="00F61BDD">
        <w:fldChar w:fldCharType="begin"/>
      </w:r>
      <w:r w:rsidR="00F61BDD">
        <w:instrText xml:space="preserve"> ADDIN ZOTERO_ITEM CSL_CITATION {"citationID":"OWUXtIJ3","properties":{"formattedCitation":"(4)","plainCitation":"(4)","noteIndex":0},"citationItems":[{"id":2797,"uris":["http://zotero.org/groups/2185154/items/2LAAPIT6"],"uri":["http://zotero.org/groups/2185154/items/2LAAPIT6"],"itemData":{"id":2797,"type":"article-journal","title":"An Economic Impact Analysis of the U.S. Biobased Products Industry: A Report to the Congress of the United States of America","container-title":"Industrial Biotechnology","page":"201-209","volume":"11","source":"ResearchGate","abstract":"This report was prepared for the US Department of Agriculture (USDA) BioPreferred program and the Congress of the United States of America as mandated in Section 9002 of the 2014 Farm Bill (the Agricultural Act of 2014; P.L. 113-79). The conclusions and recommendations are those of the authors and have not been endorsed by the USDA. The report is a follow-up to the October 2014 report, Why Biobased? Opportunities in the Emerging Bioeconomy prepared for USDA. As presented, this report seeks to answer the six following important questions regarding the contributions of the biobased products industry in the United States:\n. The quantity of biobased products sold\n. The value of the biobased products\n. The quantity of jobs created\n. The quantity of petroleum displaced\n. Other environmental benefits\n. Areas in which the use or manufacturing of biobased products could be more effectively used, including identifying any technical and economic obstacles and recommending how those obstacles can be overcome.","title-short":"An Economic Impact Analysis of the U.S. Biobased Products Industry","journalAbbreviation":"Industrial Biotechnology","author":[{"family":"Golden","given":"Jay"},{"family":"Handfield","given":"Robert"},{"family":"Daystar","given":"Jesse"},{"family":"Mcconnell","given":"T."}],"issued":{"date-parts":[["2015",8,15]]}}}],"schema":"https://github.com/citation-style-language/schema/raw/master/csl-citation.json"} </w:instrText>
      </w:r>
      <w:r w:rsidR="00F61BDD">
        <w:fldChar w:fldCharType="separate"/>
      </w:r>
      <w:r w:rsidR="00F61BDD" w:rsidRPr="00F61BDD">
        <w:rPr>
          <w:rFonts w:cs="Times New Roman"/>
        </w:rPr>
        <w:t>(4)</w:t>
      </w:r>
      <w:r w:rsidR="00F61BDD">
        <w:fldChar w:fldCharType="end"/>
      </w:r>
      <w:r w:rsidR="00F61BDD">
        <w:t xml:space="preserve"> – and t</w:t>
      </w:r>
      <w:r w:rsidR="00A83FE4">
        <w:t xml:space="preserve">he difficulty </w:t>
      </w:r>
      <w:r w:rsidR="00AC1A8B">
        <w:t xml:space="preserve">and uncertainty </w:t>
      </w:r>
      <w:r w:rsidR="00A83FE4">
        <w:t xml:space="preserve">of </w:t>
      </w:r>
      <w:r>
        <w:t>commercializing</w:t>
      </w:r>
      <w:r w:rsidR="00A83FE4">
        <w:t xml:space="preserve"> new bioproducts and bioproduct technologies</w:t>
      </w:r>
      <w:r w:rsidR="00F61BDD">
        <w:t>.</w:t>
      </w:r>
    </w:p>
    <w:p w14:paraId="1C064727" w14:textId="18826AE6" w:rsidR="00605394" w:rsidRDefault="00AC1A8B" w:rsidP="00605394">
      <w:r w:rsidRPr="00AC1A8B">
        <w:t>The present work addresses</w:t>
      </w:r>
      <w:r w:rsidR="00A83FE4">
        <w:t xml:space="preserve"> this knowledge gap</w:t>
      </w:r>
      <w:r>
        <w:t xml:space="preserve"> with the development of </w:t>
      </w:r>
      <w:r w:rsidR="00A83FE4">
        <w:t>a</w:t>
      </w:r>
      <w:r w:rsidR="00A83FE4" w:rsidRPr="00AA2AE1">
        <w:t xml:space="preserve"> </w:t>
      </w:r>
      <w:r>
        <w:t xml:space="preserve">decision support tool </w:t>
      </w:r>
      <w:r w:rsidR="00816D18">
        <w:t>that consists of</w:t>
      </w:r>
      <w:r w:rsidR="00A83FE4" w:rsidRPr="00AA2AE1">
        <w:t xml:space="preserve"> </w:t>
      </w:r>
      <w:r>
        <w:t xml:space="preserve">a </w:t>
      </w:r>
      <w:r w:rsidR="00A83FE4">
        <w:t>system dynamics</w:t>
      </w:r>
      <w:r>
        <w:t xml:space="preserve"> model</w:t>
      </w:r>
      <w:r w:rsidR="00A83FE4" w:rsidRPr="00AA2AE1">
        <w:t xml:space="preserve"> </w:t>
      </w:r>
      <w:r w:rsidR="00816D18">
        <w:t>of</w:t>
      </w:r>
      <w:r w:rsidR="00A83FE4" w:rsidRPr="00AA2AE1">
        <w:t xml:space="preserve"> </w:t>
      </w:r>
      <w:r w:rsidR="00A83FE4">
        <w:t xml:space="preserve">early-market bioproduct development from the pre-piloting research stage through piloting and demoing to commercial-scale production. </w:t>
      </w:r>
      <w:r w:rsidR="00A83FE4">
        <w:fldChar w:fldCharType="begin"/>
      </w:r>
      <w:r w:rsidR="00F61BDD">
        <w:instrText xml:space="preserve"> ADDIN ZOTERO_ITEM CSL_CITATION {"citationID":"KBAMqSmf","properties":{"formattedCitation":"(5)","plainCitation":"(5)","noteIndex":0},"citationItems":[{"id":2801,"uris":["http://zotero.org/groups/2185154/items/T4PYHFTG"],"uri":["http://zotero.org/groups/2185154/items/T4PYHFTG"],"itemData":{"id":2801,"type":"report","title":"Bioproduct Transition Dynamics Technical Report","publisher":"National Renewable Energy Laboratory (NREL)","abstract":"placeholder for the BTD technical report","number":"NREL/TP-XXXXX. In preparation.","author":[{"family":"Hanes","given":"Rebecca"},{"family":"Bush","given":"Brian"},{"family":"Sittler","given":"Lauren"},{"family":"Newes","given":"Emily"},{"family":"Foretich","given":"Anthony"},{"family":"Jenkin","given":"Thomas"}],"issued":{"date-parts":[["2020",9]]}}}],"schema":"https://github.com/citation-style-language/schema/raw/master/csl-citation.json"} </w:instrText>
      </w:r>
      <w:r w:rsidR="00A83FE4">
        <w:fldChar w:fldCharType="separate"/>
      </w:r>
      <w:r w:rsidR="00F61BDD" w:rsidRPr="00F61BDD">
        <w:rPr>
          <w:rFonts w:cs="Times New Roman"/>
        </w:rPr>
        <w:t>(5)</w:t>
      </w:r>
      <w:r w:rsidR="00A83FE4">
        <w:fldChar w:fldCharType="end"/>
      </w:r>
      <w:r w:rsidR="00A83FE4">
        <w:t xml:space="preserve"> </w:t>
      </w:r>
      <w:bookmarkStart w:id="0" w:name="_Hlk15307747"/>
      <w:r>
        <w:t xml:space="preserve">The Bioproduct Transition Dynamics (BTD) model captures </w:t>
      </w:r>
      <w:r w:rsidR="00A6080A">
        <w:t xml:space="preserve">the </w:t>
      </w:r>
      <w:r>
        <w:t>pre-commercial-scale technology development</w:t>
      </w:r>
      <w:r w:rsidR="00A6080A">
        <w:t xml:space="preserve"> process</w:t>
      </w:r>
      <w:r>
        <w:t xml:space="preserve"> and early-market transition </w:t>
      </w:r>
      <w:r w:rsidR="00A6080A">
        <w:t>processes such as market entry and competition between new and incumbent products.</w:t>
      </w:r>
      <w:r w:rsidR="00351B10">
        <w:t xml:space="preserve"> To the best of our knowledge there is no comparable extant model of early-market transition dynamics that focuses on technology development and </w:t>
      </w:r>
      <w:r>
        <w:t>does not model beyond operation of the first commercial scale plant</w:t>
      </w:r>
      <w:r w:rsidR="00351B10">
        <w:t>.</w:t>
      </w:r>
      <w:r w:rsidR="00605394">
        <w:t xml:space="preserve"> </w:t>
      </w:r>
      <w:r w:rsidR="00A83FE4">
        <w:t>The core of the BTD is the feedback loop between the bioproduct development process (including the impact on bioproduct techno-economics) and the decision-making process used by investors when determining whether to fund a project.</w:t>
      </w:r>
      <w:bookmarkEnd w:id="0"/>
      <w:r w:rsidR="00605394" w:rsidRPr="00605394">
        <w:t xml:space="preserve"> </w:t>
      </w:r>
      <w:r w:rsidR="00605394">
        <w:t xml:space="preserve">Both quantitative and semi-quantitative factors are represented, including bioproduct techno-economic criteria, industrial demand for and acceptance of bioproducts, investor optimism and risk tolerance, and investor expectations around continued government support. </w:t>
      </w:r>
    </w:p>
    <w:p w14:paraId="778D21E2" w14:textId="2E823AEF" w:rsidR="00A37A9E" w:rsidRDefault="000B490C" w:rsidP="00A83FE4">
      <w:r>
        <w:t>The</w:t>
      </w:r>
      <w:r w:rsidR="00F61292">
        <w:t xml:space="preserve"> primary use of the BTD model </w:t>
      </w:r>
      <w:r>
        <w:t xml:space="preserve">is </w:t>
      </w:r>
      <w:r w:rsidR="00F61292">
        <w:t xml:space="preserve">as a decision support tool for bioproduct industry stakeholders including technology developers </w:t>
      </w:r>
      <w:r w:rsidR="00C12F65">
        <w:t>in both start-up and established firms</w:t>
      </w:r>
      <w:r w:rsidR="00F61292">
        <w:t xml:space="preserve">, venture capitalists and other investors, industry analysts, and government agencies providing funding and other support to bioproduct development projects. </w:t>
      </w:r>
      <w:r w:rsidR="004F77D9">
        <w:t>The BTD was built to model a general</w:t>
      </w:r>
      <w:r w:rsidR="00740CD5">
        <w:t xml:space="preserve"> </w:t>
      </w:r>
      <w:r w:rsidR="004F77D9">
        <w:t xml:space="preserve">bioproduct development process and can therefore be used to analyze many types of bioproducts, </w:t>
      </w:r>
      <w:r w:rsidR="004F77D9">
        <w:lastRenderedPageBreak/>
        <w:t xml:space="preserve">including commodity-scale </w:t>
      </w:r>
      <w:r w:rsidR="00F5294C">
        <w:t xml:space="preserve">products with </w:t>
      </w:r>
      <w:r w:rsidR="004F77D9">
        <w:t>high demand</w:t>
      </w:r>
      <w:r w:rsidR="00F5294C">
        <w:t xml:space="preserve"> and</w:t>
      </w:r>
      <w:r w:rsidR="004F77D9">
        <w:t xml:space="preserve"> relatively low value, niche market </w:t>
      </w:r>
      <w:r w:rsidR="00F5294C">
        <w:t xml:space="preserve">products with </w:t>
      </w:r>
      <w:r w:rsidR="004F77D9">
        <w:t>low demand</w:t>
      </w:r>
      <w:r w:rsidR="00F5294C">
        <w:t xml:space="preserve"> but</w:t>
      </w:r>
      <w:r w:rsidR="004F77D9">
        <w:t xml:space="preserve"> relatively high value, performance</w:t>
      </w:r>
      <w:r w:rsidR="00DC5CD5">
        <w:t xml:space="preserve"> </w:t>
      </w:r>
      <w:r w:rsidR="004F77D9">
        <w:t xml:space="preserve">advantaged </w:t>
      </w:r>
      <w:r w:rsidR="00F5294C">
        <w:t xml:space="preserve">products which are </w:t>
      </w:r>
      <w:r w:rsidR="004F77D9">
        <w:t>novel molecules with functionality similar to molecules on the market</w:t>
      </w:r>
      <w:r w:rsidR="00F5294C">
        <w:t>,</w:t>
      </w:r>
      <w:r w:rsidR="004F77D9">
        <w:t xml:space="preserve"> and direct replacement </w:t>
      </w:r>
      <w:r w:rsidR="00F5294C">
        <w:t xml:space="preserve">products which are </w:t>
      </w:r>
      <w:r w:rsidR="004F77D9">
        <w:t>molecules identical to those on the market</w:t>
      </w:r>
      <w:r w:rsidR="00C046C1">
        <w:t>. Additionally,</w:t>
      </w:r>
      <w:r w:rsidR="00740CD5">
        <w:t xml:space="preserve"> the BTD can </w:t>
      </w:r>
      <w:r w:rsidR="00C046C1">
        <w:t>represent</w:t>
      </w:r>
      <w:r w:rsidR="00740CD5">
        <w:t xml:space="preserve"> a variety of exogenous scenarios under which bioproduct development takes place, such as the existence of incumbent products in the market and increasing or decreasing long-term trends in biomass and fossil feedstock prices. </w:t>
      </w:r>
      <w:r w:rsidR="004F77D9">
        <w:t xml:space="preserve">This flexibility enables analysts </w:t>
      </w:r>
      <w:r w:rsidR="00740CD5">
        <w:t xml:space="preserve">and other BTD users </w:t>
      </w:r>
      <w:r w:rsidR="004F77D9">
        <w:t xml:space="preserve">to formulate and explore technological and market scenarios that lead to a </w:t>
      </w:r>
      <w:r w:rsidR="00C046C1">
        <w:t>bioproduct succeeding or failing to reach continuous commercial pr</w:t>
      </w:r>
      <w:r w:rsidR="00936F31">
        <w:t>odu</w:t>
      </w:r>
      <w:r w:rsidR="00C046C1">
        <w:t>ction</w:t>
      </w:r>
      <w:r w:rsidR="004F77D9">
        <w:t xml:space="preserve">, </w:t>
      </w:r>
      <w:r w:rsidR="00740CD5">
        <w:t xml:space="preserve">to investigate how their or their firm’s decisions impact a bioproduct’s chances of reaching the commercial market, </w:t>
      </w:r>
      <w:r w:rsidR="004F77D9">
        <w:t xml:space="preserve">and to </w:t>
      </w:r>
      <w:r w:rsidR="004F77D9" w:rsidRPr="00A73EC8">
        <w:t xml:space="preserve">highlight how financial and scientific support from BETO can </w:t>
      </w:r>
      <w:r w:rsidR="004F77D9">
        <w:t>enhance a bioproduct’s likelihood of</w:t>
      </w:r>
      <w:r w:rsidR="004F77D9" w:rsidRPr="00A73EC8">
        <w:t xml:space="preserve"> success</w:t>
      </w:r>
      <w:r w:rsidR="004F77D9">
        <w:t xml:space="preserve"> along with the associated funding needs. </w:t>
      </w:r>
    </w:p>
    <w:p w14:paraId="5FA7AE95" w14:textId="124E8AC9" w:rsidR="004F77D9" w:rsidRDefault="00A37A9E" w:rsidP="00A83FE4">
      <w:r>
        <w:t>The primary objective of this paper is to demonstrate the insights and value provided by the BTD with an application to an analysis topic that was determined in collaboration with stakeholders within BETO</w:t>
      </w:r>
      <w:r w:rsidR="0012205D">
        <w:t xml:space="preserve">. This paper investigates the factors – both exogenous and endogenous – that contribute to the Valley of Death </w:t>
      </w:r>
      <w:r w:rsidR="004F77D9">
        <w:t>(the period between research and commercialization when many projects across industries fail)</w:t>
      </w:r>
      <w:r w:rsidR="0012205D">
        <w:t xml:space="preserve"> for bioproducts</w:t>
      </w:r>
      <w:r w:rsidR="004F77D9">
        <w:t xml:space="preserve">, and how these factors </w:t>
      </w:r>
      <w:r w:rsidR="0012205D">
        <w:t>differ for performance advantaged</w:t>
      </w:r>
      <w:r w:rsidR="004F77D9">
        <w:t xml:space="preserve"> bioproduct</w:t>
      </w:r>
      <w:r w:rsidR="0012205D">
        <w:t>s</w:t>
      </w:r>
      <w:r w:rsidR="004F77D9">
        <w:t xml:space="preserve"> versus direct replacement</w:t>
      </w:r>
      <w:r w:rsidR="0012205D">
        <w:t xml:space="preserve"> bioproducts.</w:t>
      </w:r>
    </w:p>
    <w:p w14:paraId="6A2EF5C4" w14:textId="2E37BCF2" w:rsidR="0012205D" w:rsidRPr="00A37A9E" w:rsidRDefault="0012205D" w:rsidP="00A83FE4">
      <w:pPr>
        <w:rPr>
          <w:b/>
          <w:bCs/>
        </w:rPr>
      </w:pPr>
      <w:r>
        <w:t xml:space="preserve">The remainder of this paper is structured as follows. The Background section summarizes the research done to lay the groundwork for the present analysis. In the Methods section, the BTD itself is discussed along with a brief overview of the system dynamics modeling method, and the experimental design used to obtain BTD results. Current limitations of the BTD and the resulting analysis are also discussed in the Methods section. BTD outcomes are provided </w:t>
      </w:r>
      <w:r w:rsidR="00EF09DF">
        <w:t xml:space="preserve">and interpreted </w:t>
      </w:r>
      <w:r>
        <w:t xml:space="preserve">in the Results </w:t>
      </w:r>
      <w:r w:rsidR="00EF09DF">
        <w:t xml:space="preserve">and Discussion </w:t>
      </w:r>
      <w:r>
        <w:t>section. Finally, conclusions of this analysis and next steps for the BTD project are given in the Conclusions section.</w:t>
      </w:r>
    </w:p>
    <w:p w14:paraId="4B4ABE07" w14:textId="456818D0" w:rsidR="005A2A9D" w:rsidRDefault="005A2A9D" w:rsidP="005A2A9D">
      <w:pPr>
        <w:pStyle w:val="Heading1"/>
      </w:pPr>
      <w:r>
        <w:t>Background</w:t>
      </w:r>
    </w:p>
    <w:p w14:paraId="458CC186" w14:textId="43FD1A25" w:rsidR="005A2A9D" w:rsidRDefault="005A2A9D" w:rsidP="005A2A9D">
      <w:pPr>
        <w:pStyle w:val="Heading2"/>
      </w:pPr>
      <w:r>
        <w:t>Valley of Death</w:t>
      </w:r>
      <w:r w:rsidR="000B4161">
        <w:t>: Definitions and Causes</w:t>
      </w:r>
    </w:p>
    <w:p w14:paraId="75A48110" w14:textId="2ABA0CFE" w:rsidR="00A138FC" w:rsidRPr="00A138FC" w:rsidRDefault="00A138FC" w:rsidP="00DF46C7">
      <w:r w:rsidRPr="00A138FC">
        <w:t xml:space="preserve">The process </w:t>
      </w:r>
      <w:r w:rsidR="00936F31">
        <w:t>of developing</w:t>
      </w:r>
      <w:r w:rsidRPr="00A138FC">
        <w:t xml:space="preserve"> a new product </w:t>
      </w:r>
      <w:r w:rsidR="00936F31">
        <w:t xml:space="preserve">from concept </w:t>
      </w:r>
      <w:r w:rsidRPr="00A138FC">
        <w:t>to market varies dramatically in terms of time and resources required</w:t>
      </w:r>
      <w:r w:rsidR="00936F31">
        <w:t xml:space="preserve"> across industries, developers, and product types</w:t>
      </w:r>
      <w:r w:rsidR="0012205D">
        <w:t xml:space="preserve">. </w:t>
      </w:r>
      <w:r w:rsidRPr="00A138FC">
        <w:t xml:space="preserve">In the medical field, where several phases of </w:t>
      </w:r>
      <w:r w:rsidR="00936F31">
        <w:t xml:space="preserve">rigorous </w:t>
      </w:r>
      <w:r w:rsidRPr="00A138FC">
        <w:t>testing are necessary</w:t>
      </w:r>
      <w:r w:rsidR="00936F31">
        <w:t xml:space="preserve"> before a drug or device can be sold on the market</w:t>
      </w:r>
      <w:r w:rsidRPr="00A138FC">
        <w:t xml:space="preserve">, the time from patenting a new drug to commercialization typically takes 11-12 years and over $1 billion USD </w:t>
      </w:r>
      <w:r w:rsidRPr="00A138FC">
        <w:fldChar w:fldCharType="begin"/>
      </w:r>
      <w:r w:rsidR="00F61BDD">
        <w:instrText xml:space="preserve"> ADDIN ZOTERO_ITEM CSL_CITATION {"citationID":"fAwuuuI4","properties":{"formattedCitation":"(6)","plainCitation":"(6)","noteIndex":0},"citationItems":[{"id":2671,"uris":["http://zotero.org/groups/2185154/items/H6MA442F"],"uri":["http://zotero.org/groups/2185154/items/H6MA442F"],"itemData":{"id":2671,"type":"article-journal","title":"Into the valley of death: research to innovation","container-title":"Drug Discovery Today","page":"610-613","volume":"18","issue":"13","source":"ScienceDirect","abstract":"The phase between research and successful innovation is known as the valley of death. Increasingly, researchers from the pharmaceutical industry and academia are working together, often encouraged by governments, to cross this ‘valley’ as they seek to bring basic research to the market. This is consistent with newer models of innovation policy that stress interaction between the different agents across the innovation process. Here, we examine this interaction in the UK, the EU and the USA using several specific examples, suggesting that cooperation is still far from perfect and that the return for academia on its research investment is relatively small. Countries are also beginning to use research as a tool of industrial economic policy.","DOI":"10.1016/j.drudis.2013.01.012","ISSN":"1359-6446","title-short":"Into the valley of death","journalAbbreviation":"Drug Discovery Today","author":[{"family":"Hudson","given":"John"},{"family":"Khazragui","given":"Hanan F."}],"issued":{"date-parts":[["2013",7,1]]}}}],"schema":"https://github.com/citation-style-language/schema/raw/master/csl-citation.json"} </w:instrText>
      </w:r>
      <w:r w:rsidRPr="00A138FC">
        <w:fldChar w:fldCharType="separate"/>
      </w:r>
      <w:r w:rsidR="00F61BDD" w:rsidRPr="00F61BDD">
        <w:rPr>
          <w:rFonts w:cs="Times New Roman"/>
        </w:rPr>
        <w:t>(6)</w:t>
      </w:r>
      <w:r w:rsidRPr="00A138FC">
        <w:fldChar w:fldCharType="end"/>
      </w:r>
      <w:r w:rsidRPr="00A138FC">
        <w:t>. Different types of products present different risks and are constrained by distinct regulations, supply chains, funding systems, and consumption models. Additionally, those who study the innovation process present different models for the product development sequence</w:t>
      </w:r>
      <w:r w:rsidR="00936F31">
        <w:t>, such as the technology readiness level (TRL) model first developed by the U.S. National Aeronautics and Space Administration (NASA)</w:t>
      </w:r>
      <w:r w:rsidRPr="00A138FC">
        <w:t xml:space="preserve">. The names and number of stages </w:t>
      </w:r>
      <w:r w:rsidR="00936F31">
        <w:t>within the technology development process are not consistent across different models</w:t>
      </w:r>
      <w:r w:rsidRPr="00A138FC">
        <w:t>.</w:t>
      </w:r>
      <w:r w:rsidR="00936F31">
        <w:t xml:space="preserve"> However, one consistent aspect of the technology development process that exists across industries and </w:t>
      </w:r>
      <w:r w:rsidR="00936F31">
        <w:lastRenderedPageBreak/>
        <w:t xml:space="preserve">products is a specific challenging phase </w:t>
      </w:r>
      <w:r w:rsidR="003F2CB1">
        <w:t xml:space="preserve">during which projects are particularly likely to fail, </w:t>
      </w:r>
      <w:r w:rsidR="00936F31">
        <w:t>commonly referred to as the Valley of Death</w:t>
      </w:r>
      <w:r w:rsidRPr="00A138FC">
        <w:t>.</w:t>
      </w:r>
    </w:p>
    <w:p w14:paraId="46A05FB0" w14:textId="3125D648" w:rsidR="00A138FC" w:rsidRPr="00DF46C7" w:rsidRDefault="00936F31" w:rsidP="00DF46C7">
      <w:r>
        <w:t xml:space="preserve">Although there is general agreement that the Valley of Death occurs in the period between initial concept development and full commercialization – that is, at some point during the technology development process </w:t>
      </w:r>
      <w:r w:rsidR="003F2CB1">
        <w:t xml:space="preserve">– a </w:t>
      </w:r>
      <w:r>
        <w:t>literature review on the concept</w:t>
      </w:r>
      <w:r w:rsidR="00A138FC" w:rsidRPr="00A138FC">
        <w:t xml:space="preserve"> reveals several definitions</w:t>
      </w:r>
      <w:r>
        <w:t xml:space="preserve"> that are not always in agreement</w:t>
      </w:r>
      <w:r w:rsidR="00A138FC" w:rsidRPr="00A138FC">
        <w:t xml:space="preserve">. Markham, Ward, </w:t>
      </w:r>
      <w:proofErr w:type="spellStart"/>
      <w:r w:rsidR="00A138FC" w:rsidRPr="00A138FC">
        <w:t>Aiman</w:t>
      </w:r>
      <w:proofErr w:type="spellEnd"/>
      <w:r w:rsidR="00A138FC" w:rsidRPr="00A138FC">
        <w:t xml:space="preserve">-Smith, and </w:t>
      </w:r>
      <w:proofErr w:type="spellStart"/>
      <w:r w:rsidR="00A138FC" w:rsidRPr="00A138FC">
        <w:t>Kingon</w:t>
      </w:r>
      <w:proofErr w:type="spellEnd"/>
      <w:r w:rsidR="003F2CB1">
        <w:t xml:space="preserve"> (2010)</w:t>
      </w:r>
      <w:r w:rsidR="00A138FC" w:rsidRPr="00A138FC">
        <w:t xml:space="preserve"> </w:t>
      </w:r>
      <w:r w:rsidR="009A7EF7">
        <w:t>id</w:t>
      </w:r>
      <w:r w:rsidR="00A138FC" w:rsidRPr="00A138FC">
        <w:t xml:space="preserve">entify </w:t>
      </w:r>
      <w:r>
        <w:t>Valley of Death</w:t>
      </w:r>
      <w:r w:rsidR="00A138FC" w:rsidRPr="00A138FC">
        <w:t xml:space="preserve"> as a metaphor for the “relative lack of resources and expertise” in the “discrete segment of development between research and product development” </w:t>
      </w:r>
      <w:r w:rsidR="00A138FC" w:rsidRPr="00A138FC">
        <w:fldChar w:fldCharType="begin"/>
      </w:r>
      <w:r w:rsidR="00F61BDD">
        <w:instrText xml:space="preserve"> ADDIN ZOTERO_ITEM CSL_CITATION {"citationID":"y4eCoxy7","properties":{"formattedCitation":"(7)","plainCitation":"(7)","noteIndex":0},"citationItems":[{"id":2664,"uris":["http://zotero.org/groups/2185154/items/SQNE77J9"],"uri":["http://zotero.org/groups/2185154/items/SQNE77J9"],"itemData":{"id":2664,"type":"article-journal","title":"The Valley of Death as Context for Role Theory in Product Innovation","container-title":"Journal of Product Innovation Management","page":"402-417","volume":"27","issue":"3","source":"Wiley Online Library","abstract":"The purpose of this paper is to define and explain the front end of product innovation as a discrete segment of development between research and product development. The Valley of Death is used as a metaphor to describe the relative lack of resources and expertise in this area of development. The metaphor suggests that there are relative more resources on one side of the valley in the form of research expertise and on the other side by commercialization expertise and resources. Within this valley a set of interlocking roles are examined that move projects from one side to the other. The empirical methodology used in this study gathered data from 272 Product Development &amp; Management Association (PDMA) members with extensive experience in the front end of product development using a Web-based survey instrument. Extensive pretests with experienced practitioners were conducted to develop the instrument. Results indicate that significant development takes place before projects enter into a firm's formal product development process. The data also support the roles of champion, sponsor, and gatekeeper as major actors that work together to develop and promote projects for introduction into the formal process. Champions make the organization aware of opportunities by conceptualizing the idea and preparing business cases. Sponsors support the development of promising ideas by providing resources to demonstrate the project's viability. Gatekeepers set criteria and make acceptance decisions. The data also reveal a dynamic interdependence between role players. It is concluded that the Valley of Death is a productive tool for identifying and understanding a critical area of development that has not been adequately addressed. This research finds a dynamic interplay between roles to accomplish tasks that are not well understood in practice or the literature. The implications of this research are far-ranging. It suggests that companies must understand the challenges in the valley, must develop the skills, and must make resources available to master the front end of product innovation. Recognizing roles, providing resources, and establishing expectations and accountability in this area of development become manageable in light of these results. Theoretically, this research informs role theory of a dynamic set of relationships previously treated as static. It also empirically investigates an area of product development where there is limited data. This paper opens profitable inquiries by focusing on an area of development not adequately researched yet drives the activities and investment made in subsequent steps of product development.","DOI":"10.1111/j.1540-5885.2010.00724.x","ISSN":"1540-5885","language":"en","author":[{"family":"Markham","given":"Stephen K."},{"family":"Ward","given":"Stephen J."},{"family":"Aiman‐Smith","given":"Lynda"},{"family":"Kingon","given":"Angus I."}],"issued":{"date-parts":[["2010"]]}}}],"schema":"https://github.com/citation-style-language/schema/raw/master/csl-citation.json"} </w:instrText>
      </w:r>
      <w:r w:rsidR="00A138FC" w:rsidRPr="00A138FC">
        <w:fldChar w:fldCharType="separate"/>
      </w:r>
      <w:r w:rsidR="00F61BDD" w:rsidRPr="00F61BDD">
        <w:rPr>
          <w:rFonts w:cs="Times New Roman"/>
        </w:rPr>
        <w:t>(7)</w:t>
      </w:r>
      <w:r w:rsidR="00A138FC" w:rsidRPr="00A138FC">
        <w:fldChar w:fldCharType="end"/>
      </w:r>
      <w:r w:rsidR="00A138FC" w:rsidRPr="00A138FC">
        <w:t xml:space="preserve">. Ford, </w:t>
      </w:r>
      <w:proofErr w:type="spellStart"/>
      <w:r w:rsidR="00A138FC" w:rsidRPr="00A138FC">
        <w:t>Koutsky</w:t>
      </w:r>
      <w:proofErr w:type="spellEnd"/>
      <w:r w:rsidR="00A138FC" w:rsidRPr="00A138FC">
        <w:t xml:space="preserve">, and </w:t>
      </w:r>
      <w:proofErr w:type="spellStart"/>
      <w:r w:rsidR="00A138FC" w:rsidRPr="00A138FC">
        <w:t>Spiwak</w:t>
      </w:r>
      <w:proofErr w:type="spellEnd"/>
      <w:r w:rsidR="003F2CB1">
        <w:t xml:space="preserve"> (2007)</w:t>
      </w:r>
      <w:r w:rsidR="00A138FC" w:rsidRPr="00A138FC">
        <w:t xml:space="preserve"> </w:t>
      </w:r>
      <w:r w:rsidR="003F2CB1">
        <w:t>suggest</w:t>
      </w:r>
      <w:r w:rsidR="00A138FC" w:rsidRPr="00A138FC">
        <w:t xml:space="preserve"> that the Valley of Death </w:t>
      </w:r>
      <w:r w:rsidR="003F2CB1">
        <w:t>manifests during the development phase when a product’s economic and technical feasibility must be established before the product is commercialized</w:t>
      </w:r>
      <w:r w:rsidR="00A138FC" w:rsidRPr="00A138FC">
        <w:t xml:space="preserve">. </w:t>
      </w:r>
      <w:r w:rsidR="003F2CB1">
        <w:t>The authors assert that conditions that lead to the Valley of Death are created during the basic research stage, when funding tends to be more readily available than during the feasibility-proving stage. This gap in funding in the intermediate development phase – the authors also assert that, relatively speaking, funding is more easily obtained when the product is ready for commercialization – is what causes the Valley of Death</w:t>
      </w:r>
      <w:r w:rsidR="00A138FC" w:rsidRPr="00A138FC">
        <w:t xml:space="preserve"> </w:t>
      </w:r>
      <w:r w:rsidR="00A138FC" w:rsidRPr="00A138FC">
        <w:fldChar w:fldCharType="begin"/>
      </w:r>
      <w:r w:rsidR="00F61BDD">
        <w:instrText xml:space="preserve"> ADDIN ZOTERO_ITEM CSL_CITATION {"citationID":"aRVcsieW","properties":{"formattedCitation":"(8)","plainCitation":"(8)","noteIndex":0},"citationItems":[{"id":2676,"uris":["http://zotero.org/groups/2185154/items/2C5XNJQR"],"uri":["http://zotero.org/groups/2185154/items/2C5XNJQR"],"itemData":{"id":2676,"type":"report","title":"A Valley of Death in the Innovation Sequence: An Economic Investigation","publisher":"Social Science Research Network","publisher-place":"Rochester, NY","genre":"SSRN Scholarly Paper","source":"papers.ssrn.com","event-place":"Rochester, NY","abstract":"The United States Department of Commerce, Technology Administration provided support to the Phoenix Center to study the causes and potential solutions of the Valley of Death for technology development in the United States under Study Contract No. SB1341-05-2-0023 administered by KT Consulting, Inc.  While several explanations for this Valley of Death have been proffered, this Paper takes a decidedly different approach to this issue.  We focus our attention on the notion that the Valley of Death is, in fact, a valley in the innovation process - an image that implies that funding for R&amp;D projects is more readily available for basic or early-stage research (a peak) than the intermediate stages (the valley).  Our economic model indicates that such a nonlinear phenomenon can only occur if noneconomic investments (such as government expenditures on basic research) are made in very early stage research without sufficient attention to the likely investment decisions at later stages of the innovation process.    This is not meant to imply that government support of R&amp;D activity is unwarranted; in fact, there are important and valid reasons for government to support R&amp;D activity.  In some respects, the Valley of Death may be an inevitable consequence of socially-valuable government intervention.  An important question is whether technology policymakers should devote some attention and resources to the study of the optimal mix of government support for early-stage and intermediate-stage R&amp;D projects.  In particular, it may be possible to increase economic welfare from government R&amp;D efforts by increasing support for intermediate stage projects or by altering the allocation of a fixed level of support between early and intermediate stages of the innovation process.  Even if the current mix of funding across the stages of the innovation process is deemed optimal, it is also sensible to evaluate ways to increase technology innovation by assisting private investors in seeing projects through intermediate stages of the innovation sequence, which will bring innovations closer to commercialization and diffusion.","URL":"https://papers.ssrn.com/abstract=1093006","number":"ID 1093006","title-short":"A Valley of Death in the Innovation Sequence","language":"en","author":[{"family":"Ford","given":"George S."},{"family":"Koutsky","given":"Thomas"},{"family":"Spiwak","given":"Lawrence J."}],"issued":{"date-parts":[["2007",9,1]]},"accessed":{"date-parts":[["2019",7,19]]}}}],"schema":"https://github.com/citation-style-language/schema/raw/master/csl-citation.json"} </w:instrText>
      </w:r>
      <w:r w:rsidR="00A138FC" w:rsidRPr="00A138FC">
        <w:fldChar w:fldCharType="separate"/>
      </w:r>
      <w:r w:rsidR="00F61BDD" w:rsidRPr="00F61BDD">
        <w:rPr>
          <w:rFonts w:cs="Times New Roman"/>
        </w:rPr>
        <w:t>(8)</w:t>
      </w:r>
      <w:r w:rsidR="00A138FC" w:rsidRPr="00A138FC">
        <w:fldChar w:fldCharType="end"/>
      </w:r>
      <w:r w:rsidR="00A138FC" w:rsidRPr="00A138FC">
        <w:t>. This definition is limited to a smaller range of activities than those given by other authors.</w:t>
      </w:r>
    </w:p>
    <w:p w14:paraId="03FCA658" w14:textId="5067FF1C" w:rsidR="00A138FC" w:rsidRPr="00A138FC" w:rsidRDefault="00A138FC" w:rsidP="003542D5">
      <w:pPr>
        <w:rPr>
          <w:rFonts w:cs="Times New Roman"/>
          <w:szCs w:val="24"/>
        </w:rPr>
      </w:pPr>
      <w:r w:rsidRPr="00A138FC">
        <w:rPr>
          <w:rFonts w:cs="Times New Roman"/>
          <w:szCs w:val="24"/>
        </w:rPr>
        <w:t xml:space="preserve">The U.S. Department of Energy Inventions </w:t>
      </w:r>
      <w:r w:rsidR="003542D5">
        <w:rPr>
          <w:rFonts w:cs="Times New Roman"/>
          <w:szCs w:val="24"/>
        </w:rPr>
        <w:t>and</w:t>
      </w:r>
      <w:r w:rsidRPr="00A138FC">
        <w:rPr>
          <w:rFonts w:cs="Times New Roman"/>
          <w:szCs w:val="24"/>
        </w:rPr>
        <w:t xml:space="preserve"> Innovation Program </w:t>
      </w:r>
      <w:r w:rsidR="003542D5">
        <w:rPr>
          <w:rFonts w:cs="Times New Roman"/>
          <w:szCs w:val="24"/>
        </w:rPr>
        <w:t>offers a much broader definition in a guide for innovators planning business and commercialization strategies. This guide defines the Valley of Death</w:t>
      </w:r>
      <w:r w:rsidRPr="00A138FC">
        <w:rPr>
          <w:rFonts w:cs="Times New Roman"/>
          <w:szCs w:val="24"/>
        </w:rPr>
        <w:t xml:space="preserve"> as the entire region of development during which the innovator must rely on debt from impersonal sources to finance the project. </w:t>
      </w:r>
      <w:r w:rsidR="003542D5" w:rsidRPr="00A138FC">
        <w:rPr>
          <w:rFonts w:cs="Times New Roman"/>
          <w:szCs w:val="24"/>
        </w:rPr>
        <w:fldChar w:fldCharType="begin"/>
      </w:r>
      <w:r w:rsidR="003542D5">
        <w:rPr>
          <w:rFonts w:cs="Times New Roman"/>
          <w:szCs w:val="24"/>
        </w:rPr>
        <w:instrText xml:space="preserve"> ADDIN ZOTERO_ITEM CSL_CITATION {"citationID":"fRWZj9Xo","properties":{"formattedCitation":"(9)","plainCitation":"(9)","noteIndex":0},"citationItems":[{"id":2714,"uris":["http://zotero.org/groups/2185154/items/V85KUWIT"],"uri":["http://zotero.org/groups/2185154/items/V85KUWIT"],"itemData":{"id":2714,"type":"report","title":"From Invention to Innovation","publisher":"National Renewable Energy Laboratory, Golden, CO (US)","source":"www.osti.gov","abstract":"The U.S. Department of Energy's Office of Scientific and Technical Information","URL":"https://www.osti.gov/biblio/757073-from-invention-innovation","number":"NREL/BR-330-26620; DOE/GO-10099-810","language":"English","author":[{"family":"Rorke","given":"M."}],"issued":{"date-parts":[["2000",7,18]]},"accessed":{"date-parts":[["2019",7,31]]}}}],"schema":"https://github.com/citation-style-language/schema/raw/master/csl-citation.json"} </w:instrText>
      </w:r>
      <w:r w:rsidR="003542D5" w:rsidRPr="00A138FC">
        <w:rPr>
          <w:rFonts w:cs="Times New Roman"/>
          <w:szCs w:val="24"/>
        </w:rPr>
        <w:fldChar w:fldCharType="separate"/>
      </w:r>
      <w:r w:rsidR="003542D5" w:rsidRPr="00F61BDD">
        <w:rPr>
          <w:rFonts w:cs="Times New Roman"/>
        </w:rPr>
        <w:t>(9)</w:t>
      </w:r>
      <w:r w:rsidR="003542D5" w:rsidRPr="00A138FC">
        <w:rPr>
          <w:rFonts w:cs="Times New Roman"/>
          <w:szCs w:val="24"/>
        </w:rPr>
        <w:fldChar w:fldCharType="end"/>
      </w:r>
      <w:r w:rsidR="003542D5">
        <w:rPr>
          <w:rFonts w:cs="Times New Roman"/>
          <w:szCs w:val="24"/>
        </w:rPr>
        <w:t xml:space="preserve"> According to this definition, the Valley encompasses virtually all technology development activities from</w:t>
      </w:r>
      <w:r w:rsidRPr="00A138FC">
        <w:rPr>
          <w:rFonts w:cs="Times New Roman"/>
          <w:szCs w:val="24"/>
        </w:rPr>
        <w:t xml:space="preserve"> building a working model to selling the </w:t>
      </w:r>
      <w:r w:rsidR="000B4161">
        <w:rPr>
          <w:rFonts w:cs="Times New Roman"/>
          <w:szCs w:val="24"/>
        </w:rPr>
        <w:t>fully commercialized</w:t>
      </w:r>
      <w:r w:rsidRPr="00A138FC">
        <w:rPr>
          <w:rFonts w:cs="Times New Roman"/>
          <w:szCs w:val="24"/>
        </w:rPr>
        <w:t xml:space="preserve"> product.</w:t>
      </w:r>
    </w:p>
    <w:p w14:paraId="3C1AA66C" w14:textId="56A1A9D2" w:rsidR="00A138FC" w:rsidRPr="00A138FC" w:rsidRDefault="00623234" w:rsidP="00DF46C7">
      <w:pPr>
        <w:rPr>
          <w:rFonts w:cs="Times New Roman"/>
          <w:szCs w:val="24"/>
        </w:rPr>
      </w:pPr>
      <w:r>
        <w:rPr>
          <w:rFonts w:cs="Times New Roman"/>
          <w:szCs w:val="24"/>
        </w:rPr>
        <w:t xml:space="preserve">Some more heavily regulated industries experience higher project failures rates in general and during the Valley of Death. Adams (2010) </w:t>
      </w:r>
      <w:r w:rsidR="00A138FC" w:rsidRPr="00A138FC">
        <w:rPr>
          <w:rFonts w:cs="Times New Roman"/>
          <w:szCs w:val="24"/>
        </w:rPr>
        <w:t xml:space="preserve">presents a table of 22 factors </w:t>
      </w:r>
      <w:r>
        <w:rPr>
          <w:rFonts w:cs="Times New Roman"/>
          <w:szCs w:val="24"/>
        </w:rPr>
        <w:t xml:space="preserve">known to </w:t>
      </w:r>
      <w:r w:rsidR="00A138FC" w:rsidRPr="00A138FC">
        <w:rPr>
          <w:rFonts w:cs="Times New Roman"/>
          <w:szCs w:val="24"/>
        </w:rPr>
        <w:t xml:space="preserve">contribute to the failure of </w:t>
      </w:r>
      <w:r>
        <w:rPr>
          <w:rFonts w:cs="Times New Roman"/>
          <w:szCs w:val="24"/>
        </w:rPr>
        <w:t>cancer drug development and</w:t>
      </w:r>
      <w:r w:rsidR="00A138FC" w:rsidRPr="00A138FC">
        <w:rPr>
          <w:rFonts w:cs="Times New Roman"/>
          <w:szCs w:val="24"/>
        </w:rPr>
        <w:t xml:space="preserve"> commercialization.</w:t>
      </w:r>
      <w:r>
        <w:rPr>
          <w:rFonts w:cs="Times New Roman"/>
          <w:szCs w:val="24"/>
        </w:rPr>
        <w:t xml:space="preserve"> </w:t>
      </w:r>
      <w:r w:rsidRPr="00A138FC">
        <w:rPr>
          <w:rFonts w:cs="Times New Roman"/>
          <w:szCs w:val="24"/>
        </w:rPr>
        <w:fldChar w:fldCharType="begin"/>
      </w:r>
      <w:r>
        <w:rPr>
          <w:rFonts w:cs="Times New Roman"/>
          <w:szCs w:val="24"/>
        </w:rPr>
        <w:instrText xml:space="preserve"> ADDIN ZOTERO_ITEM CSL_CITATION {"citationID":"7KINkaHg","properties":{"formattedCitation":"(10)","plainCitation":"(10)","noteIndex":0},"citationItems":[{"id":2659,"uris":["http://zotero.org/groups/2185154/items/TA4S7F3J"],"uri":["http://zotero.org/groups/2185154/items/TA4S7F3J"],"itemData":{"id":2659,"type":"article-journal","title":"The Valley of Death in anticancer drug development: a reassessment","container-title":"Trends in Pharmacological Sciences","page":"173-180","volume":"33","issue":"4","source":"ScienceDirect","abstract":"The past decade has seen an explosion in our understanding of cancer biology and with it many new potential disease targets. Nonetheless, our ability to translate these advances into therapies is poor, with a failure rate approaching 90%. Much discussion has been devoted to this so-called ‘Valley of Death’ in anticancer drug development, but the problem persists. Could we have overlooked some straightforward explanations to this highly complex problem? Important aspects of tumor physiology, drug pharmacokinetics, preclinical models, drug delivery, and clinical translation are not often emphasized, but could be crucial. This perspective summarizes current views on the problem and suggests feasible alternatives.","DOI":"10.1016/j.tips.2012.02.001","ISSN":"0165-6147","title-short":"The Valley of Death in anticancer drug development","journalAbbreviation":"Trends in Pharmacological Sciences","author":[{"family":"Adams","given":"David J."}],"issued":{"date-parts":[["2012",4,1]]}}}],"schema":"https://github.com/citation-style-language/schema/raw/master/csl-citation.json"} </w:instrText>
      </w:r>
      <w:r w:rsidRPr="00A138FC">
        <w:rPr>
          <w:rFonts w:cs="Times New Roman"/>
          <w:szCs w:val="24"/>
        </w:rPr>
        <w:fldChar w:fldCharType="separate"/>
      </w:r>
      <w:r w:rsidRPr="00F61BDD">
        <w:rPr>
          <w:rFonts w:cs="Times New Roman"/>
        </w:rPr>
        <w:t>(10)</w:t>
      </w:r>
      <w:r w:rsidRPr="00A138FC">
        <w:rPr>
          <w:rFonts w:cs="Times New Roman"/>
          <w:szCs w:val="24"/>
        </w:rPr>
        <w:fldChar w:fldCharType="end"/>
      </w:r>
      <w:r>
        <w:rPr>
          <w:rFonts w:cs="Times New Roman"/>
          <w:szCs w:val="24"/>
        </w:rPr>
        <w:t xml:space="preserve"> While some factors such as </w:t>
      </w:r>
      <w:r>
        <w:rPr>
          <w:rFonts w:cs="Times New Roman"/>
          <w:i/>
          <w:iCs/>
          <w:szCs w:val="24"/>
        </w:rPr>
        <w:t>healthcare culture</w:t>
      </w:r>
      <w:r>
        <w:t xml:space="preserve"> and </w:t>
      </w:r>
      <w:r>
        <w:rPr>
          <w:i/>
          <w:iCs/>
        </w:rPr>
        <w:t>choice of drug type</w:t>
      </w:r>
      <w:r>
        <w:t xml:space="preserve"> are specific to the pharmaceutical industry, others apply across industries. </w:t>
      </w:r>
      <w:r w:rsidR="00A138FC" w:rsidRPr="00A138FC">
        <w:rPr>
          <w:rFonts w:cs="Times New Roman"/>
          <w:szCs w:val="24"/>
        </w:rPr>
        <w:t>The</w:t>
      </w:r>
      <w:r>
        <w:rPr>
          <w:rFonts w:cs="Times New Roman"/>
          <w:szCs w:val="24"/>
        </w:rPr>
        <w:t xml:space="preserve"> more broadly applicable</w:t>
      </w:r>
      <w:r w:rsidR="00A138FC" w:rsidRPr="00A138FC">
        <w:rPr>
          <w:rFonts w:cs="Times New Roman"/>
          <w:szCs w:val="24"/>
        </w:rPr>
        <w:t xml:space="preserve"> factors include</w:t>
      </w:r>
      <w:r>
        <w:rPr>
          <w:rFonts w:cs="Times New Roman"/>
          <w:i/>
          <w:iCs/>
          <w:szCs w:val="24"/>
        </w:rPr>
        <w:t xml:space="preserve"> lack of financial resources</w:t>
      </w:r>
      <w:r w:rsidR="00A138FC" w:rsidRPr="00A138FC">
        <w:rPr>
          <w:rFonts w:cs="Times New Roman"/>
          <w:szCs w:val="24"/>
        </w:rPr>
        <w:t xml:space="preserve">, </w:t>
      </w:r>
      <w:r>
        <w:rPr>
          <w:rFonts w:cs="Times New Roman"/>
          <w:i/>
          <w:iCs/>
          <w:szCs w:val="24"/>
        </w:rPr>
        <w:t>lack of human resources</w:t>
      </w:r>
      <w:r w:rsidR="00A138FC" w:rsidRPr="00A138FC">
        <w:rPr>
          <w:rFonts w:cs="Times New Roman"/>
          <w:szCs w:val="24"/>
        </w:rPr>
        <w:t xml:space="preserve">, </w:t>
      </w:r>
      <w:r w:rsidR="00A138FC" w:rsidRPr="00623234">
        <w:rPr>
          <w:rFonts w:cs="Times New Roman"/>
          <w:i/>
          <w:iCs/>
          <w:szCs w:val="24"/>
        </w:rPr>
        <w:t>communication</w:t>
      </w:r>
      <w:r w:rsidR="00A138FC" w:rsidRPr="00A138FC">
        <w:rPr>
          <w:rFonts w:cs="Times New Roman"/>
          <w:szCs w:val="24"/>
        </w:rPr>
        <w:t xml:space="preserve">, </w:t>
      </w:r>
      <w:r w:rsidR="00A138FC" w:rsidRPr="00623234">
        <w:rPr>
          <w:rFonts w:cs="Times New Roman"/>
          <w:i/>
          <w:iCs/>
          <w:szCs w:val="24"/>
        </w:rPr>
        <w:t>lack of incentives in academia</w:t>
      </w:r>
      <w:r w:rsidR="00A138FC" w:rsidRPr="00A138FC">
        <w:rPr>
          <w:rFonts w:cs="Times New Roman"/>
          <w:szCs w:val="24"/>
        </w:rPr>
        <w:t xml:space="preserve">, </w:t>
      </w:r>
      <w:r w:rsidRPr="00623234">
        <w:rPr>
          <w:rFonts w:cs="Times New Roman"/>
          <w:i/>
          <w:iCs/>
          <w:szCs w:val="24"/>
        </w:rPr>
        <w:t>i</w:t>
      </w:r>
      <w:r w:rsidR="00A138FC" w:rsidRPr="00623234">
        <w:rPr>
          <w:rFonts w:cs="Times New Roman"/>
          <w:i/>
          <w:iCs/>
          <w:szCs w:val="24"/>
        </w:rPr>
        <w:t>ntellectual property issues</w:t>
      </w:r>
      <w:r w:rsidR="00A138FC" w:rsidRPr="00A138FC">
        <w:rPr>
          <w:rFonts w:cs="Times New Roman"/>
          <w:szCs w:val="24"/>
        </w:rPr>
        <w:t>,</w:t>
      </w:r>
      <w:r>
        <w:rPr>
          <w:rFonts w:cs="Times New Roman"/>
          <w:szCs w:val="24"/>
        </w:rPr>
        <w:t xml:space="preserve"> and</w:t>
      </w:r>
      <w:r w:rsidR="00A138FC" w:rsidRPr="00A138FC">
        <w:rPr>
          <w:rFonts w:cs="Times New Roman"/>
          <w:szCs w:val="24"/>
        </w:rPr>
        <w:t xml:space="preserve"> </w:t>
      </w:r>
      <w:r w:rsidR="00A138FC" w:rsidRPr="00623234">
        <w:rPr>
          <w:rFonts w:cs="Times New Roman"/>
          <w:i/>
          <w:iCs/>
          <w:szCs w:val="24"/>
        </w:rPr>
        <w:t>lack of innovation</w:t>
      </w:r>
      <w:r w:rsidR="00A138FC" w:rsidRPr="00A138FC">
        <w:rPr>
          <w:rFonts w:cs="Times New Roman"/>
          <w:szCs w:val="24"/>
        </w:rPr>
        <w:t xml:space="preserve">. </w:t>
      </w:r>
    </w:p>
    <w:p w14:paraId="39EB1102" w14:textId="4CA00C43" w:rsidR="00A138FC" w:rsidRPr="00A138FC" w:rsidRDefault="00A138FC" w:rsidP="00DF46C7">
      <w:pPr>
        <w:rPr>
          <w:rFonts w:cs="Times New Roman"/>
          <w:szCs w:val="24"/>
        </w:rPr>
      </w:pPr>
      <w:r w:rsidRPr="00A138FC">
        <w:rPr>
          <w:rFonts w:cs="Times New Roman"/>
          <w:szCs w:val="24"/>
        </w:rPr>
        <w:t xml:space="preserve">Renewable energy technologies and environmentally friendly products </w:t>
      </w:r>
      <w:r w:rsidR="00F645EA">
        <w:rPr>
          <w:rFonts w:cs="Times New Roman"/>
          <w:szCs w:val="24"/>
        </w:rPr>
        <w:t>tend to face an additional barrier in that early on in development, the products are more expensive than incumbents and so may require greater investment in research and development. Moreover, t</w:t>
      </w:r>
      <w:r w:rsidRPr="00A138FC">
        <w:rPr>
          <w:rFonts w:cs="Times New Roman"/>
          <w:szCs w:val="24"/>
        </w:rPr>
        <w:t xml:space="preserve">he benefits of </w:t>
      </w:r>
      <w:r w:rsidR="00F645EA">
        <w:rPr>
          <w:rFonts w:cs="Times New Roman"/>
          <w:szCs w:val="24"/>
        </w:rPr>
        <w:t xml:space="preserve">renewable, environmentally friendly and </w:t>
      </w:r>
      <w:r w:rsidRPr="00A138FC">
        <w:rPr>
          <w:rFonts w:cs="Times New Roman"/>
          <w:szCs w:val="24"/>
        </w:rPr>
        <w:t xml:space="preserve">eco-conscious products </w:t>
      </w:r>
      <w:r w:rsidR="00F645EA">
        <w:rPr>
          <w:rFonts w:cs="Times New Roman"/>
          <w:szCs w:val="24"/>
        </w:rPr>
        <w:t xml:space="preserve">in general </w:t>
      </w:r>
      <w:r w:rsidRPr="00A138FC">
        <w:rPr>
          <w:rFonts w:cs="Times New Roman"/>
          <w:szCs w:val="24"/>
        </w:rPr>
        <w:t xml:space="preserve">manifest over a long period and may be in the form of externalities rather than </w:t>
      </w:r>
      <w:r w:rsidR="00F645EA">
        <w:rPr>
          <w:rFonts w:cs="Times New Roman"/>
          <w:szCs w:val="24"/>
        </w:rPr>
        <w:t>direct economic benefits</w:t>
      </w:r>
      <w:r w:rsidRPr="00A138FC">
        <w:rPr>
          <w:rFonts w:cs="Times New Roman"/>
          <w:szCs w:val="24"/>
        </w:rPr>
        <w:t xml:space="preserve">. </w:t>
      </w:r>
      <w:r w:rsidR="002002DC" w:rsidRPr="00A138FC">
        <w:rPr>
          <w:rFonts w:cs="Times New Roman"/>
          <w:szCs w:val="24"/>
        </w:rPr>
        <w:fldChar w:fldCharType="begin"/>
      </w:r>
      <w:r w:rsidR="002002DC">
        <w:rPr>
          <w:rFonts w:cs="Times New Roman"/>
          <w:szCs w:val="24"/>
        </w:rPr>
        <w:instrText xml:space="preserve"> ADDIN ZOTERO_ITEM CSL_CITATION {"citationID":"ltM5RXOT","properties":{"formattedCitation":"(11)","plainCitation":"(11)","noteIndex":0},"citationItems":[{"id":2699,"uris":["http://zotero.org/groups/2185154/items/KSPIEFI2"],"uri":["http://zotero.org/groups/2185154/items/KSPIEFI2"],"itemData":{"id":2699,"type":"article-journal","title":"Solar feed-in tariffs in a post-grid parity world: The role of risk, investor diversity and business models","container-title":"Energy Policy","page":"445-456","volume":"106","source":"ScienceDirect","abstract":"Over the past decade, feed-in tariffs have spurred significant deployment of solar photovoltaics in Germany and other countries. With recent cost trends, several countries are approaching retail grid parity. Some policymakers conclude that now is the time to remove feed-in tariffs, as grid parity creates a self-sustaining market, where economically rational investors will invest even in the absence of government incentives. Recent experience in key European solar markets, however, shows that with the advent of grid parity and the reduction of feed-in tariffs, investment in new solar capacity has decreased rather than increased, making it questionable whether low-carbon energy policy targets will be reached. We conduct a cross-case study analysis of three PV markets – Germany, Italy and Switzerland – to investigate the role of feed-in tariffs for the near- and post-grid parity stages of diffusion, accounting for investor diversity and distinguishing between implications for revenue-based and savings-based business models. We find that recent market trends are strongly driven by increased levels of risk, especially policy risk and exposure to revenue risk. We therefore suggest that relatively frugal but stable policy environments may be conducive to further growth of investment in photovoltaics and minimize cost to society.","DOI":"10.1016/j.enpol.2017.04.005","ISSN":"0301-4215","title-short":"Solar feed-in tariffs in a post-grid parity world","journalAbbreviation":"Energy Policy","author":[{"family":"Karneyeva","given":"Yuliya"},{"family":"Wüstenhagen","given":"Rolf"}],"issued":{"date-parts":[["2017",7,1]]}}}],"schema":"https://github.com/citation-style-language/schema/raw/master/csl-citation.json"} </w:instrText>
      </w:r>
      <w:r w:rsidR="002002DC" w:rsidRPr="00A138FC">
        <w:rPr>
          <w:rFonts w:cs="Times New Roman"/>
          <w:szCs w:val="24"/>
        </w:rPr>
        <w:fldChar w:fldCharType="separate"/>
      </w:r>
      <w:r w:rsidR="002002DC" w:rsidRPr="00F61BDD">
        <w:rPr>
          <w:rFonts w:cs="Times New Roman"/>
        </w:rPr>
        <w:t>(11)</w:t>
      </w:r>
      <w:r w:rsidR="002002DC" w:rsidRPr="00A138FC">
        <w:rPr>
          <w:rFonts w:cs="Times New Roman"/>
          <w:szCs w:val="24"/>
        </w:rPr>
        <w:fldChar w:fldCharType="end"/>
      </w:r>
      <w:r w:rsidR="00F645EA">
        <w:rPr>
          <w:rFonts w:cs="Times New Roman"/>
          <w:szCs w:val="24"/>
        </w:rPr>
        <w:t xml:space="preserve"> </w:t>
      </w:r>
      <w:r w:rsidRPr="00A138FC">
        <w:rPr>
          <w:rFonts w:cs="Times New Roman"/>
          <w:szCs w:val="24"/>
        </w:rPr>
        <w:t xml:space="preserve">Several solutions have been proposed to help bring </w:t>
      </w:r>
      <w:r w:rsidR="00F645EA">
        <w:rPr>
          <w:rFonts w:cs="Times New Roman"/>
          <w:szCs w:val="24"/>
        </w:rPr>
        <w:t xml:space="preserve">such </w:t>
      </w:r>
      <w:r w:rsidRPr="00A138FC">
        <w:rPr>
          <w:rFonts w:cs="Times New Roman"/>
          <w:szCs w:val="24"/>
        </w:rPr>
        <w:t xml:space="preserve">societally beneficial products </w:t>
      </w:r>
      <w:r w:rsidR="00F645EA">
        <w:rPr>
          <w:rFonts w:cs="Times New Roman"/>
          <w:szCs w:val="24"/>
        </w:rPr>
        <w:t xml:space="preserve">through the Valley of Death and </w:t>
      </w:r>
      <w:r w:rsidRPr="00A138FC">
        <w:rPr>
          <w:rFonts w:cs="Times New Roman"/>
          <w:szCs w:val="24"/>
        </w:rPr>
        <w:t>to market.</w:t>
      </w:r>
      <w:r w:rsidR="003C5BA1">
        <w:rPr>
          <w:rFonts w:cs="Times New Roman"/>
          <w:szCs w:val="24"/>
        </w:rPr>
        <w:t xml:space="preserve"> </w:t>
      </w:r>
      <w:r w:rsidRPr="00A138FC">
        <w:rPr>
          <w:rFonts w:cs="Times New Roman"/>
          <w:szCs w:val="24"/>
        </w:rPr>
        <w:t xml:space="preserve">The first type of solution comes in the form of additional funding, either by a government or from a large corporation </w:t>
      </w:r>
      <w:r w:rsidR="00F645EA">
        <w:rPr>
          <w:rFonts w:cs="Times New Roman"/>
          <w:szCs w:val="24"/>
        </w:rPr>
        <w:t>performing internal</w:t>
      </w:r>
      <w:r w:rsidRPr="00A138FC">
        <w:rPr>
          <w:rFonts w:cs="Times New Roman"/>
          <w:szCs w:val="24"/>
        </w:rPr>
        <w:t xml:space="preserve"> research </w:t>
      </w:r>
      <w:r w:rsidR="00F645EA">
        <w:rPr>
          <w:rFonts w:cs="Times New Roman"/>
          <w:szCs w:val="24"/>
        </w:rPr>
        <w:t>and</w:t>
      </w:r>
      <w:r w:rsidRPr="00A138FC">
        <w:rPr>
          <w:rFonts w:cs="Times New Roman"/>
          <w:szCs w:val="24"/>
        </w:rPr>
        <w:t xml:space="preserve"> development. In the case of renewable energy, government </w:t>
      </w:r>
      <w:r w:rsidR="00F645EA">
        <w:rPr>
          <w:rFonts w:cs="Times New Roman"/>
          <w:szCs w:val="24"/>
        </w:rPr>
        <w:t>support may be essential for commercialization</w:t>
      </w:r>
      <w:r w:rsidRPr="00A138FC">
        <w:rPr>
          <w:rFonts w:cs="Times New Roman"/>
          <w:szCs w:val="24"/>
        </w:rPr>
        <w:t xml:space="preserve">. </w:t>
      </w:r>
      <w:r w:rsidRPr="00A138FC">
        <w:rPr>
          <w:rFonts w:cs="Times New Roman"/>
          <w:szCs w:val="24"/>
        </w:rPr>
        <w:lastRenderedPageBreak/>
        <w:t xml:space="preserve">While it is difficult for firms to profit from these products in the early stages, the innovation is doubly important to society because it both adds technologically sound solutions to the market and has a positive environmental impact </w:t>
      </w:r>
      <w:r w:rsidRPr="00A138FC">
        <w:rPr>
          <w:rFonts w:cs="Times New Roman"/>
          <w:szCs w:val="24"/>
        </w:rPr>
        <w:fldChar w:fldCharType="begin"/>
      </w:r>
      <w:r w:rsidR="00F61BDD">
        <w:rPr>
          <w:rFonts w:cs="Times New Roman"/>
          <w:szCs w:val="24"/>
        </w:rPr>
        <w:instrText xml:space="preserve"> ADDIN ZOTERO_ITEM CSL_CITATION {"citationID":"NWiLuBHZ","properties":{"formattedCitation":"(11)","plainCitation":"(11)","noteIndex":0},"citationItems":[{"id":2699,"uris":["http://zotero.org/groups/2185154/items/KSPIEFI2"],"uri":["http://zotero.org/groups/2185154/items/KSPIEFI2"],"itemData":{"id":2699,"type":"article-journal","title":"Solar feed-in tariffs in a post-grid parity world: The role of risk, investor diversity and business models","container-title":"Energy Policy","page":"445-456","volume":"106","source":"ScienceDirect","abstract":"Over the past decade, feed-in tariffs have spurred significant deployment of solar photovoltaics in Germany and other countries. With recent cost trends, several countries are approaching retail grid parity. Some policymakers conclude that now is the time to remove feed-in tariffs, as grid parity creates a self-sustaining market, where economically rational investors will invest even in the absence of government incentives. Recent experience in key European solar markets, however, shows that with the advent of grid parity and the reduction of feed-in tariffs, investment in new solar capacity has decreased rather than increased, making it questionable whether low-carbon energy policy targets will be reached. We conduct a cross-case study analysis of three PV markets – Germany, Italy and Switzerland – to investigate the role of feed-in tariffs for the near- and post-grid parity stages of diffusion, accounting for investor diversity and distinguishing between implications for revenue-based and savings-based business models. We find that recent market trends are strongly driven by increased levels of risk, especially policy risk and exposure to revenue risk. We therefore suggest that relatively frugal but stable policy environments may be conducive to further growth of investment in photovoltaics and minimize cost to society.","DOI":"10.1016/j.enpol.2017.04.005","ISSN":"0301-4215","title-short":"Solar feed-in tariffs in a post-grid parity world","journalAbbreviation":"Energy Policy","author":[{"family":"Karneyeva","given":"Yuliya"},{"family":"Wüstenhagen","given":"Rolf"}],"issued":{"date-parts":[["2017",7,1]]}}}],"schema":"https://github.com/citation-style-language/schema/raw/master/csl-citation.json"} </w:instrText>
      </w:r>
      <w:r w:rsidRPr="00A138FC">
        <w:rPr>
          <w:rFonts w:cs="Times New Roman"/>
          <w:szCs w:val="24"/>
        </w:rPr>
        <w:fldChar w:fldCharType="separate"/>
      </w:r>
      <w:r w:rsidR="00F61BDD" w:rsidRPr="00F61BDD">
        <w:rPr>
          <w:rFonts w:cs="Times New Roman"/>
        </w:rPr>
        <w:t>(11)</w:t>
      </w:r>
      <w:r w:rsidRPr="00A138FC">
        <w:rPr>
          <w:rFonts w:cs="Times New Roman"/>
          <w:szCs w:val="24"/>
        </w:rPr>
        <w:fldChar w:fldCharType="end"/>
      </w:r>
      <w:r w:rsidRPr="00A138FC">
        <w:rPr>
          <w:rFonts w:cs="Times New Roman"/>
          <w:szCs w:val="24"/>
        </w:rPr>
        <w:t xml:space="preserve">. If this reasoning is extended to the private industry, it is wise for companies to invest now in products that will be profitable and environmentally beneficial in the future. </w:t>
      </w:r>
    </w:p>
    <w:p w14:paraId="7EFBF740" w14:textId="50C0EEEB" w:rsidR="00E0498E" w:rsidRDefault="00E0498E" w:rsidP="00DF46C7">
      <w:pPr>
        <w:rPr>
          <w:rFonts w:cs="Times New Roman"/>
          <w:szCs w:val="24"/>
        </w:rPr>
      </w:pPr>
      <w:proofErr w:type="gramStart"/>
      <w:r>
        <w:rPr>
          <w:rFonts w:cs="Times New Roman"/>
          <w:szCs w:val="24"/>
        </w:rPr>
        <w:t>Also</w:t>
      </w:r>
      <w:proofErr w:type="gramEnd"/>
      <w:r>
        <w:rPr>
          <w:rFonts w:cs="Times New Roman"/>
          <w:szCs w:val="24"/>
        </w:rPr>
        <w:t xml:space="preserve"> important to overcoming the Valley of Death problem are </w:t>
      </w:r>
      <w:r w:rsidR="006A5DE7">
        <w:rPr>
          <w:rFonts w:cs="Times New Roman"/>
          <w:szCs w:val="24"/>
        </w:rPr>
        <w:t xml:space="preserve">macro-scale </w:t>
      </w:r>
      <w:r>
        <w:rPr>
          <w:rFonts w:cs="Times New Roman"/>
          <w:szCs w:val="24"/>
        </w:rPr>
        <w:t>organizational relationships</w:t>
      </w:r>
      <w:r w:rsidR="006A5DE7">
        <w:rPr>
          <w:rFonts w:cs="Times New Roman"/>
          <w:szCs w:val="24"/>
        </w:rPr>
        <w:t xml:space="preserve"> at the city, state or national level</w:t>
      </w:r>
      <w:r>
        <w:rPr>
          <w:rFonts w:cs="Times New Roman"/>
          <w:szCs w:val="24"/>
        </w:rPr>
        <w:t>.</w:t>
      </w:r>
      <w:r w:rsidR="00A138FC" w:rsidRPr="00A138FC">
        <w:rPr>
          <w:rFonts w:cs="Times New Roman"/>
          <w:szCs w:val="24"/>
        </w:rPr>
        <w:t xml:space="preserve"> </w:t>
      </w:r>
      <w:r>
        <w:rPr>
          <w:rFonts w:cs="Times New Roman"/>
          <w:szCs w:val="24"/>
        </w:rPr>
        <w:t xml:space="preserve">Collaborations between academia, industry and government can enable entrepreneurial hotspots such as Boston and the Bay Area that support and advance innovation. </w:t>
      </w:r>
      <w:r w:rsidR="00B07C06">
        <w:rPr>
          <w:rFonts w:cs="Times New Roman"/>
          <w:szCs w:val="24"/>
        </w:rPr>
        <w:fldChar w:fldCharType="begin"/>
      </w:r>
      <w:r w:rsidR="00B07C06">
        <w:rPr>
          <w:rFonts w:cs="Times New Roman"/>
          <w:szCs w:val="24"/>
        </w:rPr>
        <w:instrText xml:space="preserve"> ADDIN ZOTERO_ITEM CSL_CITATION {"citationID":"g2EUxJHc","properties":{"formattedCitation":"(12)","plainCitation":"(12)","noteIndex":0},"citationItems":[{"id":2679,"uris":["http://zotero.org/groups/2185154/items/5NKWY5F8"],"uri":["http://zotero.org/groups/2185154/items/5NKWY5F8"],"itemData":{"id":2679,"type":"article-journal","title":"The new visible hand: An assisted linear model of science and innovation policy","container-title":"Science and Public Policy","page":"310-320","volume":"33","issue":"5","source":"academic.oup.com","abstract":"Abstract.  Science-based innovation is realized through a triple helix of university-industry-government relations. Interaction among triple helix actors in the","DOI":"10.3152/147154306781778911","ISSN":"0302-3427","title-short":"The new visible hand","journalAbbreviation":"Sci Public Policy","language":"en","author":[{"family":"Etzkowitz","given":"Henry"}],"issued":{"date-parts":[["2006",6,1]]}}}],"schema":"https://github.com/citation-style-language/schema/raw/master/csl-citation.json"} </w:instrText>
      </w:r>
      <w:r w:rsidR="00B07C06">
        <w:rPr>
          <w:rFonts w:cs="Times New Roman"/>
          <w:szCs w:val="24"/>
        </w:rPr>
        <w:fldChar w:fldCharType="separate"/>
      </w:r>
      <w:r w:rsidR="00B07C06" w:rsidRPr="00B07C06">
        <w:rPr>
          <w:rFonts w:cs="Times New Roman"/>
        </w:rPr>
        <w:t>(12)</w:t>
      </w:r>
      <w:r w:rsidR="00B07C06">
        <w:rPr>
          <w:rFonts w:cs="Times New Roman"/>
          <w:szCs w:val="24"/>
        </w:rPr>
        <w:fldChar w:fldCharType="end"/>
      </w:r>
      <w:r w:rsidR="00B07C06">
        <w:rPr>
          <w:rFonts w:cs="Times New Roman"/>
          <w:szCs w:val="24"/>
        </w:rPr>
        <w:t xml:space="preserve"> Each of the three spheres supports the others through funding, research and development, and training in a synergistic relationship. </w:t>
      </w:r>
    </w:p>
    <w:p w14:paraId="633A1F30" w14:textId="65965AFA" w:rsidR="00B07C06" w:rsidRDefault="00B07C06" w:rsidP="00DF46C7">
      <w:pPr>
        <w:rPr>
          <w:rFonts w:cs="Times New Roman"/>
          <w:szCs w:val="24"/>
        </w:rPr>
      </w:pPr>
      <w:r>
        <w:rPr>
          <w:rFonts w:cs="Times New Roman"/>
          <w:szCs w:val="24"/>
        </w:rPr>
        <w:t xml:space="preserve">Within an organization, there are several informal roles that </w:t>
      </w:r>
      <w:r w:rsidR="006A5DE7">
        <w:rPr>
          <w:rFonts w:cs="Times New Roman"/>
          <w:szCs w:val="24"/>
        </w:rPr>
        <w:t>will increase the chances of a product making it</w:t>
      </w:r>
      <w:r>
        <w:rPr>
          <w:rFonts w:cs="Times New Roman"/>
          <w:szCs w:val="24"/>
        </w:rPr>
        <w:t xml:space="preserve"> through the Valley of Death</w:t>
      </w:r>
      <w:r w:rsidR="006A5DE7">
        <w:rPr>
          <w:rFonts w:cs="Times New Roman"/>
          <w:szCs w:val="24"/>
        </w:rPr>
        <w:t xml:space="preserve">: a champion, a </w:t>
      </w:r>
      <w:proofErr w:type="gramStart"/>
      <w:r w:rsidR="006A5DE7">
        <w:rPr>
          <w:rFonts w:cs="Times New Roman"/>
          <w:szCs w:val="24"/>
        </w:rPr>
        <w:t>sponsor</w:t>
      </w:r>
      <w:proofErr w:type="gramEnd"/>
      <w:r w:rsidR="006A5DE7">
        <w:rPr>
          <w:rFonts w:cs="Times New Roman"/>
          <w:szCs w:val="24"/>
        </w:rPr>
        <w:t xml:space="preserve"> and a gatekeeper. Champions adopt and advocate for a product; sponsors sanction the project and secure resources; and gatekeepers establish success criteria and are responsible for planning the project’s future. </w:t>
      </w:r>
      <w:r w:rsidR="006A5DE7" w:rsidRPr="00A138FC">
        <w:rPr>
          <w:rFonts w:cs="Times New Roman"/>
          <w:szCs w:val="24"/>
        </w:rPr>
        <w:fldChar w:fldCharType="begin"/>
      </w:r>
      <w:r w:rsidR="006A5DE7">
        <w:rPr>
          <w:rFonts w:cs="Times New Roman"/>
          <w:szCs w:val="24"/>
        </w:rPr>
        <w:instrText xml:space="preserve"> ADDIN ZOTERO_ITEM CSL_CITATION {"citationID":"PVrXLFIz","properties":{"formattedCitation":"(7)","plainCitation":"(7)","noteIndex":0},"citationItems":[{"id":2664,"uris":["http://zotero.org/groups/2185154/items/SQNE77J9"],"uri":["http://zotero.org/groups/2185154/items/SQNE77J9"],"itemData":{"id":2664,"type":"article-journal","title":"The Valley of Death as Context for Role Theory in Product Innovation","container-title":"Journal of Product Innovation Management","page":"402-417","volume":"27","issue":"3","source":"Wiley Online Library","abstract":"The purpose of this paper is to define and explain the front end of product innovation as a discrete segment of development between research and product development. The Valley of Death is used as a metaphor to describe the relative lack of resources and expertise in this area of development. The metaphor suggests that there are relative more resources on one side of the valley in the form of research expertise and on the other side by commercialization expertise and resources. Within this valley a set of interlocking roles are examined that move projects from one side to the other. The empirical methodology used in this study gathered data from 272 Product Development &amp; Management Association (PDMA) members with extensive experience in the front end of product development using a Web-based survey instrument. Extensive pretests with experienced practitioners were conducted to develop the instrument. Results indicate that significant development takes place before projects enter into a firm's formal product development process. The data also support the roles of champion, sponsor, and gatekeeper as major actors that work together to develop and promote projects for introduction into the formal process. Champions make the organization aware of opportunities by conceptualizing the idea and preparing business cases. Sponsors support the development of promising ideas by providing resources to demonstrate the project's viability. Gatekeepers set criteria and make acceptance decisions. The data also reveal a dynamic interdependence between role players. It is concluded that the Valley of Death is a productive tool for identifying and understanding a critical area of development that has not been adequately addressed. This research finds a dynamic interplay between roles to accomplish tasks that are not well understood in practice or the literature. The implications of this research are far-ranging. It suggests that companies must understand the challenges in the valley, must develop the skills, and must make resources available to master the front end of product innovation. Recognizing roles, providing resources, and establishing expectations and accountability in this area of development become manageable in light of these results. Theoretically, this research informs role theory of a dynamic set of relationships previously treated as static. It also empirically investigates an area of product development where there is limited data. This paper opens profitable inquiries by focusing on an area of development not adequately researched yet drives the activities and investment made in subsequent steps of product development.","DOI":"10.1111/j.1540-5885.2010.00724.x","ISSN":"1540-5885","language":"en","author":[{"family":"Markham","given":"Stephen K."},{"family":"Ward","given":"Stephen J."},{"family":"Aiman‐Smith","given":"Lynda"},{"family":"Kingon","given":"Angus I."}],"issued":{"date-parts":[["2010"]]}}}],"schema":"https://github.com/citation-style-language/schema/raw/master/csl-citation.json"} </w:instrText>
      </w:r>
      <w:r w:rsidR="006A5DE7" w:rsidRPr="00A138FC">
        <w:rPr>
          <w:rFonts w:cs="Times New Roman"/>
          <w:szCs w:val="24"/>
        </w:rPr>
        <w:fldChar w:fldCharType="separate"/>
      </w:r>
      <w:r w:rsidR="006A5DE7" w:rsidRPr="00F61BDD">
        <w:rPr>
          <w:rFonts w:cs="Times New Roman"/>
        </w:rPr>
        <w:t>(7)</w:t>
      </w:r>
      <w:r w:rsidR="006A5DE7" w:rsidRPr="00A138FC">
        <w:rPr>
          <w:rFonts w:cs="Times New Roman"/>
          <w:szCs w:val="24"/>
        </w:rPr>
        <w:fldChar w:fldCharType="end"/>
      </w:r>
      <w:r w:rsidR="006A5DE7">
        <w:rPr>
          <w:rFonts w:cs="Times New Roman"/>
          <w:szCs w:val="24"/>
        </w:rPr>
        <w:t xml:space="preserve"> There tends to be overlap among the roles – for instance, a technology developer could be both a champion and a gatekeeper. Each role is important to the development process; however, equally if not more important is that business</w:t>
      </w:r>
      <w:r w:rsidR="006A5DE7" w:rsidRPr="006A5DE7">
        <w:rPr>
          <w:rFonts w:cs="Times New Roman"/>
          <w:szCs w:val="24"/>
        </w:rPr>
        <w:t xml:space="preserve"> </w:t>
      </w:r>
      <w:r w:rsidR="006A5DE7" w:rsidRPr="00A138FC">
        <w:rPr>
          <w:rFonts w:cs="Times New Roman"/>
          <w:szCs w:val="24"/>
        </w:rPr>
        <w:t xml:space="preserve">development activities occur early in the innovation </w:t>
      </w:r>
      <w:proofErr w:type="gramStart"/>
      <w:r w:rsidR="006A5DE7" w:rsidRPr="00A138FC">
        <w:rPr>
          <w:rFonts w:cs="Times New Roman"/>
          <w:szCs w:val="24"/>
        </w:rPr>
        <w:t>cycle, before</w:t>
      </w:r>
      <w:proofErr w:type="gramEnd"/>
      <w:r w:rsidR="006A5DE7" w:rsidRPr="00A138FC">
        <w:rPr>
          <w:rFonts w:cs="Times New Roman"/>
          <w:szCs w:val="24"/>
        </w:rPr>
        <w:t xml:space="preserve"> formal new product development processes take place.</w:t>
      </w:r>
    </w:p>
    <w:p w14:paraId="542D1192" w14:textId="20B5DB97" w:rsidR="00E7314C" w:rsidRDefault="00E7314C" w:rsidP="00DF46C7">
      <w:pPr>
        <w:rPr>
          <w:rFonts w:cs="Times New Roman"/>
          <w:szCs w:val="24"/>
        </w:rPr>
      </w:pPr>
      <w:r>
        <w:rPr>
          <w:rFonts w:cs="Times New Roman"/>
          <w:szCs w:val="24"/>
        </w:rPr>
        <w:t xml:space="preserve">Finally, it is critical to a product’s eventual success that a commercialization strategy be developed and maintained throughout the technology development process. </w:t>
      </w:r>
      <w:r>
        <w:rPr>
          <w:rFonts w:cs="Times New Roman"/>
          <w:szCs w:val="24"/>
        </w:rPr>
        <w:fldChar w:fldCharType="begin"/>
      </w:r>
      <w:r>
        <w:rPr>
          <w:rFonts w:cs="Times New Roman"/>
          <w:szCs w:val="24"/>
        </w:rPr>
        <w:instrText xml:space="preserve"> ADDIN ZOTERO_ITEM CSL_CITATION {"citationID":"2fwRyo09","properties":{"formattedCitation":"(9)","plainCitation":"(9)","noteIndex":0},"citationItems":[{"id":2714,"uris":["http://zotero.org/groups/2185154/items/V85KUWIT"],"uri":["http://zotero.org/groups/2185154/items/V85KUWIT"],"itemData":{"id":2714,"type":"report","title":"From Invention to Innovation","publisher":"National Renewable Energy Laboratory, Golden, CO (US)","source":"www.osti.gov","abstract":"The U.S. Department of Energy's Office of Scientific and Technical Information","URL":"https://www.osti.gov/biblio/757073-from-invention-innovation","number":"NREL/BR-330-26620; DOE/GO-10099-810","language":"English","author":[{"family":"Rorke","given":"M."}],"issued":{"date-parts":[["2000",7,18]]},"accessed":{"date-parts":[["2019",7,31]]}}}],"schema":"https://github.com/citation-style-language/schema/raw/master/csl-citation.json"} </w:instrText>
      </w:r>
      <w:r>
        <w:rPr>
          <w:rFonts w:cs="Times New Roman"/>
          <w:szCs w:val="24"/>
        </w:rPr>
        <w:fldChar w:fldCharType="separate"/>
      </w:r>
      <w:r w:rsidRPr="00E7314C">
        <w:rPr>
          <w:rFonts w:cs="Times New Roman"/>
        </w:rPr>
        <w:t>(9)</w:t>
      </w:r>
      <w:r>
        <w:rPr>
          <w:rFonts w:cs="Times New Roman"/>
          <w:szCs w:val="24"/>
        </w:rPr>
        <w:fldChar w:fldCharType="end"/>
      </w:r>
      <w:r>
        <w:rPr>
          <w:rFonts w:cs="Times New Roman"/>
          <w:szCs w:val="24"/>
        </w:rPr>
        <w:t xml:space="preserve"> Developers and innovators, particularly those working on their own as opposed to internally to an established firm, must be able to reach and communicate with venture capitalists and potential business partners. </w:t>
      </w:r>
    </w:p>
    <w:p w14:paraId="7E48EEA4" w14:textId="2610605E" w:rsidR="00A138FC" w:rsidRPr="00A138FC" w:rsidRDefault="00A138FC" w:rsidP="00DF46C7">
      <w:pPr>
        <w:rPr>
          <w:rFonts w:cs="Times New Roman"/>
          <w:szCs w:val="24"/>
        </w:rPr>
      </w:pPr>
      <w:r w:rsidRPr="00A138FC">
        <w:rPr>
          <w:rFonts w:cs="Times New Roman"/>
          <w:szCs w:val="24"/>
        </w:rPr>
        <w:t xml:space="preserve">Throughout the literature that describes the </w:t>
      </w:r>
      <w:r w:rsidR="00EE47E9">
        <w:rPr>
          <w:rFonts w:cs="Times New Roman"/>
          <w:szCs w:val="24"/>
        </w:rPr>
        <w:t>Valley of Death</w:t>
      </w:r>
      <w:r w:rsidRPr="00A138FC">
        <w:rPr>
          <w:rFonts w:cs="Times New Roman"/>
          <w:szCs w:val="24"/>
        </w:rPr>
        <w:t xml:space="preserve"> several themes emerge</w:t>
      </w:r>
      <w:r w:rsidR="00EE47E9">
        <w:rPr>
          <w:rFonts w:cs="Times New Roman"/>
          <w:szCs w:val="24"/>
        </w:rPr>
        <w:t>:</w:t>
      </w:r>
    </w:p>
    <w:p w14:paraId="4EF81458" w14:textId="77777777" w:rsidR="00A138FC" w:rsidRPr="00DF46C7" w:rsidRDefault="00A138FC" w:rsidP="00DF46C7">
      <w:pPr>
        <w:pStyle w:val="ListParagraph"/>
        <w:numPr>
          <w:ilvl w:val="0"/>
          <w:numId w:val="7"/>
        </w:numPr>
      </w:pPr>
      <w:r w:rsidRPr="00DF46C7">
        <w:t xml:space="preserve">Heavy investment in basic research may promote the development of more ideas than the market can sustain. </w:t>
      </w:r>
    </w:p>
    <w:p w14:paraId="1E315D18" w14:textId="77777777" w:rsidR="00A138FC" w:rsidRPr="00DF46C7" w:rsidRDefault="00A138FC" w:rsidP="00DF46C7">
      <w:pPr>
        <w:pStyle w:val="ListParagraph"/>
        <w:numPr>
          <w:ilvl w:val="0"/>
          <w:numId w:val="7"/>
        </w:numPr>
      </w:pPr>
      <w:r w:rsidRPr="00DF46C7">
        <w:t xml:space="preserve">Funding is more difficult to obtain in the intermediate stages of product development than in the early and later stages. </w:t>
      </w:r>
    </w:p>
    <w:p w14:paraId="66CD357D" w14:textId="2EDDE16C" w:rsidR="00A138FC" w:rsidRPr="00DF46C7" w:rsidRDefault="00EE47E9" w:rsidP="00DF46C7">
      <w:pPr>
        <w:pStyle w:val="ListParagraph"/>
        <w:numPr>
          <w:ilvl w:val="0"/>
          <w:numId w:val="7"/>
        </w:numPr>
      </w:pPr>
      <w:r>
        <w:t>U</w:t>
      </w:r>
      <w:r w:rsidR="00A138FC" w:rsidRPr="00DF46C7">
        <w:t xml:space="preserve">nderinvestment </w:t>
      </w:r>
      <w:r>
        <w:t xml:space="preserve">in stages past basic research </w:t>
      </w:r>
      <w:r w:rsidR="00A138FC" w:rsidRPr="00DF46C7">
        <w:t>is particularly a problem for products with benefits that are realized over the long term or cannot be monetarily quantified.</w:t>
      </w:r>
    </w:p>
    <w:p w14:paraId="6989D918" w14:textId="77777777" w:rsidR="00A138FC" w:rsidRPr="00DF46C7" w:rsidRDefault="00A138FC" w:rsidP="00DF46C7">
      <w:pPr>
        <w:pStyle w:val="ListParagraph"/>
        <w:numPr>
          <w:ilvl w:val="0"/>
          <w:numId w:val="7"/>
        </w:numPr>
      </w:pPr>
      <w:r w:rsidRPr="00DF46C7">
        <w:t xml:space="preserve">Communication and planning are essential and can be even more important than technical merit in carrying a product to market. </w:t>
      </w:r>
    </w:p>
    <w:p w14:paraId="685A6201" w14:textId="77777777" w:rsidR="00A138FC" w:rsidRPr="00DF46C7" w:rsidRDefault="00A138FC" w:rsidP="00DF46C7">
      <w:pPr>
        <w:pStyle w:val="ListParagraph"/>
        <w:numPr>
          <w:ilvl w:val="0"/>
          <w:numId w:val="7"/>
        </w:numPr>
      </w:pPr>
      <w:r w:rsidRPr="00DF46C7">
        <w:t xml:space="preserve">Each individual, organization, and department </w:t>
      </w:r>
      <w:proofErr w:type="gramStart"/>
      <w:r w:rsidRPr="00DF46C7">
        <w:t>has</w:t>
      </w:r>
      <w:proofErr w:type="gramEnd"/>
      <w:r w:rsidRPr="00DF46C7">
        <w:t xml:space="preserve"> a role to play and successful collaboration is needed, as roles often overlap. </w:t>
      </w:r>
    </w:p>
    <w:p w14:paraId="18C204C4" w14:textId="7E828786" w:rsidR="005A2A9D" w:rsidRPr="009A7EF7" w:rsidRDefault="00A138FC" w:rsidP="00DF46C7">
      <w:r w:rsidRPr="00A138FC">
        <w:t xml:space="preserve">Engaging in business development activities early will help to ensure that 1) the project is will be supported by the market in the first place 2) it can be successfully sold to the business professionals who will need to “buy in” and provide funding or expertise. </w:t>
      </w:r>
    </w:p>
    <w:p w14:paraId="629B04EA" w14:textId="1AACBD02" w:rsidR="005A2A9D" w:rsidRDefault="005A2A9D" w:rsidP="005A2A9D">
      <w:pPr>
        <w:pStyle w:val="Heading2"/>
      </w:pPr>
      <w:r>
        <w:lastRenderedPageBreak/>
        <w:t>Direct replacement and performance advantaged bioproducts</w:t>
      </w:r>
    </w:p>
    <w:p w14:paraId="6830CD57" w14:textId="558E002E" w:rsidR="002A34AF" w:rsidRDefault="002A34AF" w:rsidP="005A2A9D">
      <w:r>
        <w:t xml:space="preserve">Direct replacement bioproducts are identical to fossil-derived products already on the market. Such bioproducts are the same molecule or mixtures already on the market, with identical physical, </w:t>
      </w:r>
      <w:proofErr w:type="gramStart"/>
      <w:r>
        <w:t>thermodynamic</w:t>
      </w:r>
      <w:proofErr w:type="gramEnd"/>
      <w:r>
        <w:t xml:space="preserve"> and chemical properties as the incumbent product. Barring any quality issues or contaminants, direct replacement bioproducts can be swapped out for the incumbent fossil-derived products with no impact on downstream processing and manufacturing stages. The incentive for purchasing direct replacement bioproducts lies almost entirely in the cost difference between the bioproduct and the incumbent product. Obstacles to firms purchasing a direct replacement bioproduct include reluctance to rely on relatively new and potentially unstable supply chains and concerns with contaminants or general quality issues. If the bioproduct does not have a cost advantage over the incumbent product, that creates an additional obstacle. One way bioproduct firms mitigate these risks is with offtake agreements established in advance of commercialization: the purchaser, amount to purchase and price are all set beforehand, in some cases before bioproduct manufacturing capacity has been built and is operational. In the case that an offtake agreement cannot be established, firms will often decide not to pursue construction of a commercial scale bioproduct plant.</w:t>
      </w:r>
    </w:p>
    <w:p w14:paraId="6FDBBB42" w14:textId="3EB7184C" w:rsidR="005A2A9D" w:rsidRPr="005A2A9D" w:rsidRDefault="00B33646" w:rsidP="005A2A9D">
      <w:r>
        <w:t xml:space="preserve">Performance advantaged bioproducts are functionally </w:t>
      </w:r>
      <w:proofErr w:type="gramStart"/>
      <w:r>
        <w:t>similar to</w:t>
      </w:r>
      <w:proofErr w:type="gramEnd"/>
      <w:r>
        <w:t xml:space="preserve"> incumbent products, but may have different chemical makeups and different chemical, thermodynamic and/or physical properties. These different properties give some advantage to the bioproduct; for instance, a performance advantaged cleaning agent might require smaller amounts than the incumbent product, reducing consumption and therefore costs for the purchaser. Purchasers must balance the performance advantage offered by the bioproduct with the disruption to downstream operations.</w:t>
      </w:r>
    </w:p>
    <w:p w14:paraId="019434BE" w14:textId="6543E69C" w:rsidR="00DD693C" w:rsidRDefault="00DD693C" w:rsidP="00DD693C">
      <w:pPr>
        <w:pStyle w:val="Heading1"/>
      </w:pPr>
      <w:r>
        <w:t>Methods</w:t>
      </w:r>
    </w:p>
    <w:p w14:paraId="78F2E6DB" w14:textId="7FB1B33E" w:rsidR="00DD693C" w:rsidRDefault="00DD693C" w:rsidP="00DD693C">
      <w:pPr>
        <w:pStyle w:val="Heading2"/>
      </w:pPr>
      <w:r>
        <w:t>System dynamics</w:t>
      </w:r>
    </w:p>
    <w:p w14:paraId="54EF5481" w14:textId="32F00860" w:rsidR="0085739D" w:rsidRDefault="0085739D" w:rsidP="0085739D">
      <w:r>
        <w:t>As</w:t>
      </w:r>
      <w:r w:rsidRPr="00EA62EB">
        <w:t xml:space="preserve"> “simplifications of reality which can be used for guiding decisions for long term consequences</w:t>
      </w:r>
      <w:r>
        <w:t>,</w:t>
      </w:r>
      <w:r w:rsidRPr="00EA62EB">
        <w:t>”</w:t>
      </w:r>
      <w:r>
        <w:t xml:space="preserve"> models are often useful, however, they are never perfect</w:t>
      </w:r>
      <w:r w:rsidR="00483420">
        <w:t xml:space="preserve">. </w:t>
      </w:r>
      <w:r w:rsidR="00483420">
        <w:fldChar w:fldCharType="begin"/>
      </w:r>
      <w:r w:rsidR="00F61BDD">
        <w:instrText xml:space="preserve"> ADDIN ZOTERO_ITEM CSL_CITATION {"citationID":"YarhzSRr","properties":{"formattedCitation":"(13)","plainCitation":"(13)","noteIndex":0},"citationItems":[{"id":2823,"uris":["http://zotero.org/groups/2185154/items/EU8EH2FP"],"uri":["http://zotero.org/groups/2185154/items/EU8EH2FP"],"itemData":{"id":2823,"type":"article-journal","title":"Tools for Understanding the Limits to Growth: Comparing a Simulation and a Game","container-title":"Simulation &amp; Gaming","page":"522-536","volume":"32","issue":"4","source":"SAGE Journals","abstract":"During 30 years as a systems analyst and teacher, this author has been constructing models to understand and convey key principles related to the long-term causes and consequences of physical growth on the planet. In this article, he describes two different models that he has developed to accomplish these goals. One was employed as a computer simulation; the other functioned as an operational game. In comparing them, the author points out many differences between the two tools and indicates two important challenges for this profession.","DOI":"10.1177/104687810103200408","ISSN":"1046-8781","title-short":"Tools for Understanding the Limits to Growth","journalAbbreviation":"Simulation &amp; Gaming","language":"en","author":[{"family":"Meadows","given":"Dennis L."}],"issued":{"date-parts":[["2001",12,1]]}}}],"schema":"https://github.com/citation-style-language/schema/raw/master/csl-citation.json"} </w:instrText>
      </w:r>
      <w:r w:rsidR="00483420">
        <w:fldChar w:fldCharType="separate"/>
      </w:r>
      <w:r w:rsidR="00F61BDD" w:rsidRPr="00F61BDD">
        <w:rPr>
          <w:rFonts w:cs="Times New Roman"/>
        </w:rPr>
        <w:t>(13)</w:t>
      </w:r>
      <w:r w:rsidR="00483420">
        <w:fldChar w:fldCharType="end"/>
      </w:r>
      <w:r w:rsidR="00483420">
        <w:t xml:space="preserve"> </w:t>
      </w:r>
      <w:r>
        <w:t xml:space="preserve">Using a mental model, conceptualizing the repercussions of pressing one’s finger to a hot stove are easily enough grasped. A person feeling </w:t>
      </w:r>
      <w:r w:rsidRPr="00753BD2">
        <w:t>a</w:t>
      </w:r>
      <w:r>
        <w:t xml:space="preserve"> resulting</w:t>
      </w:r>
      <w:r w:rsidRPr="00753BD2">
        <w:t xml:space="preserve"> burn can accurately construct a mental model that states when a hot stove </w:t>
      </w:r>
      <w:r>
        <w:t xml:space="preserve">is touched painful burns </w:t>
      </w:r>
      <w:r w:rsidRPr="00753BD2">
        <w:t>occur.</w:t>
      </w:r>
      <w:r>
        <w:t xml:space="preserve"> </w:t>
      </w:r>
      <w:r w:rsidRPr="00753BD2">
        <w:t xml:space="preserve">Sometimes, however, causality </w:t>
      </w:r>
      <w:r>
        <w:t xml:space="preserve">is not so obvious and immediate. </w:t>
      </w:r>
      <w:r w:rsidRPr="00754C82">
        <w:t>When dealing with complex, dynamic systems, causality is often hidden in unseen feedback processes. To better understand causal structure of systems such as these, the special mode</w:t>
      </w:r>
      <w:r>
        <w:t>ling processes of the field of System D</w:t>
      </w:r>
      <w:r w:rsidRPr="00754C82">
        <w:t>ynami</w:t>
      </w:r>
      <w:r>
        <w:t xml:space="preserve">cs can be of extraordinary use. </w:t>
      </w:r>
    </w:p>
    <w:p w14:paraId="4B84FEF3" w14:textId="59F06A39" w:rsidR="0085739D" w:rsidRDefault="0085739D" w:rsidP="0085739D">
      <w:r w:rsidRPr="00754C82">
        <w:t>Developed in the early sixties by</w:t>
      </w:r>
      <w:r>
        <w:t xml:space="preserve"> systems thinker and computer scientist</w:t>
      </w:r>
      <w:r w:rsidRPr="00754C82">
        <w:t xml:space="preserve"> Ja</w:t>
      </w:r>
      <w:r>
        <w:t>y Wright Forrester, the computer-aided simulation approaches of System</w:t>
      </w:r>
      <w:r w:rsidRPr="00754C82">
        <w:t xml:space="preserve"> Dynamics are particularly suited to analyzing problems in dynamic social, managerial, economic, and ecological</w:t>
      </w:r>
      <w:r>
        <w:t xml:space="preserve"> systems.</w:t>
      </w:r>
      <w:r w:rsidR="00483420">
        <w:t xml:space="preserve"> </w:t>
      </w:r>
      <w:r w:rsidR="00483420">
        <w:fldChar w:fldCharType="begin"/>
      </w:r>
      <w:r w:rsidR="00F61BDD">
        <w:instrText xml:space="preserve"> ADDIN ZOTERO_ITEM CSL_CITATION {"citationID":"VsJzpYyR","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r>
        <w:t xml:space="preserve"> System</w:t>
      </w:r>
      <w:r w:rsidRPr="00754C82">
        <w:t xml:space="preserve"> dynamics concepts are advantageous in identifying the core structure of such systems as they incorporate holistic thinking, feedback loops, dynamic processes, nonlinearities, and </w:t>
      </w:r>
      <w:r w:rsidRPr="00754C82">
        <w:lastRenderedPageBreak/>
        <w:t>accumulations in the connections between variables</w:t>
      </w:r>
      <w:r>
        <w:t>. For this reason, system</w:t>
      </w:r>
      <w:r w:rsidRPr="00754C82">
        <w:t xml:space="preserve"> dynamics models are commonly used for policy analysis and design</w:t>
      </w:r>
      <w:r w:rsidR="00483420">
        <w:t xml:space="preserve">. </w:t>
      </w:r>
      <w:r w:rsidR="00483420">
        <w:fldChar w:fldCharType="begin"/>
      </w:r>
      <w:r w:rsidR="00F61BDD">
        <w:instrText xml:space="preserve"> ADDIN ZOTERO_ITEM CSL_CITATION {"citationID":"o73uUALe","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p>
    <w:p w14:paraId="48357B95" w14:textId="180EE054" w:rsidR="0085739D" w:rsidRDefault="0085739D" w:rsidP="0085739D">
      <w:r w:rsidRPr="00754C82">
        <w:t>T</w:t>
      </w:r>
      <w:r>
        <w:t>he basic components of a system</w:t>
      </w:r>
      <w:r w:rsidRPr="00754C82">
        <w:t xml:space="preserve"> dynamics model are constants, variables, flow rates, non- linear functions, stocks (levels), and the feedback loops comprised of these elements.</w:t>
      </w:r>
      <w:r w:rsidR="00483420">
        <w:t xml:space="preserve"> </w:t>
      </w:r>
      <w:r w:rsidR="00483420">
        <w:fldChar w:fldCharType="begin"/>
      </w:r>
      <w:r w:rsidR="00F61BDD">
        <w:instrText xml:space="preserve"> ADDIN ZOTERO_ITEM CSL_CITATION {"citationID":"C3fPrAKq","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r w:rsidRPr="00754C82">
        <w:t xml:space="preserve"> </w:t>
      </w:r>
      <w:r>
        <w:t>Because levels and rates capture the accumulations within a system, they are often the most critically studied portions of a system dynamics model.</w:t>
      </w:r>
      <w:r w:rsidR="00483420">
        <w:t xml:space="preserve"> </w:t>
      </w:r>
      <w:r w:rsidR="00483420">
        <w:fldChar w:fldCharType="begin"/>
      </w:r>
      <w:r w:rsidR="00F61BDD">
        <w:instrText xml:space="preserve"> ADDIN ZOTERO_ITEM CSL_CITATION {"citationID":"6bqIGVA8","properties":{"formattedCitation":"(15)","plainCitation":"(15)","noteIndex":0},"citationItems":[{"id":2810,"uris":["http://zotero.org/groups/2185154/items/RU5MITXN"],"uri":["http://zotero.org/groups/2185154/items/RU5MITXN"],"itemData":{"id":2810,"type":"article","title":"Market Growth as Influenced by Capital Investment","publisher":"Massachusetts Institute of Technology","abstract":"Growth and stagnation of a new product is taken as an example to show how the ideas of feedback structure can explain a common occurrence in market behavior. Very often early sales grow rapidly, only to level off even while the market demand continues to rise, as shown, by competitors capturing an increasing share of the market. One cause is found in the capital investment policy of the firm, as shown in a model involving salesmen, market reaction to delivery delay, and capital equipment expansion.","note":"Even though this is an old, famous, and foundational SD paper it is still of use to the BTD market portion because it contains basic structure for any market model.","title-short":"Market Growth as Influenced by Capital Investment","language":"English","author":[{"family":"Forrester","given":"Jay"}],"issued":{"date-parts":[["1972"]]}}}],"schema":"https://github.com/citation-style-language/schema/raw/master/csl-citation.json"} </w:instrText>
      </w:r>
      <w:r w:rsidR="00483420">
        <w:fldChar w:fldCharType="separate"/>
      </w:r>
      <w:r w:rsidR="00F61BDD" w:rsidRPr="00F61BDD">
        <w:rPr>
          <w:rFonts w:cs="Times New Roman"/>
        </w:rPr>
        <w:t>(15)</w:t>
      </w:r>
      <w:r w:rsidR="00483420">
        <w:fldChar w:fldCharType="end"/>
      </w:r>
      <w:r w:rsidR="00483420">
        <w:rPr>
          <w:rFonts w:cs="Times New Roman"/>
        </w:rPr>
        <w:t xml:space="preserve"> </w:t>
      </w:r>
      <w:r>
        <w:t xml:space="preserve">Mathematically, a level can be represented through integral calculus as: </w:t>
      </w:r>
    </w:p>
    <w:p w14:paraId="46D2CBA9" w14:textId="77777777" w:rsidR="0085739D" w:rsidRPr="003B7D5D" w:rsidRDefault="0085739D" w:rsidP="0085739D">
      <w:pPr>
        <w:jc w:val="center"/>
      </w:pPr>
      <w:r w:rsidRPr="003B7D5D">
        <w:rPr>
          <w:noProof/>
          <w:position w:val="-34"/>
        </w:rPr>
        <w:object w:dxaOrig="4080" w:dyaOrig="780" w14:anchorId="64C45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4pt;height:38.25pt;mso-width-percent:0;mso-height-percent:0;mso-width-percent:0;mso-height-percent:0" o:ole="">
            <v:imagedata r:id="rId8" o:title=""/>
          </v:shape>
          <o:OLEObject Type="Embed" ProgID="Equation.3" ShapeID="_x0000_i1025" DrawAspect="Content" ObjectID="_1660452586" r:id="rId9"/>
        </w:object>
      </w:r>
    </w:p>
    <w:p w14:paraId="1FDBE5A4" w14:textId="77777777" w:rsidR="0085739D" w:rsidRDefault="0085739D" w:rsidP="0085739D">
      <w:r>
        <w:t xml:space="preserve">and through differential calculus as: </w:t>
      </w:r>
    </w:p>
    <w:p w14:paraId="520596D9" w14:textId="77777777" w:rsidR="0085739D" w:rsidRDefault="0085739D" w:rsidP="0085739D">
      <w:pPr>
        <w:jc w:val="center"/>
      </w:pPr>
      <w:r w:rsidRPr="003B7D5D">
        <w:rPr>
          <w:noProof/>
          <w:position w:val="-24"/>
        </w:rPr>
        <w:object w:dxaOrig="2740" w:dyaOrig="620" w14:anchorId="5B4ECF8C">
          <v:shape id="_x0000_i1026" type="#_x0000_t75" alt="" style="width:137.95pt;height:30pt;mso-width-percent:0;mso-height-percent:0;mso-width-percent:0;mso-height-percent:0" o:ole="">
            <v:imagedata r:id="rId10" o:title=""/>
          </v:shape>
          <o:OLEObject Type="Embed" ProgID="Equation.3" ShapeID="_x0000_i1026" DrawAspect="Content" ObjectID="_1660452587" r:id="rId11"/>
        </w:object>
      </w:r>
    </w:p>
    <w:p w14:paraId="294026EE" w14:textId="5212E504" w:rsidR="0085739D" w:rsidRDefault="0085739D" w:rsidP="0085739D">
      <w:pPr>
        <w:rPr>
          <w:i/>
        </w:rPr>
      </w:pPr>
      <w:r>
        <w:t>Stock and flow architectures are used in many system dynamics models to represent accumulations, an example of which can be seen below in</w:t>
      </w:r>
      <w:r w:rsidR="0064366B">
        <w:t xml:space="preserve"> </w:t>
      </w:r>
      <w:r w:rsidR="0064366B">
        <w:fldChar w:fldCharType="begin"/>
      </w:r>
      <w:r w:rsidR="0064366B">
        <w:instrText xml:space="preserve"> REF _Ref20234222 \h </w:instrText>
      </w:r>
      <w:r w:rsidR="0064366B">
        <w:fldChar w:fldCharType="separate"/>
      </w:r>
      <w:r w:rsidR="004108A6">
        <w:t xml:space="preserve">Figure </w:t>
      </w:r>
      <w:r w:rsidR="004108A6">
        <w:rPr>
          <w:noProof/>
        </w:rPr>
        <w:t>1</w:t>
      </w:r>
      <w:r w:rsidR="0064366B">
        <w:fldChar w:fldCharType="end"/>
      </w:r>
      <w:r w:rsidR="0064366B">
        <w:t>.</w:t>
      </w:r>
    </w:p>
    <w:p w14:paraId="408D43E5" w14:textId="77777777" w:rsidR="0064366B" w:rsidRDefault="0085739D" w:rsidP="0064366B">
      <w:pPr>
        <w:keepNext/>
      </w:pPr>
      <w:r w:rsidRPr="003B7D5D">
        <w:rPr>
          <w:noProof/>
        </w:rPr>
        <w:drawing>
          <wp:inline distT="0" distB="0" distL="0" distR="0" wp14:anchorId="29725E35" wp14:editId="2394DD9D">
            <wp:extent cx="5942812" cy="1076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
                      <a:extLst>
                        <a:ext uri="{28A0092B-C50C-407E-A947-70E740481C1C}">
                          <a14:useLocalDpi xmlns:a14="http://schemas.microsoft.com/office/drawing/2010/main" val="0"/>
                        </a:ext>
                      </a:extLst>
                    </a:blip>
                    <a:srcRect b="28299"/>
                    <a:stretch/>
                  </pic:blipFill>
                  <pic:spPr bwMode="auto">
                    <a:xfrm>
                      <a:off x="0" y="0"/>
                      <a:ext cx="5943600" cy="1076468"/>
                    </a:xfrm>
                    <a:prstGeom prst="rect">
                      <a:avLst/>
                    </a:prstGeom>
                    <a:noFill/>
                    <a:ln>
                      <a:noFill/>
                    </a:ln>
                    <a:extLst>
                      <a:ext uri="{53640926-AAD7-44D8-BBD7-CCE9431645EC}">
                        <a14:shadowObscured xmlns:a14="http://schemas.microsoft.com/office/drawing/2010/main"/>
                      </a:ext>
                    </a:extLst>
                  </pic:spPr>
                </pic:pic>
              </a:graphicData>
            </a:graphic>
          </wp:inline>
        </w:drawing>
      </w:r>
    </w:p>
    <w:p w14:paraId="1D224737" w14:textId="03495C9D" w:rsidR="0085739D" w:rsidRDefault="0064366B" w:rsidP="0064366B">
      <w:pPr>
        <w:pStyle w:val="Caption"/>
        <w:rPr>
          <w:i/>
        </w:rPr>
      </w:pPr>
      <w:bookmarkStart w:id="1" w:name="_Ref20234222"/>
      <w:r>
        <w:t xml:space="preserve">Figure </w:t>
      </w:r>
      <w:r>
        <w:fldChar w:fldCharType="begin"/>
      </w:r>
      <w:r>
        <w:instrText>SEQ Figure \* ARABIC</w:instrText>
      </w:r>
      <w:r>
        <w:fldChar w:fldCharType="separate"/>
      </w:r>
      <w:r w:rsidR="004108A6">
        <w:rPr>
          <w:noProof/>
        </w:rPr>
        <w:t>1</w:t>
      </w:r>
      <w:r>
        <w:fldChar w:fldCharType="end"/>
      </w:r>
      <w:bookmarkEnd w:id="1"/>
      <w:r>
        <w:t xml:space="preserve">. </w:t>
      </w:r>
      <w:r w:rsidRPr="00F0122F">
        <w:t>A visual representation of a stock and flow architecture within a system dynamics model. Rates can be seen in both the inflow to and outflow from the level. The difference between the inflow rate and outflow rate determines whether the stock is increas</w:t>
      </w:r>
      <w:r>
        <w:t xml:space="preserve">ing or decreasing in size. </w:t>
      </w:r>
      <w:r>
        <w:fldChar w:fldCharType="begin"/>
      </w:r>
      <w:r w:rsidR="00F61BDD">
        <w:instrText xml:space="preserve"> ADDIN ZOTERO_ITEM CSL_CITATION {"citationID":"52esl3rN","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fldChar w:fldCharType="separate"/>
      </w:r>
      <w:r w:rsidR="00F61BDD" w:rsidRPr="00F61BDD">
        <w:rPr>
          <w:rFonts w:cs="Times New Roman"/>
        </w:rPr>
        <w:t>(14)</w:t>
      </w:r>
      <w:r>
        <w:fldChar w:fldCharType="end"/>
      </w:r>
    </w:p>
    <w:p w14:paraId="2CCA0423" w14:textId="41A2E977" w:rsidR="0085739D" w:rsidRDefault="0085739D" w:rsidP="0085739D">
      <w:r w:rsidRPr="00754C82">
        <w:t>Feedback lo</w:t>
      </w:r>
      <w:r>
        <w:t>ops exist when one action in a</w:t>
      </w:r>
      <w:r w:rsidRPr="00754C82">
        <w:t xml:space="preserve"> system creates informati</w:t>
      </w:r>
      <w:r>
        <w:t>on that travels in some cyclical</w:t>
      </w:r>
      <w:r w:rsidRPr="00754C82">
        <w:t xml:space="preserve"> fashion and returns to the point o</w:t>
      </w:r>
      <w:r>
        <w:t xml:space="preserve">f origin with momentum. The momentum with which the information restarts the loop may reinforce the </w:t>
      </w:r>
      <w:r w:rsidRPr="00754C82">
        <w:t>original action in the</w:t>
      </w:r>
      <w:r>
        <w:t xml:space="preserve"> system with greater strength </w:t>
      </w:r>
      <w:r w:rsidRPr="00754C82">
        <w:t xml:space="preserve">or </w:t>
      </w:r>
      <w:r>
        <w:t>counteract (balance) it</w:t>
      </w:r>
      <w:r w:rsidRPr="00754C82">
        <w:t>. Reinforcing loops perpetuate growth or accelerate collapse as they are destabilizing. Balancing loops tend to be goal-seeking and to stabilize the momentum of a system.</w:t>
      </w:r>
      <w:r>
        <w:t xml:space="preserve"> The stock and flow structure of a basic feedback loop can be seen below in </w:t>
      </w:r>
      <w:r w:rsidR="0064366B">
        <w:fldChar w:fldCharType="begin"/>
      </w:r>
      <w:r w:rsidR="0064366B">
        <w:instrText xml:space="preserve"> REF _Ref20234245 \h </w:instrText>
      </w:r>
      <w:r w:rsidR="0064366B">
        <w:fldChar w:fldCharType="separate"/>
      </w:r>
      <w:r w:rsidR="004108A6">
        <w:t xml:space="preserve">Figure </w:t>
      </w:r>
      <w:r w:rsidR="004108A6">
        <w:rPr>
          <w:noProof/>
        </w:rPr>
        <w:t>2</w:t>
      </w:r>
      <w:r w:rsidR="0064366B">
        <w:fldChar w:fldCharType="end"/>
      </w:r>
      <w:r w:rsidR="0064366B">
        <w:rPr>
          <w:iCs/>
        </w:rPr>
        <w:t xml:space="preserve"> </w:t>
      </w:r>
      <w:r>
        <w:t xml:space="preserve">within the context of goods production capital. </w:t>
      </w:r>
    </w:p>
    <w:p w14:paraId="5D0D8AE7" w14:textId="77777777" w:rsidR="0085739D" w:rsidRDefault="0085739D" w:rsidP="0085739D"/>
    <w:p w14:paraId="335A5171" w14:textId="77777777" w:rsidR="00B828F2" w:rsidRDefault="0085739D" w:rsidP="00B828F2">
      <w:pPr>
        <w:keepNext/>
        <w:widowControl w:val="0"/>
        <w:autoSpaceDE w:val="0"/>
        <w:autoSpaceDN w:val="0"/>
        <w:adjustRightInd w:val="0"/>
        <w:spacing w:line="280" w:lineRule="atLeast"/>
        <w:jc w:val="center"/>
      </w:pPr>
      <w:r>
        <w:rPr>
          <w:rFonts w:ascii="Times" w:hAnsi="Times" w:cs="Times"/>
          <w:noProof/>
          <w:color w:val="000000"/>
        </w:rPr>
        <w:lastRenderedPageBreak/>
        <w:drawing>
          <wp:inline distT="0" distB="0" distL="0" distR="0" wp14:anchorId="21069904" wp14:editId="15290526">
            <wp:extent cx="4906629" cy="36290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129" cy="3656021"/>
                    </a:xfrm>
                    <a:prstGeom prst="rect">
                      <a:avLst/>
                    </a:prstGeom>
                    <a:noFill/>
                    <a:ln>
                      <a:noFill/>
                    </a:ln>
                  </pic:spPr>
                </pic:pic>
              </a:graphicData>
            </a:graphic>
          </wp:inline>
        </w:drawing>
      </w:r>
    </w:p>
    <w:p w14:paraId="6B96B81A" w14:textId="7B2BFE26" w:rsidR="0085739D" w:rsidRDefault="00B828F2" w:rsidP="00B828F2">
      <w:pPr>
        <w:pStyle w:val="Caption"/>
        <w:jc w:val="center"/>
        <w:rPr>
          <w:rFonts w:ascii="Times" w:hAnsi="Times" w:cs="Times"/>
          <w:color w:val="000000"/>
        </w:rPr>
      </w:pPr>
      <w:bookmarkStart w:id="2" w:name="_Ref20234245"/>
      <w:r>
        <w:t xml:space="preserve">Figure </w:t>
      </w:r>
      <w:r>
        <w:fldChar w:fldCharType="begin"/>
      </w:r>
      <w:r>
        <w:instrText>SEQ Figure \* ARABIC</w:instrText>
      </w:r>
      <w:r>
        <w:fldChar w:fldCharType="separate"/>
      </w:r>
      <w:r w:rsidR="004108A6">
        <w:rPr>
          <w:noProof/>
        </w:rPr>
        <w:t>2</w:t>
      </w:r>
      <w:r>
        <w:fldChar w:fldCharType="end"/>
      </w:r>
      <w:bookmarkEnd w:id="2"/>
      <w:r>
        <w:t xml:space="preserve"> </w:t>
      </w:r>
      <w:r w:rsidRPr="009A6D6A">
        <w:t>When a company decides to invest the production of goods, after a time-delay goods production capital is produced. This capital can of course be used to produce goods, which can be sold for funds and be reinvested in capacity.</w:t>
      </w:r>
      <w:r w:rsidRPr="00B828F2">
        <w:t xml:space="preserve"> With more capacity for reinvestment, more investments in production capital are made and again more goods production capital is produced. Such a cycle is reinforcing as it generates increased momentum for reinvestment and goods production capital. The reinforcing loop can be seen labeled with the red R towards the left of Figure 2. Balancing this momentum is the loop labeled with the blue B where the depreciation of goods production capital leads to less production capital and less goods. The “Average Life of Goods Production Capital” variable determines the rate at which the goods production capital depreciates in this balancing loop.</w:t>
      </w:r>
    </w:p>
    <w:p w14:paraId="22E18E62" w14:textId="3E0E7619" w:rsidR="0085739D" w:rsidRPr="00483420" w:rsidRDefault="0085739D" w:rsidP="0085739D">
      <w:r>
        <w:t>With the incorporation of such reinforcing and balancing loops, system dynamics model output can be of any dynamic pattern; examples of which can be seen below in</w:t>
      </w:r>
      <w:r w:rsidR="00B828F2">
        <w:rPr>
          <w:iCs/>
        </w:rPr>
        <w:t xml:space="preserve"> </w:t>
      </w:r>
      <w:r w:rsidR="00B828F2">
        <w:rPr>
          <w:iCs/>
        </w:rPr>
        <w:fldChar w:fldCharType="begin"/>
      </w:r>
      <w:r w:rsidR="00B828F2">
        <w:rPr>
          <w:iCs/>
        </w:rPr>
        <w:instrText xml:space="preserve"> REF _Ref20234148 \h </w:instrText>
      </w:r>
      <w:r w:rsidR="00B828F2">
        <w:rPr>
          <w:iCs/>
        </w:rPr>
      </w:r>
      <w:r w:rsidR="00B828F2">
        <w:rPr>
          <w:iCs/>
        </w:rPr>
        <w:fldChar w:fldCharType="separate"/>
      </w:r>
      <w:r w:rsidR="004108A6">
        <w:t xml:space="preserve">Figure </w:t>
      </w:r>
      <w:r w:rsidR="004108A6">
        <w:rPr>
          <w:noProof/>
        </w:rPr>
        <w:t>3</w:t>
      </w:r>
      <w:r w:rsidR="00B828F2">
        <w:rPr>
          <w:iCs/>
        </w:rPr>
        <w:fldChar w:fldCharType="end"/>
      </w:r>
      <w:r w:rsidR="00483420">
        <w:rPr>
          <w:i/>
          <w:iCs/>
        </w:rPr>
        <w:t>.</w:t>
      </w:r>
      <w:r w:rsidR="00483420">
        <w:t xml:space="preserve"> </w:t>
      </w:r>
      <w:r w:rsidR="00483420">
        <w:fldChar w:fldCharType="begin"/>
      </w:r>
      <w:r w:rsidR="00F61BDD">
        <w:instrText xml:space="preserve"> ADDIN ZOTERO_ITEM CSL_CITATION {"citationID":"DItUpTtK","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p>
    <w:p w14:paraId="42200691" w14:textId="77777777" w:rsidR="0085739D" w:rsidRDefault="0085739D" w:rsidP="0085739D"/>
    <w:p w14:paraId="079065EF" w14:textId="77777777" w:rsidR="00B828F2" w:rsidRDefault="0085739D" w:rsidP="00B828F2">
      <w:pPr>
        <w:keepNext/>
        <w:jc w:val="center"/>
      </w:pPr>
      <w:r>
        <w:rPr>
          <w:noProof/>
        </w:rPr>
        <w:lastRenderedPageBreak/>
        <w:drawing>
          <wp:inline distT="0" distB="0" distL="0" distR="0" wp14:anchorId="61B73C59" wp14:editId="4D930F5A">
            <wp:extent cx="4495800" cy="2590800"/>
            <wp:effectExtent l="0" t="0" r="0" b="0"/>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2590800"/>
                    </a:xfrm>
                    <a:prstGeom prst="rect">
                      <a:avLst/>
                    </a:prstGeom>
                    <a:noFill/>
                    <a:ln>
                      <a:noFill/>
                    </a:ln>
                  </pic:spPr>
                </pic:pic>
              </a:graphicData>
            </a:graphic>
          </wp:inline>
        </w:drawing>
      </w:r>
    </w:p>
    <w:p w14:paraId="533E574B" w14:textId="1EA419A4" w:rsidR="00B828F2" w:rsidRDefault="00B828F2" w:rsidP="00B828F2">
      <w:pPr>
        <w:pStyle w:val="Caption"/>
        <w:jc w:val="center"/>
      </w:pPr>
      <w:bookmarkStart w:id="3" w:name="_Ref20234148"/>
      <w:r>
        <w:t xml:space="preserve">Figure </w:t>
      </w:r>
      <w:r>
        <w:fldChar w:fldCharType="begin"/>
      </w:r>
      <w:r>
        <w:instrText>SEQ Figure \* ARABIC</w:instrText>
      </w:r>
      <w:r>
        <w:fldChar w:fldCharType="separate"/>
      </w:r>
      <w:r w:rsidR="004108A6">
        <w:rPr>
          <w:noProof/>
        </w:rPr>
        <w:t>3</w:t>
      </w:r>
      <w:r>
        <w:fldChar w:fldCharType="end"/>
      </w:r>
      <w:bookmarkEnd w:id="3"/>
      <w:r>
        <w:t xml:space="preserve"> </w:t>
      </w:r>
      <w:r w:rsidRPr="00E34B32">
        <w:t>Six behavior-over-time graphs representing classic system dynamics model output shown. Exponential growth is likely when one or several reinforcing loops are dominant over the balancing ones and drive momentum in a certain direction away from stability.</w:t>
      </w:r>
      <w:r>
        <w:t xml:space="preserve"> </w:t>
      </w:r>
      <w:r w:rsidRPr="00B828F2">
        <w:t>Goal seeking behavior tends to resolve the momentum of a system towards stability as balancing loops become dominant. Oscillatory behavior also arises from the dominance of balancing loops; however, with the addition of time delays in the system causing it to constantly overshoot, attempt to correct itself, undershoot, attempt to correct itself and so on. S-shaped growth occurs when a system experiences exponential growth until the limits on that growth are reached at which time balancing loops become dominant and halt the growth near a steady state. When these limits on growth are coupled with time delays, oscillating overshoot may be the resulting behavior output. Finally, overshoot and collapse output is caused by exponential growth accompanied by decreased limits on growth as the growth intensifies.</w:t>
      </w:r>
      <w:r>
        <w:t xml:space="preserve"> </w:t>
      </w:r>
      <w:r>
        <w:fldChar w:fldCharType="begin"/>
      </w:r>
      <w:r w:rsidR="00F61BDD">
        <w:instrText xml:space="preserve"> ADDIN ZOTERO_ITEM CSL_CITATION {"citationID":"JUYptE1U","properties":{"formattedCitation":"(16)","plainCitation":"(16)","noteIndex":0},"citationItems":[{"id":2825,"uris":["http://zotero.org/groups/2185154/items/Z8BFRPAB"],"uri":["http://zotero.org/groups/2185154/items/Z8BFRPAB"],"itemData":{"id":2825,"type":"book","title":"Business Dynamics: Systems Thinking and Modeling for a Complex World","publisher":"McGraw-Hill Higher Education","number-of-pages":"108-396","language":"English","author":[{"family":"Sterman","given":"John"}],"issued":{"date-parts":[["2000"]]}}}],"schema":"https://github.com/citation-style-language/schema/raw/master/csl-citation.json"} </w:instrText>
      </w:r>
      <w:r>
        <w:fldChar w:fldCharType="separate"/>
      </w:r>
      <w:r w:rsidR="00F61BDD" w:rsidRPr="00F61BDD">
        <w:rPr>
          <w:rFonts w:cs="Times New Roman"/>
        </w:rPr>
        <w:t>(16)</w:t>
      </w:r>
      <w:r>
        <w:fldChar w:fldCharType="end"/>
      </w:r>
    </w:p>
    <w:p w14:paraId="575F47AE" w14:textId="74C65F03" w:rsidR="0085739D" w:rsidRDefault="0085739D" w:rsidP="0085739D">
      <w:r w:rsidRPr="00754C82">
        <w:t xml:space="preserve">Non-linear functions are often responsible for changing the direction of momentum (the dominant loop) as they impose limits on sustained growth or degradation. Such limits are important as they can stop or reduce flow rates from becoming too powerful and </w:t>
      </w:r>
      <w:r>
        <w:t>levels</w:t>
      </w:r>
      <w:r w:rsidRPr="00754C82">
        <w:t xml:space="preserve"> from accumulating </w:t>
      </w:r>
      <w:r>
        <w:t xml:space="preserve">too rapidly, which can cause overshoot and collapse. </w:t>
      </w:r>
    </w:p>
    <w:p w14:paraId="5F364E21" w14:textId="6DD2699D" w:rsidR="00DD693C" w:rsidRPr="00DD693C" w:rsidRDefault="0085739D" w:rsidP="00DD693C">
      <w:r w:rsidRPr="00754C82">
        <w:t>System dynamics models are designed specifically to draw simplicity from the particular, complex problem at hand.</w:t>
      </w:r>
      <w:r w:rsidR="00483420">
        <w:t xml:space="preserve"> </w:t>
      </w:r>
      <w:r w:rsidR="00483420">
        <w:fldChar w:fldCharType="begin"/>
      </w:r>
      <w:r w:rsidR="00F61BDD">
        <w:instrText xml:space="preserve"> ADDIN ZOTERO_ITEM CSL_CITATION {"citationID":"i2QBWJZl","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r w:rsidRPr="00754C82">
        <w:t xml:space="preserve"> This is done by first developing a mental model of the scope and structure of the problem through di</w:t>
      </w:r>
      <w:r>
        <w:t>scussions with experts and stakeholders</w:t>
      </w:r>
      <w:r w:rsidRPr="00754C82">
        <w:t xml:space="preserve"> involved with it. Next, diagrams are made to identify information feedback, circular causality, and accumulations within the system. With the system’s basic structure outlined, mathematical relationships between variables can be assigned using coupled, nonlinear, and first-order differential (integral) equations. The model is then calibrated by comparing it to empirical data for discrepancies and tweaking</w:t>
      </w:r>
      <w:r>
        <w:t xml:space="preserve"> it to better emulate the real-world system</w:t>
      </w:r>
      <w:r w:rsidRPr="00754C82">
        <w:t>.</w:t>
      </w:r>
      <w:r w:rsidR="00483420">
        <w:t xml:space="preserve"> </w:t>
      </w:r>
      <w:r w:rsidR="00483420">
        <w:fldChar w:fldCharType="begin"/>
      </w:r>
      <w:r w:rsidR="00F61BDD">
        <w:instrText xml:space="preserve"> ADDIN ZOTERO_ITEM CSL_CITATION {"citationID":"qUcDAEDF","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r w:rsidRPr="00754C82">
        <w:t xml:space="preserve"> </w:t>
      </w:r>
      <w:r>
        <w:t xml:space="preserve">Sensitivity analyses are also conducted to validate the inputs to the models, reducing output uncertainty and increasing model legitimacy. </w:t>
      </w:r>
      <w:r w:rsidRPr="00754C82">
        <w:t xml:space="preserve">Once developed and calibrated, the model can be </w:t>
      </w:r>
      <w:r>
        <w:t xml:space="preserve">simulated and </w:t>
      </w:r>
      <w:r w:rsidRPr="00754C82">
        <w:t>experimented with while conducting “what if” scenarios on inputs to gauge potential impacts of the system in the short</w:t>
      </w:r>
      <w:r>
        <w:t xml:space="preserve"> </w:t>
      </w:r>
      <w:r w:rsidRPr="00754C82">
        <w:t>and long term.</w:t>
      </w:r>
      <w:r>
        <w:t xml:space="preserve"> System dynamics models are not used for exact prediction; however, they are useful for determining whether a certain action will benefit or degrade the condition of a </w:t>
      </w:r>
      <w:r>
        <w:lastRenderedPageBreak/>
        <w:t xml:space="preserve">problem over a certain time frame, usually with much greater accuracy than that of a mental model. </w:t>
      </w:r>
    </w:p>
    <w:p w14:paraId="1FE78098" w14:textId="037AA062" w:rsidR="00DD693C" w:rsidRDefault="00DD693C" w:rsidP="00DD693C">
      <w:pPr>
        <w:pStyle w:val="Heading2"/>
      </w:pPr>
      <w:r>
        <w:t>Bioproduct Transition Dynamics Model</w:t>
      </w:r>
    </w:p>
    <w:p w14:paraId="12679058" w14:textId="29DC13D1" w:rsidR="00DD693C" w:rsidRDefault="000F103B" w:rsidP="00DD693C">
      <w:r>
        <w:t>The BTD model is based on background research into historical bioproduct development efforts, trends in technology development processes across the bioproduct and other industries, the techno-economic and market characteristics of bioproducts that have been studied within BETO and elsewhere, and interviews with professionals currently and formerly working in the bioproducts industry.</w:t>
      </w:r>
    </w:p>
    <w:p w14:paraId="42994AA7" w14:textId="6B4C8F7B" w:rsidR="003446B4" w:rsidRDefault="00DD7D6E" w:rsidP="00DD693C">
      <w:r>
        <w:rPr>
          <w:noProof/>
        </w:rPr>
        <mc:AlternateContent>
          <mc:Choice Requires="wps">
            <w:drawing>
              <wp:anchor distT="0" distB="0" distL="114300" distR="114300" simplePos="0" relativeHeight="251660288" behindDoc="0" locked="0" layoutInCell="1" allowOverlap="1" wp14:anchorId="1AD9D6E8" wp14:editId="2BB92159">
                <wp:simplePos x="0" y="0"/>
                <wp:positionH relativeFrom="column">
                  <wp:posOffset>447675</wp:posOffset>
                </wp:positionH>
                <wp:positionV relativeFrom="paragraph">
                  <wp:posOffset>2618105</wp:posOffset>
                </wp:positionV>
                <wp:extent cx="504698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1A8448AF" w14:textId="63FED83D" w:rsidR="003603C5" w:rsidRPr="00A2763F" w:rsidRDefault="003603C5" w:rsidP="00DD7D6E">
                            <w:pPr>
                              <w:pStyle w:val="Caption"/>
                              <w:rPr>
                                <w:noProof/>
                                <w:sz w:val="24"/>
                              </w:rPr>
                            </w:pPr>
                            <w:r>
                              <w:t xml:space="preserve">Figure </w:t>
                            </w:r>
                            <w:r>
                              <w:fldChar w:fldCharType="begin"/>
                            </w:r>
                            <w:r>
                              <w:instrText>SEQ Figure \* ARABIC</w:instrText>
                            </w:r>
                            <w:r>
                              <w:fldChar w:fldCharType="separate"/>
                            </w:r>
                            <w:r>
                              <w:rPr>
                                <w:noProof/>
                              </w:rPr>
                              <w:t>4</w:t>
                            </w:r>
                            <w:r>
                              <w:fldChar w:fldCharType="end"/>
                            </w:r>
                            <w:r>
                              <w:t>. The primary feedback loop in the BTD model is between technology developers, investors, and government agencies (not shown) providing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9D6E8" id="_x0000_t202" coordsize="21600,21600" o:spt="202" path="m,l,21600r21600,l21600,xe">
                <v:stroke joinstyle="miter"/>
                <v:path gradientshapeok="t" o:connecttype="rect"/>
              </v:shapetype>
              <v:shape id="Text Box 2" o:spid="_x0000_s1026" type="#_x0000_t202" style="position:absolute;margin-left:35.25pt;margin-top:206.15pt;width:39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sKwIAAF0EAAAOAAAAZHJzL2Uyb0RvYy54bWysVE1vGjEQvVfqf7B8Lwu0QQliiSgRVSWU&#10;RIIqZ+P1spZsjzs27NJf3/F+kDbtqerFjGfGz/veG7O4b6xhZ4VBg8v5ZDTmTDkJhXbHnH/bbz7c&#10;chaicIUw4FTOLyrw++X7d4vaz9UUKjCFQkYgLsxrn/MqRj/PsiArZUUYgVeOiiWgFZG2eMwKFDWh&#10;W5NNx+NZVgMWHkGqECj70BX5ssUvSyXjU1kGFZnJOX1bbFds10Nas+VCzI8ofKVl/xniH77CCu3o&#10;0ivUg4iCnVD/AWW1RAhQxpEEm0FZaqlaDsRmMn7DZlcJr1ouJE7wV5nC/4OVj+dnZLrI+ZQzJyxZ&#10;tFdNZJ+hYdOkTu3DnJp2ntpiQ2lyecgHSibSTYk2/RIdRnXS+XLVNoFJSt6MP83ubqkkqTb7eJM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PH/aRThAAAACgEAAA8AAABkcnMvZG93bnJl&#10;di54bWxMjz1PwzAQhnck/oN1SCyIOm3TtApxqqqCAZaK0KWbG1/jQGxHttOGf8/RBbb7ePTec8V6&#10;NB07ow+tswKmkwQY2tqp1jYC9h8vjytgIUqrZOcsCvjGAOvy9qaQuXIX+47nKjaMQmzIpQAdY59z&#10;HmqNRoaJ69HS7uS8kZFa33Dl5YXCTcdnSZJxI1tLF7Tscaux/qoGI2CXHnb6YTg9v23SuX/dD9vs&#10;s6mEuL8bN0/AIo7xD4ZffVKHkpyObrAqsE7AMlkQKSCdzubACFhlCyqO10kKvCz4/xfKHwAAAP//&#10;AwBQSwECLQAUAAYACAAAACEAtoM4kv4AAADhAQAAEwAAAAAAAAAAAAAAAAAAAAAAW0NvbnRlbnRf&#10;VHlwZXNdLnhtbFBLAQItABQABgAIAAAAIQA4/SH/1gAAAJQBAAALAAAAAAAAAAAAAAAAAC8BAABf&#10;cmVscy8ucmVsc1BLAQItABQABgAIAAAAIQCWd+PsKwIAAF0EAAAOAAAAAAAAAAAAAAAAAC4CAABk&#10;cnMvZTJvRG9jLnhtbFBLAQItABQABgAIAAAAIQDx/2kU4QAAAAoBAAAPAAAAAAAAAAAAAAAAAIUE&#10;AABkcnMvZG93bnJldi54bWxQSwUGAAAAAAQABADzAAAAkwUAAAAA&#10;" stroked="f">
                <v:textbox style="mso-fit-shape-to-text:t" inset="0,0,0,0">
                  <w:txbxContent>
                    <w:p w14:paraId="1A8448AF" w14:textId="63FED83D" w:rsidR="003603C5" w:rsidRPr="00A2763F" w:rsidRDefault="003603C5" w:rsidP="00DD7D6E">
                      <w:pPr>
                        <w:pStyle w:val="Caption"/>
                        <w:rPr>
                          <w:noProof/>
                          <w:sz w:val="24"/>
                        </w:rPr>
                      </w:pPr>
                      <w:r>
                        <w:t xml:space="preserve">Figure </w:t>
                      </w:r>
                      <w:r>
                        <w:fldChar w:fldCharType="begin"/>
                      </w:r>
                      <w:r>
                        <w:instrText>SEQ Figure \* ARABIC</w:instrText>
                      </w:r>
                      <w:r>
                        <w:fldChar w:fldCharType="separate"/>
                      </w:r>
                      <w:r>
                        <w:rPr>
                          <w:noProof/>
                        </w:rPr>
                        <w:t>4</w:t>
                      </w:r>
                      <w:r>
                        <w:fldChar w:fldCharType="end"/>
                      </w:r>
                      <w:r>
                        <w:t>. The primary feedback loop in the BTD model is between technology developers, investors, and government agencies (not shown) providing support.</w:t>
                      </w:r>
                    </w:p>
                  </w:txbxContent>
                </v:textbox>
                <w10:wrap type="topAndBottom"/>
              </v:shape>
            </w:pict>
          </mc:Fallback>
        </mc:AlternateContent>
      </w:r>
      <w:r>
        <w:rPr>
          <w:noProof/>
        </w:rPr>
        <w:drawing>
          <wp:anchor distT="0" distB="0" distL="114300" distR="114300" simplePos="0" relativeHeight="251658240" behindDoc="0" locked="0" layoutInCell="1" allowOverlap="1" wp14:anchorId="61BBC923" wp14:editId="1D6F56F3">
            <wp:simplePos x="914400" y="2314575"/>
            <wp:positionH relativeFrom="column">
              <wp:align>center</wp:align>
            </wp:positionH>
            <wp:positionV relativeFrom="paragraph">
              <wp:posOffset>0</wp:posOffset>
            </wp:positionV>
            <wp:extent cx="5047488" cy="2561163"/>
            <wp:effectExtent l="0" t="0" r="127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logic.png"/>
                    <pic:cNvPicPr/>
                  </pic:nvPicPr>
                  <pic:blipFill>
                    <a:blip r:embed="rId15">
                      <a:extLst>
                        <a:ext uri="{28A0092B-C50C-407E-A947-70E740481C1C}">
                          <a14:useLocalDpi xmlns:a14="http://schemas.microsoft.com/office/drawing/2010/main" val="0"/>
                        </a:ext>
                      </a:extLst>
                    </a:blip>
                    <a:stretch>
                      <a:fillRect/>
                    </a:stretch>
                  </pic:blipFill>
                  <pic:spPr>
                    <a:xfrm>
                      <a:off x="0" y="0"/>
                      <a:ext cx="5047488" cy="2561163"/>
                    </a:xfrm>
                    <a:prstGeom prst="rect">
                      <a:avLst/>
                    </a:prstGeom>
                  </pic:spPr>
                </pic:pic>
              </a:graphicData>
            </a:graphic>
            <wp14:sizeRelH relativeFrom="margin">
              <wp14:pctWidth>0</wp14:pctWidth>
            </wp14:sizeRelH>
          </wp:anchor>
        </w:drawing>
      </w:r>
      <w:r w:rsidR="007B4C3B">
        <w:t>Inputs to the model include b</w:t>
      </w:r>
      <w:r w:rsidR="003F40B8">
        <w:t>ioproduct techno-economic information on the eventual commercial scale plant, obtainable from preliminary scale-up work and techno-economic analyses.</w:t>
      </w:r>
      <w:r w:rsidR="009F1344">
        <w:t xml:space="preserve"> Relatedly, the b</w:t>
      </w:r>
      <w:r w:rsidR="003F40B8">
        <w:t>ioproduct selling price and trends over time, if available</w:t>
      </w:r>
      <w:r w:rsidR="009F1344">
        <w:t>, are required, as is the f</w:t>
      </w:r>
      <w:r w:rsidR="003F40B8">
        <w:t xml:space="preserve">eedstock type, and price short-term behavior and long-term trends if the feedstock type is not already modeled in the BTD. </w:t>
      </w:r>
      <w:r w:rsidR="009F1344">
        <w:t>The rest of the BTD inputs deal with how investors, technology developers, and government agencies are expected to behave and the decisions they are expected to make. Model outputs include t</w:t>
      </w:r>
      <w:r w:rsidR="003F40B8">
        <w:t xml:space="preserve">ime series for technology readiness level (TRL) and cumulative production (only commercial </w:t>
      </w:r>
      <w:r w:rsidR="009F1344">
        <w:t xml:space="preserve">production </w:t>
      </w:r>
      <w:r w:rsidR="003F40B8">
        <w:t>or commercial plus demo</w:t>
      </w:r>
      <w:r w:rsidR="009F1344">
        <w:t xml:space="preserve"> production</w:t>
      </w:r>
      <w:r w:rsidR="003F40B8">
        <w:t xml:space="preserve">). A development timeline showing when the project transitioned between stages and how </w:t>
      </w:r>
      <w:r w:rsidR="009F1344">
        <w:t xml:space="preserve">long each stage took to complete. Project finances over time are also calculated. </w:t>
      </w:r>
      <w:r w:rsidR="003446B4">
        <w:t xml:space="preserve">Complete details on the BTD are available in </w:t>
      </w:r>
      <w:r w:rsidR="003446B4">
        <w:fldChar w:fldCharType="begin"/>
      </w:r>
      <w:r w:rsidR="00F61BDD">
        <w:instrText xml:space="preserve"> ADDIN ZOTERO_ITEM CSL_CITATION {"citationID":"7j2gPken","properties":{"formattedCitation":"(5)","plainCitation":"(5)","noteIndex":0},"citationItems":[{"id":2801,"uris":["http://zotero.org/groups/2185154/items/T4PYHFTG"],"uri":["http://zotero.org/groups/2185154/items/T4PYHFTG"],"itemData":{"id":2801,"type":"report","title":"Bioproduct Transition Dynamics Technical Report","publisher":"National Renewable Energy Laboratory (NREL)","abstract":"placeholder for the BTD technical report","number":"NREL/TP-XXXXX. In preparation.","author":[{"family":"Hanes","given":"Rebecca"},{"family":"Bush","given":"Brian"},{"family":"Sittler","given":"Lauren"},{"family":"Newes","given":"Emily"},{"family":"Foretich","given":"Anthony"},{"family":"Jenkin","given":"Thomas"}],"issued":{"date-parts":[["2020",9]]}}}],"schema":"https://github.com/citation-style-language/schema/raw/master/csl-citation.json"} </w:instrText>
      </w:r>
      <w:r w:rsidR="003446B4">
        <w:fldChar w:fldCharType="separate"/>
      </w:r>
      <w:r w:rsidR="00F61BDD" w:rsidRPr="00F61BDD">
        <w:rPr>
          <w:rFonts w:cs="Times New Roman"/>
        </w:rPr>
        <w:t>(5)</w:t>
      </w:r>
      <w:r w:rsidR="003446B4">
        <w:fldChar w:fldCharType="end"/>
      </w:r>
      <w:r w:rsidR="003446B4">
        <w:t>.</w:t>
      </w:r>
    </w:p>
    <w:p w14:paraId="73295EE3" w14:textId="2056BFFC" w:rsidR="003603C5" w:rsidRDefault="003603C5" w:rsidP="003603C5">
      <w:pPr>
        <w:pStyle w:val="Heading2"/>
      </w:pPr>
      <w:r>
        <w:t>Base cases</w:t>
      </w:r>
    </w:p>
    <w:p w14:paraId="3B0FF466" w14:textId="77777777" w:rsidR="003603C5" w:rsidRPr="003F40B8" w:rsidRDefault="003603C5" w:rsidP="00DD693C">
      <w:commentRangeStart w:id="4"/>
      <w:commentRangeEnd w:id="4"/>
      <w:r>
        <w:rPr>
          <w:rStyle w:val="CommentReference"/>
          <w:rFonts w:asciiTheme="minorHAnsi" w:hAnsiTheme="minorHAnsi"/>
        </w:rPr>
        <w:commentReference w:id="4"/>
      </w:r>
    </w:p>
    <w:p w14:paraId="29DCF00F" w14:textId="77777777" w:rsidR="00FC11F0" w:rsidRDefault="00FC11F0" w:rsidP="00FC11F0">
      <w:pPr>
        <w:pStyle w:val="Heading2"/>
      </w:pPr>
      <w:r>
        <w:lastRenderedPageBreak/>
        <w:t>Experimental design</w:t>
      </w:r>
    </w:p>
    <w:p w14:paraId="1BF2313D" w14:textId="77777777" w:rsidR="00FC11F0" w:rsidRDefault="00FC11F0" w:rsidP="00FC11F0">
      <w:pPr>
        <w:pStyle w:val="Heading3"/>
      </w:pPr>
      <w:r>
        <w:t>Parameter ranges</w:t>
      </w:r>
    </w:p>
    <w:p w14:paraId="3557B712" w14:textId="55753A47" w:rsidR="00FC11F0" w:rsidRDefault="00FC11F0" w:rsidP="00FC11F0">
      <w:r w:rsidRPr="009D2EB8">
        <w:t xml:space="preserve">Previous sensitivity and scenario analyses of earlier revisions of the BTD have identified the parameters (“input variables”) that have the greatest potential for influencing outcomes. For this exploratory sensitivity analysis of the current revision of the BTD, we undertook a comprehensive review of all input variables and used past analyses and modeler judgment to select parameters for variation and their ranges of variation in the present study. </w:t>
      </w:r>
      <w:r w:rsidR="00286BC6">
        <w:fldChar w:fldCharType="begin"/>
      </w:r>
      <w:r w:rsidR="00286BC6">
        <w:instrText xml:space="preserve"> REF _Ref44072351 \h </w:instrText>
      </w:r>
      <w:r w:rsidR="00286BC6">
        <w:fldChar w:fldCharType="separate"/>
      </w:r>
      <w:r w:rsidR="004108A6">
        <w:t xml:space="preserve">Table </w:t>
      </w:r>
      <w:r w:rsidR="004108A6">
        <w:rPr>
          <w:noProof/>
        </w:rPr>
        <w:t>1</w:t>
      </w:r>
      <w:r w:rsidR="00286BC6">
        <w:fldChar w:fldCharType="end"/>
      </w:r>
      <w:r w:rsidRPr="009D2EB8">
        <w:t xml:space="preserve"> </w:t>
      </w:r>
      <w:commentRangeStart w:id="5"/>
      <w:r w:rsidRPr="009D2EB8">
        <w:t>below</w:t>
      </w:r>
      <w:commentRangeEnd w:id="5"/>
      <w:r w:rsidR="003603C5">
        <w:rPr>
          <w:rStyle w:val="CommentReference"/>
          <w:rFonts w:asciiTheme="minorHAnsi" w:hAnsiTheme="minorHAnsi"/>
        </w:rPr>
        <w:commentReference w:id="5"/>
      </w:r>
      <w:r w:rsidRPr="009D2EB8">
        <w:t xml:space="preserve"> shows the </w:t>
      </w:r>
      <w:r>
        <w:t>84</w:t>
      </w:r>
      <w:r w:rsidRPr="009D2EB8">
        <w:t xml:space="preserve"> parameters to be varied, their default value in the model, and their range of variation. (See the </w:t>
      </w:r>
      <w:commentRangeStart w:id="6"/>
      <w:r w:rsidRPr="009D2EB8">
        <w:t>BTD technical documentation</w:t>
      </w:r>
      <w:commentRangeEnd w:id="6"/>
      <w:r w:rsidR="003603C5">
        <w:rPr>
          <w:rStyle w:val="CommentReference"/>
          <w:rFonts w:asciiTheme="minorHAnsi" w:hAnsiTheme="minorHAnsi"/>
        </w:rPr>
        <w:commentReference w:id="6"/>
      </w:r>
      <w:r w:rsidRPr="009D2EB8">
        <w:t xml:space="preserve"> for more information on these variables and on the model sectors in which they reside.)</w:t>
      </w:r>
    </w:p>
    <w:p w14:paraId="0116F314" w14:textId="5B250E0C" w:rsidR="00FC11F0" w:rsidRDefault="00FC11F0" w:rsidP="00FC11F0">
      <w:pPr>
        <w:pStyle w:val="Caption"/>
        <w:keepNext/>
      </w:pPr>
      <w:bookmarkStart w:id="7" w:name="_Ref44072351"/>
      <w:r>
        <w:t xml:space="preserve">Table </w:t>
      </w:r>
      <w:r>
        <w:fldChar w:fldCharType="begin"/>
      </w:r>
      <w:r>
        <w:instrText>SEQ Table \* ARABIC</w:instrText>
      </w:r>
      <w:r>
        <w:fldChar w:fldCharType="separate"/>
      </w:r>
      <w:r w:rsidR="004108A6">
        <w:rPr>
          <w:noProof/>
        </w:rPr>
        <w:t>1</w:t>
      </w:r>
      <w:r>
        <w:fldChar w:fldCharType="end"/>
      </w:r>
      <w:bookmarkEnd w:id="7"/>
      <w:r>
        <w:t>. Model input parameters and their ranges in the sensitivity analyses.</w:t>
      </w:r>
    </w:p>
    <w:tbl>
      <w:tblPr>
        <w:tblStyle w:val="ListTable1Light"/>
        <w:tblW w:w="5000" w:type="pct"/>
        <w:tblLayout w:type="fixed"/>
        <w:tblLook w:val="0600" w:firstRow="0" w:lastRow="0" w:firstColumn="0" w:lastColumn="0" w:noHBand="1" w:noVBand="1"/>
      </w:tblPr>
      <w:tblGrid>
        <w:gridCol w:w="3239"/>
        <w:gridCol w:w="1713"/>
        <w:gridCol w:w="1468"/>
        <w:gridCol w:w="1470"/>
        <w:gridCol w:w="1470"/>
      </w:tblGrid>
      <w:tr w:rsidR="00FC11F0" w:rsidRPr="001D7571" w14:paraId="4C1DF5D4" w14:textId="77777777" w:rsidTr="00FC325A">
        <w:trPr>
          <w:tblHeader/>
        </w:trPr>
        <w:tc>
          <w:tcPr>
            <w:tcW w:w="1731" w:type="pct"/>
          </w:tcPr>
          <w:p w14:paraId="6877E8F5" w14:textId="77777777" w:rsidR="00FC11F0" w:rsidRPr="001D7571" w:rsidRDefault="00FC11F0" w:rsidP="00FC325A">
            <w:pPr>
              <w:rPr>
                <w:rFonts w:asciiTheme="minorHAnsi" w:hAnsiTheme="minorHAnsi" w:cstheme="minorHAnsi"/>
                <w:b/>
                <w:bCs/>
                <w:sz w:val="18"/>
                <w:szCs w:val="18"/>
              </w:rPr>
            </w:pPr>
            <w:r w:rsidRPr="001D7571">
              <w:rPr>
                <w:rFonts w:asciiTheme="minorHAnsi" w:hAnsiTheme="minorHAnsi" w:cstheme="minorHAnsi"/>
                <w:b/>
                <w:bCs/>
                <w:sz w:val="18"/>
                <w:szCs w:val="18"/>
              </w:rPr>
              <w:t>Variable</w:t>
            </w:r>
          </w:p>
        </w:tc>
        <w:tc>
          <w:tcPr>
            <w:tcW w:w="915" w:type="pct"/>
          </w:tcPr>
          <w:p w14:paraId="5B30DCAA" w14:textId="77777777" w:rsidR="00FC11F0" w:rsidRPr="001D7571" w:rsidRDefault="00FC11F0" w:rsidP="00FC325A">
            <w:pPr>
              <w:rPr>
                <w:rFonts w:asciiTheme="minorHAnsi" w:hAnsiTheme="minorHAnsi" w:cstheme="minorHAnsi"/>
                <w:b/>
                <w:bCs/>
                <w:sz w:val="18"/>
                <w:szCs w:val="18"/>
              </w:rPr>
            </w:pPr>
            <w:r w:rsidRPr="001D7571">
              <w:rPr>
                <w:rFonts w:asciiTheme="minorHAnsi" w:hAnsiTheme="minorHAnsi" w:cstheme="minorHAnsi"/>
                <w:b/>
                <w:bCs/>
                <w:sz w:val="18"/>
                <w:szCs w:val="18"/>
              </w:rPr>
              <w:t>Units</w:t>
            </w:r>
          </w:p>
        </w:tc>
        <w:tc>
          <w:tcPr>
            <w:tcW w:w="784" w:type="pct"/>
          </w:tcPr>
          <w:p w14:paraId="7C8E4D01" w14:textId="77777777" w:rsidR="00FC11F0" w:rsidRPr="001D7571" w:rsidRDefault="00FC11F0" w:rsidP="00FC325A">
            <w:pPr>
              <w:rPr>
                <w:rFonts w:asciiTheme="minorHAnsi" w:hAnsiTheme="minorHAnsi" w:cstheme="minorHAnsi"/>
                <w:b/>
                <w:bCs/>
                <w:sz w:val="18"/>
                <w:szCs w:val="18"/>
              </w:rPr>
            </w:pPr>
            <w:r w:rsidRPr="001D7571">
              <w:rPr>
                <w:rFonts w:asciiTheme="minorHAnsi" w:hAnsiTheme="minorHAnsi" w:cstheme="minorHAnsi"/>
                <w:b/>
                <w:bCs/>
                <w:sz w:val="18"/>
                <w:szCs w:val="18"/>
              </w:rPr>
              <w:t>Minimum</w:t>
            </w:r>
          </w:p>
        </w:tc>
        <w:tc>
          <w:tcPr>
            <w:tcW w:w="785" w:type="pct"/>
          </w:tcPr>
          <w:p w14:paraId="7A2D2B1A" w14:textId="77777777" w:rsidR="00FC11F0" w:rsidRPr="001D7571" w:rsidRDefault="00FC11F0" w:rsidP="00FC325A">
            <w:pPr>
              <w:rPr>
                <w:rFonts w:asciiTheme="minorHAnsi" w:hAnsiTheme="minorHAnsi" w:cstheme="minorHAnsi"/>
                <w:b/>
                <w:bCs/>
                <w:sz w:val="18"/>
                <w:szCs w:val="18"/>
              </w:rPr>
            </w:pPr>
            <w:r w:rsidRPr="001D7571">
              <w:rPr>
                <w:rFonts w:asciiTheme="minorHAnsi" w:hAnsiTheme="minorHAnsi" w:cstheme="minorHAnsi"/>
                <w:b/>
                <w:bCs/>
                <w:sz w:val="18"/>
                <w:szCs w:val="18"/>
              </w:rPr>
              <w:t>Maximum</w:t>
            </w:r>
          </w:p>
        </w:tc>
        <w:tc>
          <w:tcPr>
            <w:tcW w:w="785" w:type="pct"/>
          </w:tcPr>
          <w:p w14:paraId="31DB7B82" w14:textId="77777777" w:rsidR="00FC11F0" w:rsidRPr="001D7571" w:rsidRDefault="00FC11F0" w:rsidP="00FC325A">
            <w:pPr>
              <w:rPr>
                <w:rFonts w:asciiTheme="minorHAnsi" w:hAnsiTheme="minorHAnsi" w:cstheme="minorHAnsi"/>
                <w:b/>
                <w:bCs/>
                <w:sz w:val="18"/>
                <w:szCs w:val="18"/>
              </w:rPr>
            </w:pPr>
            <w:r w:rsidRPr="001D7571">
              <w:rPr>
                <w:rFonts w:asciiTheme="minorHAnsi" w:hAnsiTheme="minorHAnsi" w:cstheme="minorHAnsi"/>
                <w:b/>
                <w:bCs/>
                <w:sz w:val="18"/>
                <w:szCs w:val="18"/>
              </w:rPr>
              <w:t>Default</w:t>
            </w:r>
          </w:p>
        </w:tc>
      </w:tr>
      <w:tr w:rsidR="00FC11F0" w:rsidRPr="001D7571" w14:paraId="4D80806E" w14:textId="77777777" w:rsidTr="00FC325A">
        <w:tc>
          <w:tcPr>
            <w:tcW w:w="1731" w:type="pct"/>
          </w:tcPr>
          <w:p w14:paraId="346CAA6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advertising budget</w:t>
            </w:r>
          </w:p>
        </w:tc>
        <w:tc>
          <w:tcPr>
            <w:tcW w:w="915" w:type="pct"/>
          </w:tcPr>
          <w:p w14:paraId="47D2B3F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USD/year</w:t>
            </w:r>
          </w:p>
        </w:tc>
        <w:tc>
          <w:tcPr>
            <w:tcW w:w="784" w:type="pct"/>
          </w:tcPr>
          <w:p w14:paraId="7950116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150000</w:t>
            </w:r>
          </w:p>
        </w:tc>
        <w:tc>
          <w:tcPr>
            <w:tcW w:w="785" w:type="pct"/>
          </w:tcPr>
          <w:p w14:paraId="0FB89F7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1900000</w:t>
            </w:r>
          </w:p>
        </w:tc>
        <w:tc>
          <w:tcPr>
            <w:tcW w:w="785" w:type="pct"/>
          </w:tcPr>
          <w:p w14:paraId="38CA8C9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500000</w:t>
            </w:r>
          </w:p>
        </w:tc>
      </w:tr>
      <w:tr w:rsidR="00FC11F0" w:rsidRPr="001D7571" w14:paraId="326C35AA" w14:textId="77777777" w:rsidTr="00FC325A">
        <w:tc>
          <w:tcPr>
            <w:tcW w:w="1731" w:type="pct"/>
          </w:tcPr>
          <w:p w14:paraId="55CBD44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advertising start time</w:t>
            </w:r>
          </w:p>
        </w:tc>
        <w:tc>
          <w:tcPr>
            <w:tcW w:w="915" w:type="pct"/>
          </w:tcPr>
          <w:p w14:paraId="079C6DBC" w14:textId="02A8A1F5"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172A7E0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2015</w:t>
            </w:r>
          </w:p>
        </w:tc>
        <w:tc>
          <w:tcPr>
            <w:tcW w:w="785" w:type="pct"/>
          </w:tcPr>
          <w:p w14:paraId="54314C8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2050</w:t>
            </w:r>
          </w:p>
        </w:tc>
        <w:tc>
          <w:tcPr>
            <w:tcW w:w="785" w:type="pct"/>
          </w:tcPr>
          <w:p w14:paraId="025282A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2020</w:t>
            </w:r>
          </w:p>
        </w:tc>
      </w:tr>
      <w:tr w:rsidR="00FC11F0" w:rsidRPr="001D7571" w14:paraId="54DB5D1E" w14:textId="77777777" w:rsidTr="00FC325A">
        <w:tc>
          <w:tcPr>
            <w:tcW w:w="1731" w:type="pct"/>
          </w:tcPr>
          <w:p w14:paraId="7C53762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aversion to NPV deviation</w:t>
            </w:r>
          </w:p>
        </w:tc>
        <w:tc>
          <w:tcPr>
            <w:tcW w:w="915" w:type="pct"/>
          </w:tcPr>
          <w:p w14:paraId="28E98EC4"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2316B6C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0.06</w:t>
            </w:r>
          </w:p>
        </w:tc>
        <w:tc>
          <w:tcPr>
            <w:tcW w:w="785" w:type="pct"/>
          </w:tcPr>
          <w:p w14:paraId="396E549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2.66</w:t>
            </w:r>
          </w:p>
        </w:tc>
        <w:tc>
          <w:tcPr>
            <w:tcW w:w="785" w:type="pct"/>
          </w:tcPr>
          <w:p w14:paraId="58AF36E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w:t>
            </w:r>
          </w:p>
        </w:tc>
      </w:tr>
      <w:tr w:rsidR="00FC11F0" w:rsidRPr="001D7571" w14:paraId="0E993550" w14:textId="77777777" w:rsidTr="00FC325A">
        <w:tc>
          <w:tcPr>
            <w:tcW w:w="1731" w:type="pct"/>
          </w:tcPr>
          <w:p w14:paraId="7E90301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base external investor ask rate</w:t>
            </w:r>
          </w:p>
        </w:tc>
        <w:tc>
          <w:tcPr>
            <w:tcW w:w="915" w:type="pct"/>
          </w:tcPr>
          <w:p w14:paraId="7C93088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1/year</w:t>
            </w:r>
          </w:p>
        </w:tc>
        <w:tc>
          <w:tcPr>
            <w:tcW w:w="784" w:type="pct"/>
          </w:tcPr>
          <w:p w14:paraId="2FB9FE6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2.4</w:t>
            </w:r>
          </w:p>
        </w:tc>
        <w:tc>
          <w:tcPr>
            <w:tcW w:w="785" w:type="pct"/>
          </w:tcPr>
          <w:p w14:paraId="0D62730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18.4</w:t>
            </w:r>
          </w:p>
        </w:tc>
        <w:tc>
          <w:tcPr>
            <w:tcW w:w="785" w:type="pct"/>
          </w:tcPr>
          <w:p w14:paraId="14E41F8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8</w:t>
            </w:r>
          </w:p>
        </w:tc>
      </w:tr>
      <w:tr w:rsidR="00FC11F0" w:rsidRPr="001D7571" w14:paraId="44606655" w14:textId="77777777" w:rsidTr="00FC325A">
        <w:tc>
          <w:tcPr>
            <w:tcW w:w="1731" w:type="pct"/>
          </w:tcPr>
          <w:p w14:paraId="269F004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bioproduct long term price</w:t>
            </w:r>
          </w:p>
        </w:tc>
        <w:tc>
          <w:tcPr>
            <w:tcW w:w="915" w:type="pct"/>
          </w:tcPr>
          <w:p w14:paraId="3CDB535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tonProduct</w:t>
            </w:r>
            <w:proofErr w:type="spellEnd"/>
          </w:p>
        </w:tc>
        <w:tc>
          <w:tcPr>
            <w:tcW w:w="784" w:type="pct"/>
          </w:tcPr>
          <w:p w14:paraId="451890B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1500.5</w:t>
            </w:r>
          </w:p>
        </w:tc>
        <w:tc>
          <w:tcPr>
            <w:tcW w:w="785" w:type="pct"/>
          </w:tcPr>
          <w:p w14:paraId="5A737B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9000</w:t>
            </w:r>
          </w:p>
        </w:tc>
        <w:tc>
          <w:tcPr>
            <w:tcW w:w="785" w:type="pct"/>
          </w:tcPr>
          <w:p w14:paraId="1B4BC20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5000</w:t>
            </w:r>
          </w:p>
        </w:tc>
      </w:tr>
      <w:tr w:rsidR="00FC11F0" w:rsidRPr="001D7571" w14:paraId="55BD2DCC" w14:textId="77777777" w:rsidTr="00FC325A">
        <w:tc>
          <w:tcPr>
            <w:tcW w:w="1731" w:type="pct"/>
          </w:tcPr>
          <w:p w14:paraId="41429D2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bioproduct offtake agreement</w:t>
            </w:r>
          </w:p>
        </w:tc>
        <w:tc>
          <w:tcPr>
            <w:tcW w:w="915" w:type="pct"/>
          </w:tcPr>
          <w:p w14:paraId="3393A594"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4243F26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0.15</w:t>
            </w:r>
          </w:p>
        </w:tc>
        <w:tc>
          <w:tcPr>
            <w:tcW w:w="785" w:type="pct"/>
          </w:tcPr>
          <w:p w14:paraId="43B68EB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2.9</w:t>
            </w:r>
          </w:p>
        </w:tc>
        <w:tc>
          <w:tcPr>
            <w:tcW w:w="785" w:type="pct"/>
          </w:tcPr>
          <w:p w14:paraId="4D8DD8A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r>
      <w:tr w:rsidR="00FC11F0" w:rsidRPr="001D7571" w14:paraId="471D48AE" w14:textId="77777777" w:rsidTr="00FC325A">
        <w:tc>
          <w:tcPr>
            <w:tcW w:w="1731" w:type="pct"/>
          </w:tcPr>
          <w:p w14:paraId="5592CE9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bioproduct performance advantage</w:t>
            </w:r>
          </w:p>
        </w:tc>
        <w:tc>
          <w:tcPr>
            <w:tcW w:w="915" w:type="pct"/>
          </w:tcPr>
          <w:p w14:paraId="7C0D3F43"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w:t>
            </w:r>
            <w:proofErr w:type="spellStart"/>
            <w:r w:rsidRPr="001D7571">
              <w:rPr>
                <w:rFonts w:asciiTheme="minorHAnsi" w:hAnsiTheme="minorHAnsi" w:cstheme="minorHAnsi"/>
                <w:sz w:val="18"/>
                <w:szCs w:val="18"/>
              </w:rPr>
              <w:t>tonIncumbent</w:t>
            </w:r>
            <w:proofErr w:type="spellEnd"/>
          </w:p>
        </w:tc>
        <w:tc>
          <w:tcPr>
            <w:tcW w:w="784" w:type="pct"/>
          </w:tcPr>
          <w:p w14:paraId="2340F29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0.35</w:t>
            </w:r>
          </w:p>
        </w:tc>
        <w:tc>
          <w:tcPr>
            <w:tcW w:w="785" w:type="pct"/>
          </w:tcPr>
          <w:p w14:paraId="0DA656A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w:t>
            </w:r>
          </w:p>
        </w:tc>
        <w:tc>
          <w:tcPr>
            <w:tcW w:w="785" w:type="pct"/>
          </w:tcPr>
          <w:p w14:paraId="4157246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31E2FCED" w14:textId="77777777" w:rsidTr="00FC325A">
        <w:tc>
          <w:tcPr>
            <w:tcW w:w="1731" w:type="pct"/>
          </w:tcPr>
          <w:p w14:paraId="497A284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bioproduct price fluctuations</w:t>
            </w:r>
          </w:p>
        </w:tc>
        <w:tc>
          <w:tcPr>
            <w:tcW w:w="915" w:type="pct"/>
          </w:tcPr>
          <w:p w14:paraId="6E692428"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29CFAF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6B55511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0.025</w:t>
            </w:r>
          </w:p>
        </w:tc>
        <w:tc>
          <w:tcPr>
            <w:tcW w:w="785" w:type="pct"/>
          </w:tcPr>
          <w:p w14:paraId="4315AEE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304DEDC4" w14:textId="77777777" w:rsidTr="00FC325A">
        <w:tc>
          <w:tcPr>
            <w:tcW w:w="1731" w:type="pct"/>
          </w:tcPr>
          <w:p w14:paraId="6C0DEE5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bioproduct price reversion time</w:t>
            </w:r>
          </w:p>
        </w:tc>
        <w:tc>
          <w:tcPr>
            <w:tcW w:w="915" w:type="pct"/>
          </w:tcPr>
          <w:p w14:paraId="6D7E063A" w14:textId="07E3D669"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16C1D1F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0.35</w:t>
            </w:r>
          </w:p>
        </w:tc>
        <w:tc>
          <w:tcPr>
            <w:tcW w:w="785" w:type="pct"/>
          </w:tcPr>
          <w:p w14:paraId="249FA93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3.3</w:t>
            </w:r>
          </w:p>
        </w:tc>
        <w:tc>
          <w:tcPr>
            <w:tcW w:w="785" w:type="pct"/>
          </w:tcPr>
          <w:p w14:paraId="1C2AC82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3364A308" w14:textId="77777777" w:rsidTr="00FC325A">
        <w:tc>
          <w:tcPr>
            <w:tcW w:w="1731" w:type="pct"/>
          </w:tcPr>
          <w:p w14:paraId="38A7515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business as usual runway</w:t>
            </w:r>
          </w:p>
        </w:tc>
        <w:tc>
          <w:tcPr>
            <w:tcW w:w="915" w:type="pct"/>
          </w:tcPr>
          <w:p w14:paraId="05E962D6" w14:textId="3EE51226"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65815D7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c>
          <w:tcPr>
            <w:tcW w:w="785" w:type="pct"/>
          </w:tcPr>
          <w:p w14:paraId="2EEC9BF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3.7</w:t>
            </w:r>
          </w:p>
        </w:tc>
        <w:tc>
          <w:tcPr>
            <w:tcW w:w="785" w:type="pct"/>
          </w:tcPr>
          <w:p w14:paraId="4629245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r>
      <w:tr w:rsidR="00FC11F0" w:rsidRPr="001D7571" w14:paraId="4F7BB416" w14:textId="77777777" w:rsidTr="00FC325A">
        <w:tc>
          <w:tcPr>
            <w:tcW w:w="1731" w:type="pct"/>
          </w:tcPr>
          <w:p w14:paraId="36CF39E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capital cost input</w:t>
            </w:r>
          </w:p>
        </w:tc>
        <w:tc>
          <w:tcPr>
            <w:tcW w:w="915" w:type="pct"/>
          </w:tcPr>
          <w:p w14:paraId="46EE390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
        </w:tc>
        <w:tc>
          <w:tcPr>
            <w:tcW w:w="784" w:type="pct"/>
          </w:tcPr>
          <w:p w14:paraId="3C0D912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120374400</w:t>
            </w:r>
          </w:p>
        </w:tc>
        <w:tc>
          <w:tcPr>
            <w:tcW w:w="785" w:type="pct"/>
          </w:tcPr>
          <w:p w14:paraId="6F86BBC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1320998400</w:t>
            </w:r>
          </w:p>
        </w:tc>
        <w:tc>
          <w:tcPr>
            <w:tcW w:w="785" w:type="pct"/>
          </w:tcPr>
          <w:p w14:paraId="1EDE414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4.01248e+08</w:t>
            </w:r>
          </w:p>
        </w:tc>
      </w:tr>
      <w:tr w:rsidR="00FC11F0" w:rsidRPr="001D7571" w14:paraId="08AA5E45" w14:textId="77777777" w:rsidTr="00FC325A">
        <w:tc>
          <w:tcPr>
            <w:tcW w:w="1731" w:type="pct"/>
          </w:tcPr>
          <w:p w14:paraId="57B881A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fixed operating cost input</w:t>
            </w:r>
          </w:p>
        </w:tc>
        <w:tc>
          <w:tcPr>
            <w:tcW w:w="915" w:type="pct"/>
          </w:tcPr>
          <w:p w14:paraId="5C53302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USD/year</w:t>
            </w:r>
          </w:p>
        </w:tc>
        <w:tc>
          <w:tcPr>
            <w:tcW w:w="784" w:type="pct"/>
          </w:tcPr>
          <w:p w14:paraId="7E6AF00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3420000</w:t>
            </w:r>
          </w:p>
        </w:tc>
        <w:tc>
          <w:tcPr>
            <w:tcW w:w="785" w:type="pct"/>
          </w:tcPr>
          <w:p w14:paraId="67872EA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34120000</w:t>
            </w:r>
          </w:p>
        </w:tc>
        <w:tc>
          <w:tcPr>
            <w:tcW w:w="785" w:type="pct"/>
          </w:tcPr>
          <w:p w14:paraId="4815D57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1.14e+07</w:t>
            </w:r>
          </w:p>
        </w:tc>
      </w:tr>
      <w:tr w:rsidR="00FC11F0" w:rsidRPr="001D7571" w14:paraId="4B970B7A" w14:textId="77777777" w:rsidTr="00FC325A">
        <w:tc>
          <w:tcPr>
            <w:tcW w:w="1731" w:type="pct"/>
          </w:tcPr>
          <w:p w14:paraId="0AEF271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plant capacity</w:t>
            </w:r>
          </w:p>
        </w:tc>
        <w:tc>
          <w:tcPr>
            <w:tcW w:w="915" w:type="pct"/>
          </w:tcPr>
          <w:p w14:paraId="13BBE67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2A852AC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8589.5</w:t>
            </w:r>
          </w:p>
        </w:tc>
        <w:tc>
          <w:tcPr>
            <w:tcW w:w="785" w:type="pct"/>
          </w:tcPr>
          <w:p w14:paraId="51C74CC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2522904</w:t>
            </w:r>
          </w:p>
        </w:tc>
        <w:tc>
          <w:tcPr>
            <w:tcW w:w="785" w:type="pct"/>
          </w:tcPr>
          <w:p w14:paraId="65D8DCA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28630</w:t>
            </w:r>
          </w:p>
        </w:tc>
      </w:tr>
      <w:tr w:rsidR="00FC11F0" w:rsidRPr="001D7571" w14:paraId="55CF92DF" w14:textId="77777777" w:rsidTr="00FC325A">
        <w:tc>
          <w:tcPr>
            <w:tcW w:w="1731" w:type="pct"/>
          </w:tcPr>
          <w:p w14:paraId="7CA0225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plant capacity input</w:t>
            </w:r>
          </w:p>
        </w:tc>
        <w:tc>
          <w:tcPr>
            <w:tcW w:w="915" w:type="pct"/>
          </w:tcPr>
          <w:p w14:paraId="2652F180"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5707797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8589.5</w:t>
            </w:r>
          </w:p>
        </w:tc>
        <w:tc>
          <w:tcPr>
            <w:tcW w:w="785" w:type="pct"/>
          </w:tcPr>
          <w:p w14:paraId="54CBAC6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2522904</w:t>
            </w:r>
          </w:p>
        </w:tc>
        <w:tc>
          <w:tcPr>
            <w:tcW w:w="785" w:type="pct"/>
          </w:tcPr>
          <w:p w14:paraId="24A129D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28630</w:t>
            </w:r>
          </w:p>
        </w:tc>
      </w:tr>
      <w:tr w:rsidR="00FC11F0" w:rsidRPr="001D7571" w14:paraId="5D15C74D" w14:textId="77777777" w:rsidTr="00FC325A">
        <w:tc>
          <w:tcPr>
            <w:tcW w:w="1731" w:type="pct"/>
          </w:tcPr>
          <w:p w14:paraId="1742467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plant startup period</w:t>
            </w:r>
          </w:p>
        </w:tc>
        <w:tc>
          <w:tcPr>
            <w:tcW w:w="915" w:type="pct"/>
          </w:tcPr>
          <w:p w14:paraId="6495E15A" w14:textId="1E6A1AF9"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64F3144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0.9095</w:t>
            </w:r>
          </w:p>
        </w:tc>
        <w:tc>
          <w:tcPr>
            <w:tcW w:w="785" w:type="pct"/>
          </w:tcPr>
          <w:p w14:paraId="5C5DFF2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12.4</w:t>
            </w:r>
          </w:p>
        </w:tc>
        <w:tc>
          <w:tcPr>
            <w:tcW w:w="785" w:type="pct"/>
          </w:tcPr>
          <w:p w14:paraId="1D122B5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w:t>
            </w:r>
          </w:p>
        </w:tc>
      </w:tr>
      <w:tr w:rsidR="00FC11F0" w:rsidRPr="001D7571" w14:paraId="31A13353" w14:textId="77777777" w:rsidTr="00FC325A">
        <w:tc>
          <w:tcPr>
            <w:tcW w:w="1731" w:type="pct"/>
          </w:tcPr>
          <w:p w14:paraId="278BCA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process yield input</w:t>
            </w:r>
          </w:p>
        </w:tc>
        <w:tc>
          <w:tcPr>
            <w:tcW w:w="915" w:type="pct"/>
          </w:tcPr>
          <w:p w14:paraId="38DA43E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w:t>
            </w:r>
            <w:proofErr w:type="spellStart"/>
            <w:r w:rsidRPr="001D7571">
              <w:rPr>
                <w:rFonts w:asciiTheme="minorHAnsi" w:hAnsiTheme="minorHAnsi" w:cstheme="minorHAnsi"/>
                <w:sz w:val="18"/>
                <w:szCs w:val="18"/>
              </w:rPr>
              <w:t>tonFeedstock</w:t>
            </w:r>
            <w:proofErr w:type="spellEnd"/>
          </w:p>
        </w:tc>
        <w:tc>
          <w:tcPr>
            <w:tcW w:w="784" w:type="pct"/>
          </w:tcPr>
          <w:p w14:paraId="286BC22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0.236</w:t>
            </w:r>
          </w:p>
        </w:tc>
        <w:tc>
          <w:tcPr>
            <w:tcW w:w="785" w:type="pct"/>
          </w:tcPr>
          <w:p w14:paraId="4904CFE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1.116</w:t>
            </w:r>
          </w:p>
        </w:tc>
        <w:tc>
          <w:tcPr>
            <w:tcW w:w="785" w:type="pct"/>
          </w:tcPr>
          <w:p w14:paraId="58A79F9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0.77</w:t>
            </w:r>
          </w:p>
        </w:tc>
      </w:tr>
      <w:tr w:rsidR="00FC11F0" w:rsidRPr="001D7571" w14:paraId="0B1D4989" w14:textId="77777777" w:rsidTr="00FC325A">
        <w:tc>
          <w:tcPr>
            <w:tcW w:w="1731" w:type="pct"/>
          </w:tcPr>
          <w:p w14:paraId="103AD31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variable operating cost input</w:t>
            </w:r>
          </w:p>
        </w:tc>
        <w:tc>
          <w:tcPr>
            <w:tcW w:w="915" w:type="pct"/>
          </w:tcPr>
          <w:p w14:paraId="3BC0EE5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tonProduct</w:t>
            </w:r>
            <w:proofErr w:type="spellEnd"/>
          </w:p>
        </w:tc>
        <w:tc>
          <w:tcPr>
            <w:tcW w:w="784" w:type="pct"/>
          </w:tcPr>
          <w:p w14:paraId="7383BF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365.7</w:t>
            </w:r>
          </w:p>
        </w:tc>
        <w:tc>
          <w:tcPr>
            <w:tcW w:w="785" w:type="pct"/>
          </w:tcPr>
          <w:p w14:paraId="204C863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1975.2</w:t>
            </w:r>
          </w:p>
        </w:tc>
        <w:tc>
          <w:tcPr>
            <w:tcW w:w="785" w:type="pct"/>
          </w:tcPr>
          <w:p w14:paraId="32C6AE6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1219</w:t>
            </w:r>
          </w:p>
        </w:tc>
      </w:tr>
      <w:tr w:rsidR="00FC11F0" w:rsidRPr="001D7571" w14:paraId="3545E6F2" w14:textId="77777777" w:rsidTr="00FC325A">
        <w:tc>
          <w:tcPr>
            <w:tcW w:w="1731" w:type="pct"/>
          </w:tcPr>
          <w:p w14:paraId="7D9AD55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custom feedstock long term price change</w:t>
            </w:r>
          </w:p>
        </w:tc>
        <w:tc>
          <w:tcPr>
            <w:tcW w:w="915" w:type="pct"/>
          </w:tcPr>
          <w:p w14:paraId="37F89E1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7D5A6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-0.05</w:t>
            </w:r>
          </w:p>
        </w:tc>
        <w:tc>
          <w:tcPr>
            <w:tcW w:w="785" w:type="pct"/>
          </w:tcPr>
          <w:p w14:paraId="3A618E0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0.05</w:t>
            </w:r>
          </w:p>
        </w:tc>
        <w:tc>
          <w:tcPr>
            <w:tcW w:w="785" w:type="pct"/>
          </w:tcPr>
          <w:p w14:paraId="4B91D93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08F96CEE" w14:textId="77777777" w:rsidTr="00FC325A">
        <w:tc>
          <w:tcPr>
            <w:tcW w:w="1731" w:type="pct"/>
          </w:tcPr>
          <w:p w14:paraId="55B9A9F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custom feedstock maximum fluctuation magnitude</w:t>
            </w:r>
          </w:p>
        </w:tc>
        <w:tc>
          <w:tcPr>
            <w:tcW w:w="915" w:type="pct"/>
          </w:tcPr>
          <w:p w14:paraId="4EB9DFE3"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4BCEF70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0.1425</w:t>
            </w:r>
          </w:p>
        </w:tc>
        <w:tc>
          <w:tcPr>
            <w:tcW w:w="785" w:type="pct"/>
          </w:tcPr>
          <w:p w14:paraId="5DE7D98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0.76</w:t>
            </w:r>
          </w:p>
        </w:tc>
        <w:tc>
          <w:tcPr>
            <w:tcW w:w="785" w:type="pct"/>
          </w:tcPr>
          <w:p w14:paraId="228FFD6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0.475</w:t>
            </w:r>
          </w:p>
        </w:tc>
      </w:tr>
      <w:tr w:rsidR="00FC11F0" w:rsidRPr="001D7571" w14:paraId="1C06B386" w14:textId="77777777" w:rsidTr="00FC325A">
        <w:tc>
          <w:tcPr>
            <w:tcW w:w="1731" w:type="pct"/>
          </w:tcPr>
          <w:p w14:paraId="63D49A6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custom feedstock periodic fluctuation magnitude</w:t>
            </w:r>
          </w:p>
        </w:tc>
        <w:tc>
          <w:tcPr>
            <w:tcW w:w="915" w:type="pct"/>
          </w:tcPr>
          <w:p w14:paraId="6E339D1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tonFeedstock</w:t>
            </w:r>
            <w:proofErr w:type="spellEnd"/>
          </w:p>
        </w:tc>
        <w:tc>
          <w:tcPr>
            <w:tcW w:w="784" w:type="pct"/>
          </w:tcPr>
          <w:p w14:paraId="4D1E15A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1.05</w:t>
            </w:r>
          </w:p>
        </w:tc>
        <w:tc>
          <w:tcPr>
            <w:tcW w:w="785" w:type="pct"/>
          </w:tcPr>
          <w:p w14:paraId="16319E9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5.6</w:t>
            </w:r>
          </w:p>
        </w:tc>
        <w:tc>
          <w:tcPr>
            <w:tcW w:w="785" w:type="pct"/>
          </w:tcPr>
          <w:p w14:paraId="089D77B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3.5</w:t>
            </w:r>
          </w:p>
        </w:tc>
      </w:tr>
      <w:tr w:rsidR="00FC11F0" w:rsidRPr="001D7571" w14:paraId="597130BD" w14:textId="77777777" w:rsidTr="00FC325A">
        <w:tc>
          <w:tcPr>
            <w:tcW w:w="1731" w:type="pct"/>
          </w:tcPr>
          <w:p w14:paraId="4821E1D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custom feedstock reversion time</w:t>
            </w:r>
          </w:p>
        </w:tc>
        <w:tc>
          <w:tcPr>
            <w:tcW w:w="915" w:type="pct"/>
          </w:tcPr>
          <w:p w14:paraId="56E0C300" w14:textId="04CFA931"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07A5BA0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0.3095</w:t>
            </w:r>
          </w:p>
        </w:tc>
        <w:tc>
          <w:tcPr>
            <w:tcW w:w="785" w:type="pct"/>
          </w:tcPr>
          <w:p w14:paraId="7BDF89D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3.3</w:t>
            </w:r>
          </w:p>
        </w:tc>
        <w:tc>
          <w:tcPr>
            <w:tcW w:w="785" w:type="pct"/>
          </w:tcPr>
          <w:p w14:paraId="49B9013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1F1D9422" w14:textId="77777777" w:rsidTr="00FC325A">
        <w:tc>
          <w:tcPr>
            <w:tcW w:w="1731" w:type="pct"/>
          </w:tcPr>
          <w:p w14:paraId="6667A99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custom feedstock starting price</w:t>
            </w:r>
          </w:p>
        </w:tc>
        <w:tc>
          <w:tcPr>
            <w:tcW w:w="915" w:type="pct"/>
          </w:tcPr>
          <w:p w14:paraId="31E2B58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tonFeedstock</w:t>
            </w:r>
            <w:proofErr w:type="spellEnd"/>
          </w:p>
        </w:tc>
        <w:tc>
          <w:tcPr>
            <w:tcW w:w="784" w:type="pct"/>
          </w:tcPr>
          <w:p w14:paraId="615B50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12.5</w:t>
            </w:r>
          </w:p>
        </w:tc>
        <w:tc>
          <w:tcPr>
            <w:tcW w:w="785" w:type="pct"/>
          </w:tcPr>
          <w:p w14:paraId="07221D9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282</w:t>
            </w:r>
          </w:p>
        </w:tc>
        <w:tc>
          <w:tcPr>
            <w:tcW w:w="785" w:type="pct"/>
          </w:tcPr>
          <w:p w14:paraId="42D5CCC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40</w:t>
            </w:r>
          </w:p>
        </w:tc>
      </w:tr>
      <w:tr w:rsidR="00FC11F0" w:rsidRPr="001D7571" w14:paraId="4FC0485F" w14:textId="77777777" w:rsidTr="00FC325A">
        <w:tc>
          <w:tcPr>
            <w:tcW w:w="1731" w:type="pct"/>
          </w:tcPr>
          <w:p w14:paraId="4CC8ABC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demo capacity</w:t>
            </w:r>
          </w:p>
        </w:tc>
        <w:tc>
          <w:tcPr>
            <w:tcW w:w="915" w:type="pct"/>
          </w:tcPr>
          <w:p w14:paraId="4972B973"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5141478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5153.3</w:t>
            </w:r>
          </w:p>
        </w:tc>
        <w:tc>
          <w:tcPr>
            <w:tcW w:w="785" w:type="pct"/>
          </w:tcPr>
          <w:p w14:paraId="5062865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513741</w:t>
            </w:r>
          </w:p>
        </w:tc>
        <w:tc>
          <w:tcPr>
            <w:tcW w:w="785" w:type="pct"/>
          </w:tcPr>
          <w:p w14:paraId="6EC9D36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17176</w:t>
            </w:r>
          </w:p>
        </w:tc>
      </w:tr>
      <w:tr w:rsidR="00FC11F0" w:rsidRPr="001D7571" w14:paraId="02CA173E" w14:textId="77777777" w:rsidTr="00FC325A">
        <w:tc>
          <w:tcPr>
            <w:tcW w:w="1731" w:type="pct"/>
          </w:tcPr>
          <w:p w14:paraId="1EA54DA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demoing acceptable rate</w:t>
            </w:r>
          </w:p>
        </w:tc>
        <w:tc>
          <w:tcPr>
            <w:tcW w:w="915" w:type="pct"/>
          </w:tcPr>
          <w:p w14:paraId="46A039F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hours/year</w:t>
            </w:r>
          </w:p>
        </w:tc>
        <w:tc>
          <w:tcPr>
            <w:tcW w:w="784" w:type="pct"/>
          </w:tcPr>
          <w:p w14:paraId="0BDD55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2607.3</w:t>
            </w:r>
          </w:p>
        </w:tc>
        <w:tc>
          <w:tcPr>
            <w:tcW w:w="785" w:type="pct"/>
          </w:tcPr>
          <w:p w14:paraId="451BACB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11111.8</w:t>
            </w:r>
          </w:p>
        </w:tc>
        <w:tc>
          <w:tcPr>
            <w:tcW w:w="785" w:type="pct"/>
          </w:tcPr>
          <w:p w14:paraId="51BE0B7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8411</w:t>
            </w:r>
          </w:p>
        </w:tc>
      </w:tr>
      <w:tr w:rsidR="00FC11F0" w:rsidRPr="001D7571" w14:paraId="08BFDF56" w14:textId="77777777" w:rsidTr="00FC325A">
        <w:tc>
          <w:tcPr>
            <w:tcW w:w="1731" w:type="pct"/>
          </w:tcPr>
          <w:p w14:paraId="1DEA5E8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demoing failure default recovery time</w:t>
            </w:r>
          </w:p>
        </w:tc>
        <w:tc>
          <w:tcPr>
            <w:tcW w:w="915" w:type="pct"/>
          </w:tcPr>
          <w:p w14:paraId="4339DD1B" w14:textId="172E7859"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1DE420C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0.32</w:t>
            </w:r>
          </w:p>
        </w:tc>
        <w:tc>
          <w:tcPr>
            <w:tcW w:w="785" w:type="pct"/>
          </w:tcPr>
          <w:p w14:paraId="53CA9FE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2.02</w:t>
            </w:r>
          </w:p>
        </w:tc>
        <w:tc>
          <w:tcPr>
            <w:tcW w:w="785" w:type="pct"/>
          </w:tcPr>
          <w:p w14:paraId="1F65357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0.65</w:t>
            </w:r>
          </w:p>
        </w:tc>
      </w:tr>
      <w:tr w:rsidR="00FC11F0" w:rsidRPr="001D7571" w14:paraId="4C06E7C7" w14:textId="77777777" w:rsidTr="00FC325A">
        <w:tc>
          <w:tcPr>
            <w:tcW w:w="1731" w:type="pct"/>
          </w:tcPr>
          <w:p w14:paraId="43E78A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demoing failure distribution max</w:t>
            </w:r>
          </w:p>
        </w:tc>
        <w:tc>
          <w:tcPr>
            <w:tcW w:w="915" w:type="pct"/>
          </w:tcPr>
          <w:p w14:paraId="24CAB2FF"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F4199E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62B944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787C1A3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78DFEC1B" w14:textId="77777777" w:rsidTr="00FC325A">
        <w:tc>
          <w:tcPr>
            <w:tcW w:w="1731" w:type="pct"/>
          </w:tcPr>
          <w:p w14:paraId="3FF6ACD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demoing management overhead</w:t>
            </w:r>
          </w:p>
        </w:tc>
        <w:tc>
          <w:tcPr>
            <w:tcW w:w="915" w:type="pct"/>
          </w:tcPr>
          <w:p w14:paraId="75525F8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USD/year</w:t>
            </w:r>
          </w:p>
        </w:tc>
        <w:tc>
          <w:tcPr>
            <w:tcW w:w="784" w:type="pct"/>
          </w:tcPr>
          <w:p w14:paraId="742744D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450050</w:t>
            </w:r>
          </w:p>
        </w:tc>
        <w:tc>
          <w:tcPr>
            <w:tcW w:w="785" w:type="pct"/>
          </w:tcPr>
          <w:p w14:paraId="21899A2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6200000</w:t>
            </w:r>
          </w:p>
        </w:tc>
        <w:tc>
          <w:tcPr>
            <w:tcW w:w="785" w:type="pct"/>
          </w:tcPr>
          <w:p w14:paraId="36EB386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1.5e+06</w:t>
            </w:r>
          </w:p>
        </w:tc>
      </w:tr>
      <w:tr w:rsidR="00FC11F0" w:rsidRPr="001D7571" w14:paraId="6094195C" w14:textId="77777777" w:rsidTr="00FC325A">
        <w:tc>
          <w:tcPr>
            <w:tcW w:w="1731" w:type="pct"/>
          </w:tcPr>
          <w:p w14:paraId="4171D17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duration of intellectual property</w:t>
            </w:r>
          </w:p>
        </w:tc>
        <w:tc>
          <w:tcPr>
            <w:tcW w:w="915" w:type="pct"/>
          </w:tcPr>
          <w:p w14:paraId="467D1C8B" w14:textId="5EE82762"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48BCCC5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6</w:t>
            </w:r>
          </w:p>
        </w:tc>
        <w:tc>
          <w:tcPr>
            <w:tcW w:w="785" w:type="pct"/>
          </w:tcPr>
          <w:p w14:paraId="0DF75F1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32</w:t>
            </w:r>
          </w:p>
        </w:tc>
        <w:tc>
          <w:tcPr>
            <w:tcW w:w="785" w:type="pct"/>
          </w:tcPr>
          <w:p w14:paraId="66081ED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w:t>
            </w:r>
          </w:p>
        </w:tc>
      </w:tr>
      <w:tr w:rsidR="00FC11F0" w:rsidRPr="001D7571" w14:paraId="6A9BA3C4" w14:textId="77777777" w:rsidTr="00FC325A">
        <w:tc>
          <w:tcPr>
            <w:tcW w:w="1731" w:type="pct"/>
          </w:tcPr>
          <w:p w14:paraId="2C9DD6E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effectiveness of intellectual property</w:t>
            </w:r>
          </w:p>
        </w:tc>
        <w:tc>
          <w:tcPr>
            <w:tcW w:w="915" w:type="pct"/>
          </w:tcPr>
          <w:p w14:paraId="3E4A5F1E"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462FDDC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0.12</w:t>
            </w:r>
          </w:p>
        </w:tc>
        <w:tc>
          <w:tcPr>
            <w:tcW w:w="785" w:type="pct"/>
          </w:tcPr>
          <w:p w14:paraId="355B4FD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0.82</w:t>
            </w:r>
          </w:p>
        </w:tc>
        <w:tc>
          <w:tcPr>
            <w:tcW w:w="785" w:type="pct"/>
          </w:tcPr>
          <w:p w14:paraId="0B12C85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0.4</w:t>
            </w:r>
          </w:p>
        </w:tc>
      </w:tr>
      <w:tr w:rsidR="00FC11F0" w:rsidRPr="001D7571" w14:paraId="6B9522E3" w14:textId="77777777" w:rsidTr="00FC325A">
        <w:tc>
          <w:tcPr>
            <w:tcW w:w="1731" w:type="pct"/>
          </w:tcPr>
          <w:p w14:paraId="6FE675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elasticity of demand</w:t>
            </w:r>
          </w:p>
        </w:tc>
        <w:tc>
          <w:tcPr>
            <w:tcW w:w="915" w:type="pct"/>
          </w:tcPr>
          <w:p w14:paraId="77483D73"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296A51F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0.35</w:t>
            </w:r>
          </w:p>
        </w:tc>
        <w:tc>
          <w:tcPr>
            <w:tcW w:w="785" w:type="pct"/>
          </w:tcPr>
          <w:p w14:paraId="6ED6A3C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w:t>
            </w:r>
          </w:p>
        </w:tc>
        <w:tc>
          <w:tcPr>
            <w:tcW w:w="785" w:type="pct"/>
          </w:tcPr>
          <w:p w14:paraId="3B55F49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1A995F05" w14:textId="77777777" w:rsidTr="00FC325A">
        <w:tc>
          <w:tcPr>
            <w:tcW w:w="1731" w:type="pct"/>
          </w:tcPr>
          <w:p w14:paraId="53685D1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elasticity of supply</w:t>
            </w:r>
          </w:p>
        </w:tc>
        <w:tc>
          <w:tcPr>
            <w:tcW w:w="915" w:type="pct"/>
          </w:tcPr>
          <w:p w14:paraId="65C83AA8"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4D7F302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0.35</w:t>
            </w:r>
          </w:p>
        </w:tc>
        <w:tc>
          <w:tcPr>
            <w:tcW w:w="785" w:type="pct"/>
          </w:tcPr>
          <w:p w14:paraId="2367EC7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w:t>
            </w:r>
          </w:p>
        </w:tc>
        <w:tc>
          <w:tcPr>
            <w:tcW w:w="785" w:type="pct"/>
          </w:tcPr>
          <w:p w14:paraId="64E75A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6BCC496A" w14:textId="77777777" w:rsidTr="00FC325A">
        <w:tc>
          <w:tcPr>
            <w:tcW w:w="1731" w:type="pct"/>
          </w:tcPr>
          <w:p w14:paraId="08DEF98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expected continuity of government policy</w:t>
            </w:r>
          </w:p>
        </w:tc>
        <w:tc>
          <w:tcPr>
            <w:tcW w:w="915" w:type="pct"/>
          </w:tcPr>
          <w:p w14:paraId="6D17075B"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2782161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w:t>
            </w:r>
          </w:p>
        </w:tc>
        <w:tc>
          <w:tcPr>
            <w:tcW w:w="785" w:type="pct"/>
          </w:tcPr>
          <w:p w14:paraId="44951BC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1.3</w:t>
            </w:r>
          </w:p>
        </w:tc>
        <w:tc>
          <w:tcPr>
            <w:tcW w:w="785" w:type="pct"/>
          </w:tcPr>
          <w:p w14:paraId="2757BBC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1FF795C8" w14:textId="77777777" w:rsidTr="00FC325A">
        <w:tc>
          <w:tcPr>
            <w:tcW w:w="1731" w:type="pct"/>
          </w:tcPr>
          <w:p w14:paraId="17294C3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expected green premium</w:t>
            </w:r>
          </w:p>
        </w:tc>
        <w:tc>
          <w:tcPr>
            <w:tcW w:w="915" w:type="pct"/>
          </w:tcPr>
          <w:p w14:paraId="265D9241"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6EC08AE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6B9D77B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c>
          <w:tcPr>
            <w:tcW w:w="785" w:type="pct"/>
          </w:tcPr>
          <w:p w14:paraId="130773F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1D075C80" w14:textId="77777777" w:rsidTr="00FC325A">
        <w:tc>
          <w:tcPr>
            <w:tcW w:w="1731" w:type="pct"/>
          </w:tcPr>
          <w:p w14:paraId="7839DA1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feedstock approval maximum cost</w:t>
            </w:r>
          </w:p>
        </w:tc>
        <w:tc>
          <w:tcPr>
            <w:tcW w:w="915" w:type="pct"/>
          </w:tcPr>
          <w:p w14:paraId="5E70ACA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
        </w:tc>
        <w:tc>
          <w:tcPr>
            <w:tcW w:w="784" w:type="pct"/>
          </w:tcPr>
          <w:p w14:paraId="239C45B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300500</w:t>
            </w:r>
          </w:p>
        </w:tc>
        <w:tc>
          <w:tcPr>
            <w:tcW w:w="785" w:type="pct"/>
          </w:tcPr>
          <w:p w14:paraId="3D2BE03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5800000</w:t>
            </w:r>
          </w:p>
        </w:tc>
        <w:tc>
          <w:tcPr>
            <w:tcW w:w="785" w:type="pct"/>
          </w:tcPr>
          <w:p w14:paraId="57456A2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1e+06</w:t>
            </w:r>
          </w:p>
        </w:tc>
      </w:tr>
      <w:tr w:rsidR="00FC11F0" w:rsidRPr="001D7571" w14:paraId="2077DFB4" w14:textId="77777777" w:rsidTr="00FC325A">
        <w:tc>
          <w:tcPr>
            <w:tcW w:w="1731" w:type="pct"/>
          </w:tcPr>
          <w:p w14:paraId="3E7462A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feedstock approval maximum time</w:t>
            </w:r>
          </w:p>
        </w:tc>
        <w:tc>
          <w:tcPr>
            <w:tcW w:w="915" w:type="pct"/>
          </w:tcPr>
          <w:p w14:paraId="11F99DCD" w14:textId="0CBFA224"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302781F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76B2897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3A4FBFA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50FD8097" w14:textId="77777777" w:rsidTr="00FC325A">
        <w:tc>
          <w:tcPr>
            <w:tcW w:w="1731" w:type="pct"/>
          </w:tcPr>
          <w:p w14:paraId="31CDD02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lastRenderedPageBreak/>
              <w:t>feedstock approval required switch</w:t>
            </w:r>
          </w:p>
        </w:tc>
        <w:tc>
          <w:tcPr>
            <w:tcW w:w="915" w:type="pct"/>
          </w:tcPr>
          <w:p w14:paraId="3FB79195"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058CF0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6A0C225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c>
          <w:tcPr>
            <w:tcW w:w="785" w:type="pct"/>
          </w:tcPr>
          <w:p w14:paraId="6E8DCCF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36E54AA2" w14:textId="77777777" w:rsidTr="00FC325A">
        <w:tc>
          <w:tcPr>
            <w:tcW w:w="1731" w:type="pct"/>
          </w:tcPr>
          <w:p w14:paraId="283AFEB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government capital cost share</w:t>
            </w:r>
          </w:p>
        </w:tc>
        <w:tc>
          <w:tcPr>
            <w:tcW w:w="915" w:type="pct"/>
          </w:tcPr>
          <w:p w14:paraId="7A4B8959"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3EE122B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0.15</w:t>
            </w:r>
          </w:p>
        </w:tc>
        <w:tc>
          <w:tcPr>
            <w:tcW w:w="785" w:type="pct"/>
          </w:tcPr>
          <w:p w14:paraId="5DFE1C1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0.9</w:t>
            </w:r>
          </w:p>
        </w:tc>
        <w:tc>
          <w:tcPr>
            <w:tcW w:w="785" w:type="pct"/>
          </w:tcPr>
          <w:p w14:paraId="7888E5D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r>
      <w:tr w:rsidR="00FC11F0" w:rsidRPr="001D7571" w14:paraId="3434F4EA" w14:textId="77777777" w:rsidTr="00FC325A">
        <w:tc>
          <w:tcPr>
            <w:tcW w:w="1731" w:type="pct"/>
          </w:tcPr>
          <w:p w14:paraId="156CFC4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government operating cost share</w:t>
            </w:r>
          </w:p>
        </w:tc>
        <w:tc>
          <w:tcPr>
            <w:tcW w:w="915" w:type="pct"/>
          </w:tcPr>
          <w:p w14:paraId="1115DD19"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ECFC44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0.15</w:t>
            </w:r>
          </w:p>
        </w:tc>
        <w:tc>
          <w:tcPr>
            <w:tcW w:w="785" w:type="pct"/>
          </w:tcPr>
          <w:p w14:paraId="53A89F9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0.9</w:t>
            </w:r>
          </w:p>
        </w:tc>
        <w:tc>
          <w:tcPr>
            <w:tcW w:w="785" w:type="pct"/>
          </w:tcPr>
          <w:p w14:paraId="07005E7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r>
      <w:tr w:rsidR="00FC11F0" w:rsidRPr="001D7571" w14:paraId="1880190E" w14:textId="77777777" w:rsidTr="00FC325A">
        <w:tc>
          <w:tcPr>
            <w:tcW w:w="1731" w:type="pct"/>
          </w:tcPr>
          <w:p w14:paraId="6EA48E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government operating grant period</w:t>
            </w:r>
          </w:p>
        </w:tc>
        <w:tc>
          <w:tcPr>
            <w:tcW w:w="915" w:type="pct"/>
          </w:tcPr>
          <w:p w14:paraId="39F1ED8A" w14:textId="7A694DDC"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11329B4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0.7</w:t>
            </w:r>
          </w:p>
        </w:tc>
        <w:tc>
          <w:tcPr>
            <w:tcW w:w="785" w:type="pct"/>
          </w:tcPr>
          <w:p w14:paraId="5D7BCB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3.7</w:t>
            </w:r>
          </w:p>
        </w:tc>
        <w:tc>
          <w:tcPr>
            <w:tcW w:w="785" w:type="pct"/>
          </w:tcPr>
          <w:p w14:paraId="714C55A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r>
      <w:tr w:rsidR="00FC11F0" w:rsidRPr="001D7571" w14:paraId="149D1234" w14:textId="77777777" w:rsidTr="00FC325A">
        <w:tc>
          <w:tcPr>
            <w:tcW w:w="1731" w:type="pct"/>
          </w:tcPr>
          <w:p w14:paraId="054DF8F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government production incentive</w:t>
            </w:r>
          </w:p>
        </w:tc>
        <w:tc>
          <w:tcPr>
            <w:tcW w:w="915" w:type="pct"/>
          </w:tcPr>
          <w:p w14:paraId="1B53FAA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tonProduct</w:t>
            </w:r>
            <w:proofErr w:type="spellEnd"/>
          </w:p>
        </w:tc>
        <w:tc>
          <w:tcPr>
            <w:tcW w:w="784" w:type="pct"/>
          </w:tcPr>
          <w:p w14:paraId="7FC304D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779CE2A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5000</w:t>
            </w:r>
          </w:p>
        </w:tc>
        <w:tc>
          <w:tcPr>
            <w:tcW w:w="785" w:type="pct"/>
          </w:tcPr>
          <w:p w14:paraId="58B0E06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0C9EF84F" w14:textId="77777777" w:rsidTr="00FC325A">
        <w:tc>
          <w:tcPr>
            <w:tcW w:w="1731" w:type="pct"/>
          </w:tcPr>
          <w:p w14:paraId="68D01F5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government research cost share</w:t>
            </w:r>
          </w:p>
        </w:tc>
        <w:tc>
          <w:tcPr>
            <w:tcW w:w="915" w:type="pct"/>
          </w:tcPr>
          <w:p w14:paraId="1350481F"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9EB811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0.15</w:t>
            </w:r>
          </w:p>
        </w:tc>
        <w:tc>
          <w:tcPr>
            <w:tcW w:w="785" w:type="pct"/>
          </w:tcPr>
          <w:p w14:paraId="2AC503B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0.9</w:t>
            </w:r>
          </w:p>
        </w:tc>
        <w:tc>
          <w:tcPr>
            <w:tcW w:w="785" w:type="pct"/>
          </w:tcPr>
          <w:p w14:paraId="632B3BB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r>
      <w:tr w:rsidR="00FC11F0" w:rsidRPr="001D7571" w14:paraId="38B66757" w14:textId="77777777" w:rsidTr="00FC325A">
        <w:tc>
          <w:tcPr>
            <w:tcW w:w="1731" w:type="pct"/>
          </w:tcPr>
          <w:p w14:paraId="49A8A8D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 xml:space="preserve">incumbent </w:t>
            </w:r>
            <w:proofErr w:type="gramStart"/>
            <w:r w:rsidRPr="001D7571">
              <w:rPr>
                <w:rFonts w:asciiTheme="minorHAnsi" w:hAnsiTheme="minorHAnsi" w:cstheme="minorHAnsi"/>
                <w:sz w:val="18"/>
                <w:szCs w:val="18"/>
              </w:rPr>
              <w:t>long term</w:t>
            </w:r>
            <w:proofErr w:type="gramEnd"/>
            <w:r w:rsidRPr="001D7571">
              <w:rPr>
                <w:rFonts w:asciiTheme="minorHAnsi" w:hAnsiTheme="minorHAnsi" w:cstheme="minorHAnsi"/>
                <w:sz w:val="18"/>
                <w:szCs w:val="18"/>
              </w:rPr>
              <w:t xml:space="preserve"> price trend</w:t>
            </w:r>
          </w:p>
        </w:tc>
        <w:tc>
          <w:tcPr>
            <w:tcW w:w="915" w:type="pct"/>
          </w:tcPr>
          <w:p w14:paraId="66623E82"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6204EB7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-4.97</w:t>
            </w:r>
          </w:p>
        </w:tc>
        <w:tc>
          <w:tcPr>
            <w:tcW w:w="785" w:type="pct"/>
          </w:tcPr>
          <w:p w14:paraId="71CA708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5.08</w:t>
            </w:r>
          </w:p>
        </w:tc>
        <w:tc>
          <w:tcPr>
            <w:tcW w:w="785" w:type="pct"/>
          </w:tcPr>
          <w:p w14:paraId="7E4BB04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w:t>
            </w:r>
          </w:p>
        </w:tc>
      </w:tr>
      <w:tr w:rsidR="00FC11F0" w:rsidRPr="001D7571" w14:paraId="617892FF" w14:textId="77777777" w:rsidTr="00FC325A">
        <w:tc>
          <w:tcPr>
            <w:tcW w:w="1731" w:type="pct"/>
          </w:tcPr>
          <w:p w14:paraId="48A73C7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incumbent market share target economic</w:t>
            </w:r>
          </w:p>
        </w:tc>
        <w:tc>
          <w:tcPr>
            <w:tcW w:w="915" w:type="pct"/>
          </w:tcPr>
          <w:p w14:paraId="52C75C20"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4526089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0.12</w:t>
            </w:r>
          </w:p>
        </w:tc>
        <w:tc>
          <w:tcPr>
            <w:tcW w:w="785" w:type="pct"/>
          </w:tcPr>
          <w:p w14:paraId="5F25A32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0.82</w:t>
            </w:r>
          </w:p>
        </w:tc>
        <w:tc>
          <w:tcPr>
            <w:tcW w:w="785" w:type="pct"/>
          </w:tcPr>
          <w:p w14:paraId="41F14F3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0.4</w:t>
            </w:r>
          </w:p>
        </w:tc>
      </w:tr>
      <w:tr w:rsidR="00FC11F0" w:rsidRPr="001D7571" w14:paraId="5D2043C2" w14:textId="77777777" w:rsidTr="00FC325A">
        <w:tc>
          <w:tcPr>
            <w:tcW w:w="1731" w:type="pct"/>
          </w:tcPr>
          <w:p w14:paraId="69AC2C4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incumbent maximum fluctuation</w:t>
            </w:r>
          </w:p>
        </w:tc>
        <w:tc>
          <w:tcPr>
            <w:tcW w:w="915" w:type="pct"/>
          </w:tcPr>
          <w:p w14:paraId="0D2CAD3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5FDDAA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0.015</w:t>
            </w:r>
          </w:p>
        </w:tc>
        <w:tc>
          <w:tcPr>
            <w:tcW w:w="785" w:type="pct"/>
          </w:tcPr>
          <w:p w14:paraId="76B9A0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2.54</w:t>
            </w:r>
          </w:p>
        </w:tc>
        <w:tc>
          <w:tcPr>
            <w:tcW w:w="785" w:type="pct"/>
          </w:tcPr>
          <w:p w14:paraId="4A453C1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0.05</w:t>
            </w:r>
          </w:p>
        </w:tc>
      </w:tr>
      <w:tr w:rsidR="00FC11F0" w:rsidRPr="001D7571" w14:paraId="1F8FEEA6" w14:textId="77777777" w:rsidTr="00FC325A">
        <w:tc>
          <w:tcPr>
            <w:tcW w:w="1731" w:type="pct"/>
          </w:tcPr>
          <w:p w14:paraId="39D442C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incumbent price response magnitude</w:t>
            </w:r>
          </w:p>
        </w:tc>
        <w:tc>
          <w:tcPr>
            <w:tcW w:w="915" w:type="pct"/>
          </w:tcPr>
          <w:p w14:paraId="1F132D01"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3DB24F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0.06</w:t>
            </w:r>
          </w:p>
        </w:tc>
        <w:tc>
          <w:tcPr>
            <w:tcW w:w="785" w:type="pct"/>
          </w:tcPr>
          <w:p w14:paraId="7C96A2C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0.66</w:t>
            </w:r>
          </w:p>
        </w:tc>
        <w:tc>
          <w:tcPr>
            <w:tcW w:w="785" w:type="pct"/>
          </w:tcPr>
          <w:p w14:paraId="39EEF7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w:t>
            </w:r>
          </w:p>
        </w:tc>
      </w:tr>
      <w:tr w:rsidR="00FC11F0" w:rsidRPr="001D7571" w14:paraId="6581D80A" w14:textId="77777777" w:rsidTr="00FC325A">
        <w:tc>
          <w:tcPr>
            <w:tcW w:w="1731" w:type="pct"/>
          </w:tcPr>
          <w:p w14:paraId="6FC32A1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incumbent reversion time</w:t>
            </w:r>
          </w:p>
        </w:tc>
        <w:tc>
          <w:tcPr>
            <w:tcW w:w="915" w:type="pct"/>
          </w:tcPr>
          <w:p w14:paraId="2D31F797" w14:textId="19F037D3"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70F429D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0.0395</w:t>
            </w:r>
          </w:p>
        </w:tc>
        <w:tc>
          <w:tcPr>
            <w:tcW w:w="785" w:type="pct"/>
          </w:tcPr>
          <w:p w14:paraId="61F693C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2.58</w:t>
            </w:r>
          </w:p>
        </w:tc>
        <w:tc>
          <w:tcPr>
            <w:tcW w:w="785" w:type="pct"/>
          </w:tcPr>
          <w:p w14:paraId="4B8FC4E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w:t>
            </w:r>
          </w:p>
        </w:tc>
      </w:tr>
      <w:tr w:rsidR="00FC11F0" w:rsidRPr="001D7571" w14:paraId="69BC097A" w14:textId="77777777" w:rsidTr="00FC325A">
        <w:tc>
          <w:tcPr>
            <w:tcW w:w="1731" w:type="pct"/>
          </w:tcPr>
          <w:p w14:paraId="4149D6B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incumbent starting price</w:t>
            </w:r>
          </w:p>
        </w:tc>
        <w:tc>
          <w:tcPr>
            <w:tcW w:w="915" w:type="pct"/>
          </w:tcPr>
          <w:p w14:paraId="48BF179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tonIncumbent</w:t>
            </w:r>
            <w:proofErr w:type="spellEnd"/>
          </w:p>
        </w:tc>
        <w:tc>
          <w:tcPr>
            <w:tcW w:w="784" w:type="pct"/>
          </w:tcPr>
          <w:p w14:paraId="65F84E3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480</w:t>
            </w:r>
          </w:p>
        </w:tc>
        <w:tc>
          <w:tcPr>
            <w:tcW w:w="785" w:type="pct"/>
          </w:tcPr>
          <w:p w14:paraId="01DDC92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2560</w:t>
            </w:r>
          </w:p>
        </w:tc>
        <w:tc>
          <w:tcPr>
            <w:tcW w:w="785" w:type="pct"/>
          </w:tcPr>
          <w:p w14:paraId="347AE55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1600</w:t>
            </w:r>
          </w:p>
        </w:tc>
      </w:tr>
      <w:tr w:rsidR="00FC11F0" w:rsidRPr="001D7571" w14:paraId="6340CD87" w14:textId="77777777" w:rsidTr="00FC325A">
        <w:tc>
          <w:tcPr>
            <w:tcW w:w="1731" w:type="pct"/>
          </w:tcPr>
          <w:p w14:paraId="6DC46EE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initial market size</w:t>
            </w:r>
          </w:p>
        </w:tc>
        <w:tc>
          <w:tcPr>
            <w:tcW w:w="915" w:type="pct"/>
          </w:tcPr>
          <w:p w14:paraId="23DE743F"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281E6BE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60050</w:t>
            </w:r>
          </w:p>
        </w:tc>
        <w:tc>
          <w:tcPr>
            <w:tcW w:w="785" w:type="pct"/>
          </w:tcPr>
          <w:p w14:paraId="321D6C2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50160000</w:t>
            </w:r>
          </w:p>
        </w:tc>
        <w:tc>
          <w:tcPr>
            <w:tcW w:w="785" w:type="pct"/>
          </w:tcPr>
          <w:p w14:paraId="2DCB171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200000</w:t>
            </w:r>
          </w:p>
        </w:tc>
      </w:tr>
      <w:tr w:rsidR="00FC11F0" w:rsidRPr="001D7571" w14:paraId="3B967B6E" w14:textId="77777777" w:rsidTr="00FC325A">
        <w:tc>
          <w:tcPr>
            <w:tcW w:w="1731" w:type="pct"/>
          </w:tcPr>
          <w:p w14:paraId="4819928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investor history</w:t>
            </w:r>
          </w:p>
        </w:tc>
        <w:tc>
          <w:tcPr>
            <w:tcW w:w="915" w:type="pct"/>
          </w:tcPr>
          <w:p w14:paraId="181720C2" w14:textId="4F84C607"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4A50728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1.625</w:t>
            </w:r>
          </w:p>
        </w:tc>
        <w:tc>
          <w:tcPr>
            <w:tcW w:w="785" w:type="pct"/>
          </w:tcPr>
          <w:p w14:paraId="0B46FD9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3D7B3B1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56EC7672" w14:textId="77777777" w:rsidTr="00FC325A">
        <w:tc>
          <w:tcPr>
            <w:tcW w:w="1731" w:type="pct"/>
          </w:tcPr>
          <w:p w14:paraId="170A0CE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investor optimism</w:t>
            </w:r>
          </w:p>
        </w:tc>
        <w:tc>
          <w:tcPr>
            <w:tcW w:w="915" w:type="pct"/>
          </w:tcPr>
          <w:p w14:paraId="779D702D"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6DE5570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0.35</w:t>
            </w:r>
          </w:p>
        </w:tc>
        <w:tc>
          <w:tcPr>
            <w:tcW w:w="785" w:type="pct"/>
          </w:tcPr>
          <w:p w14:paraId="1248519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3.3</w:t>
            </w:r>
          </w:p>
        </w:tc>
        <w:tc>
          <w:tcPr>
            <w:tcW w:w="785" w:type="pct"/>
          </w:tcPr>
          <w:p w14:paraId="7B6E70D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076BCCF8" w14:textId="77777777" w:rsidTr="00FC325A">
        <w:tc>
          <w:tcPr>
            <w:tcW w:w="1731" w:type="pct"/>
          </w:tcPr>
          <w:p w14:paraId="4888DB0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long term market size</w:t>
            </w:r>
          </w:p>
        </w:tc>
        <w:tc>
          <w:tcPr>
            <w:tcW w:w="915" w:type="pct"/>
          </w:tcPr>
          <w:p w14:paraId="4547F07D"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73E1CDC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13250</w:t>
            </w:r>
          </w:p>
        </w:tc>
        <w:tc>
          <w:tcPr>
            <w:tcW w:w="785" w:type="pct"/>
          </w:tcPr>
          <w:p w14:paraId="38A0AB2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50035200</w:t>
            </w:r>
          </w:p>
        </w:tc>
        <w:tc>
          <w:tcPr>
            <w:tcW w:w="785" w:type="pct"/>
          </w:tcPr>
          <w:p w14:paraId="06D3D3A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44000</w:t>
            </w:r>
          </w:p>
        </w:tc>
      </w:tr>
      <w:tr w:rsidR="00FC11F0" w:rsidRPr="001D7571" w14:paraId="73D27F55" w14:textId="77777777" w:rsidTr="00FC325A">
        <w:tc>
          <w:tcPr>
            <w:tcW w:w="1731" w:type="pct"/>
          </w:tcPr>
          <w:p w14:paraId="4DA3000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management response time</w:t>
            </w:r>
          </w:p>
        </w:tc>
        <w:tc>
          <w:tcPr>
            <w:tcW w:w="915" w:type="pct"/>
          </w:tcPr>
          <w:p w14:paraId="01445C98" w14:textId="2FD058BB"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36A0DD1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0.0995</w:t>
            </w:r>
          </w:p>
        </w:tc>
        <w:tc>
          <w:tcPr>
            <w:tcW w:w="785" w:type="pct"/>
          </w:tcPr>
          <w:p w14:paraId="544F1CE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2.74</w:t>
            </w:r>
          </w:p>
        </w:tc>
        <w:tc>
          <w:tcPr>
            <w:tcW w:w="785" w:type="pct"/>
          </w:tcPr>
          <w:p w14:paraId="7A14321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w:t>
            </w:r>
          </w:p>
        </w:tc>
      </w:tr>
      <w:tr w:rsidR="00FC11F0" w:rsidRPr="001D7571" w14:paraId="359A3074" w14:textId="77777777" w:rsidTr="00FC325A">
        <w:tc>
          <w:tcPr>
            <w:tcW w:w="1731" w:type="pct"/>
          </w:tcPr>
          <w:p w14:paraId="6D6BDE2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market growth rate</w:t>
            </w:r>
          </w:p>
        </w:tc>
        <w:tc>
          <w:tcPr>
            <w:tcW w:w="915" w:type="pct"/>
          </w:tcPr>
          <w:p w14:paraId="5E359AB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1/year</w:t>
            </w:r>
          </w:p>
        </w:tc>
        <w:tc>
          <w:tcPr>
            <w:tcW w:w="784" w:type="pct"/>
          </w:tcPr>
          <w:p w14:paraId="497E1D2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0.015</w:t>
            </w:r>
          </w:p>
        </w:tc>
        <w:tc>
          <w:tcPr>
            <w:tcW w:w="785" w:type="pct"/>
          </w:tcPr>
          <w:p w14:paraId="063128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0.115</w:t>
            </w:r>
          </w:p>
        </w:tc>
        <w:tc>
          <w:tcPr>
            <w:tcW w:w="785" w:type="pct"/>
          </w:tcPr>
          <w:p w14:paraId="26EB8D5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0.05</w:t>
            </w:r>
          </w:p>
        </w:tc>
      </w:tr>
      <w:tr w:rsidR="00FC11F0" w:rsidRPr="001D7571" w14:paraId="1CDAEFA0" w14:textId="77777777" w:rsidTr="00FC325A">
        <w:tc>
          <w:tcPr>
            <w:tcW w:w="1731" w:type="pct"/>
          </w:tcPr>
          <w:p w14:paraId="7741908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max management runway response</w:t>
            </w:r>
          </w:p>
        </w:tc>
        <w:tc>
          <w:tcPr>
            <w:tcW w:w="915" w:type="pct"/>
          </w:tcPr>
          <w:p w14:paraId="29537D31"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2F67FF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4598054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29</w:t>
            </w:r>
          </w:p>
        </w:tc>
        <w:tc>
          <w:tcPr>
            <w:tcW w:w="785" w:type="pct"/>
          </w:tcPr>
          <w:p w14:paraId="740FCA9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35058FD5" w14:textId="77777777" w:rsidTr="00FC325A">
        <w:tc>
          <w:tcPr>
            <w:tcW w:w="1731" w:type="pct"/>
          </w:tcPr>
          <w:p w14:paraId="1627839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minimum runway</w:t>
            </w:r>
          </w:p>
        </w:tc>
        <w:tc>
          <w:tcPr>
            <w:tcW w:w="915" w:type="pct"/>
          </w:tcPr>
          <w:p w14:paraId="04F06073" w14:textId="0B2F5530"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14B0C36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0.0995</w:t>
            </w:r>
          </w:p>
        </w:tc>
        <w:tc>
          <w:tcPr>
            <w:tcW w:w="785" w:type="pct"/>
          </w:tcPr>
          <w:p w14:paraId="5C4596B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2.74</w:t>
            </w:r>
          </w:p>
        </w:tc>
        <w:tc>
          <w:tcPr>
            <w:tcW w:w="785" w:type="pct"/>
          </w:tcPr>
          <w:p w14:paraId="74B3E92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w:t>
            </w:r>
          </w:p>
        </w:tc>
      </w:tr>
      <w:tr w:rsidR="00FC11F0" w:rsidRPr="001D7571" w14:paraId="0431721E" w14:textId="77777777" w:rsidTr="00FC325A">
        <w:tc>
          <w:tcPr>
            <w:tcW w:w="1731" w:type="pct"/>
          </w:tcPr>
          <w:p w14:paraId="316BBD9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 xml:space="preserve">number of missed </w:t>
            </w:r>
            <w:proofErr w:type="spellStart"/>
            <w:r w:rsidRPr="001D7571">
              <w:rPr>
                <w:rFonts w:asciiTheme="minorHAnsi" w:hAnsiTheme="minorHAnsi" w:cstheme="minorHAnsi"/>
                <w:sz w:val="18"/>
                <w:szCs w:val="18"/>
              </w:rPr>
              <w:t>stagegates</w:t>
            </w:r>
            <w:proofErr w:type="spellEnd"/>
            <w:r w:rsidRPr="001D7571">
              <w:rPr>
                <w:rFonts w:asciiTheme="minorHAnsi" w:hAnsiTheme="minorHAnsi" w:cstheme="minorHAnsi"/>
                <w:sz w:val="18"/>
                <w:szCs w:val="18"/>
              </w:rPr>
              <w:t xml:space="preserve"> allowed</w:t>
            </w:r>
          </w:p>
        </w:tc>
        <w:tc>
          <w:tcPr>
            <w:tcW w:w="915" w:type="pct"/>
          </w:tcPr>
          <w:p w14:paraId="0D5604B5" w14:textId="089CE5A9"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S</w:t>
            </w:r>
            <w:r w:rsidR="00FC11F0" w:rsidRPr="001D7571">
              <w:rPr>
                <w:rFonts w:asciiTheme="minorHAnsi" w:hAnsiTheme="minorHAnsi" w:cstheme="minorHAnsi"/>
                <w:sz w:val="18"/>
                <w:szCs w:val="18"/>
              </w:rPr>
              <w:t>tages</w:t>
            </w:r>
          </w:p>
        </w:tc>
        <w:tc>
          <w:tcPr>
            <w:tcW w:w="784" w:type="pct"/>
          </w:tcPr>
          <w:p w14:paraId="37FF50F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0.9</w:t>
            </w:r>
          </w:p>
        </w:tc>
        <w:tc>
          <w:tcPr>
            <w:tcW w:w="785" w:type="pct"/>
          </w:tcPr>
          <w:p w14:paraId="58D2234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7.4</w:t>
            </w:r>
          </w:p>
        </w:tc>
        <w:tc>
          <w:tcPr>
            <w:tcW w:w="785" w:type="pct"/>
          </w:tcPr>
          <w:p w14:paraId="10A0CEF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w:t>
            </w:r>
          </w:p>
        </w:tc>
      </w:tr>
      <w:tr w:rsidR="00FC11F0" w:rsidRPr="001D7571" w14:paraId="6C75FA49" w14:textId="77777777" w:rsidTr="00FC325A">
        <w:tc>
          <w:tcPr>
            <w:tcW w:w="1731" w:type="pct"/>
          </w:tcPr>
          <w:p w14:paraId="77F390D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pathway approval maximum cost</w:t>
            </w:r>
          </w:p>
        </w:tc>
        <w:tc>
          <w:tcPr>
            <w:tcW w:w="915" w:type="pct"/>
          </w:tcPr>
          <w:p w14:paraId="5608347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
        </w:tc>
        <w:tc>
          <w:tcPr>
            <w:tcW w:w="784" w:type="pct"/>
          </w:tcPr>
          <w:p w14:paraId="13D1811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300500</w:t>
            </w:r>
          </w:p>
        </w:tc>
        <w:tc>
          <w:tcPr>
            <w:tcW w:w="785" w:type="pct"/>
          </w:tcPr>
          <w:p w14:paraId="67520A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5800000</w:t>
            </w:r>
          </w:p>
        </w:tc>
        <w:tc>
          <w:tcPr>
            <w:tcW w:w="785" w:type="pct"/>
          </w:tcPr>
          <w:p w14:paraId="51600A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1e+06</w:t>
            </w:r>
          </w:p>
        </w:tc>
      </w:tr>
      <w:tr w:rsidR="00FC11F0" w:rsidRPr="001D7571" w14:paraId="549CF9BC" w14:textId="77777777" w:rsidTr="00FC325A">
        <w:tc>
          <w:tcPr>
            <w:tcW w:w="1731" w:type="pct"/>
          </w:tcPr>
          <w:p w14:paraId="050FB5D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pathway approval maximum time</w:t>
            </w:r>
          </w:p>
        </w:tc>
        <w:tc>
          <w:tcPr>
            <w:tcW w:w="915" w:type="pct"/>
          </w:tcPr>
          <w:p w14:paraId="46BF9B33" w14:textId="0FAD5CFD"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3FB1BFC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2118183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3466537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4704B965" w14:textId="77777777" w:rsidTr="00FC325A">
        <w:tc>
          <w:tcPr>
            <w:tcW w:w="1731" w:type="pct"/>
          </w:tcPr>
          <w:p w14:paraId="252584A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pathway approval required switch</w:t>
            </w:r>
          </w:p>
        </w:tc>
        <w:tc>
          <w:tcPr>
            <w:tcW w:w="915" w:type="pct"/>
          </w:tcPr>
          <w:p w14:paraId="2B5ECEF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6F369A7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1CD0C50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c>
          <w:tcPr>
            <w:tcW w:w="785" w:type="pct"/>
          </w:tcPr>
          <w:p w14:paraId="1023C33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3BA7CCA0" w14:textId="77777777" w:rsidTr="00FC325A">
        <w:tc>
          <w:tcPr>
            <w:tcW w:w="1731" w:type="pct"/>
          </w:tcPr>
          <w:p w14:paraId="1B493C2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payback period multiplier</w:t>
            </w:r>
          </w:p>
        </w:tc>
        <w:tc>
          <w:tcPr>
            <w:tcW w:w="915" w:type="pct"/>
          </w:tcPr>
          <w:p w14:paraId="63962DB6"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1364952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w:t>
            </w:r>
          </w:p>
        </w:tc>
        <w:tc>
          <w:tcPr>
            <w:tcW w:w="785" w:type="pct"/>
          </w:tcPr>
          <w:p w14:paraId="14B9F00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w:t>
            </w:r>
          </w:p>
        </w:tc>
        <w:tc>
          <w:tcPr>
            <w:tcW w:w="785" w:type="pct"/>
          </w:tcPr>
          <w:p w14:paraId="3C3AED2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701A2F0E" w14:textId="77777777" w:rsidTr="00FC325A">
        <w:tc>
          <w:tcPr>
            <w:tcW w:w="1731" w:type="pct"/>
          </w:tcPr>
          <w:p w14:paraId="2F61F47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 and demo response time</w:t>
            </w:r>
          </w:p>
        </w:tc>
        <w:tc>
          <w:tcPr>
            <w:tcW w:w="915" w:type="pct"/>
          </w:tcPr>
          <w:p w14:paraId="5BEC20A4" w14:textId="7217B2A4"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0CAD224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0.0845</w:t>
            </w:r>
          </w:p>
        </w:tc>
        <w:tc>
          <w:tcPr>
            <w:tcW w:w="785" w:type="pct"/>
          </w:tcPr>
          <w:p w14:paraId="6907AF9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2.7</w:t>
            </w:r>
          </w:p>
        </w:tc>
        <w:tc>
          <w:tcPr>
            <w:tcW w:w="785" w:type="pct"/>
          </w:tcPr>
          <w:p w14:paraId="66E8127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0.25</w:t>
            </w:r>
          </w:p>
        </w:tc>
      </w:tr>
      <w:tr w:rsidR="00FC11F0" w:rsidRPr="001D7571" w14:paraId="0CBF4D75" w14:textId="77777777" w:rsidTr="00FC325A">
        <w:tc>
          <w:tcPr>
            <w:tcW w:w="1731" w:type="pct"/>
          </w:tcPr>
          <w:p w14:paraId="378C30A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 capacity</w:t>
            </w:r>
          </w:p>
        </w:tc>
        <w:tc>
          <w:tcPr>
            <w:tcW w:w="915" w:type="pct"/>
          </w:tcPr>
          <w:p w14:paraId="18329D22"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68C2D2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270.5</w:t>
            </w:r>
          </w:p>
        </w:tc>
        <w:tc>
          <w:tcPr>
            <w:tcW w:w="785" w:type="pct"/>
          </w:tcPr>
          <w:p w14:paraId="15127EB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500720</w:t>
            </w:r>
          </w:p>
        </w:tc>
        <w:tc>
          <w:tcPr>
            <w:tcW w:w="785" w:type="pct"/>
          </w:tcPr>
          <w:p w14:paraId="019358B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900</w:t>
            </w:r>
          </w:p>
        </w:tc>
      </w:tr>
      <w:tr w:rsidR="00FC11F0" w:rsidRPr="001D7571" w14:paraId="1D8EF088" w14:textId="77777777" w:rsidTr="00FC325A">
        <w:tc>
          <w:tcPr>
            <w:tcW w:w="1731" w:type="pct"/>
          </w:tcPr>
          <w:p w14:paraId="220B475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piloting acceptable rate</w:t>
            </w:r>
          </w:p>
        </w:tc>
        <w:tc>
          <w:tcPr>
            <w:tcW w:w="915" w:type="pct"/>
          </w:tcPr>
          <w:p w14:paraId="25BC9EA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hours/year</w:t>
            </w:r>
          </w:p>
        </w:tc>
        <w:tc>
          <w:tcPr>
            <w:tcW w:w="784" w:type="pct"/>
          </w:tcPr>
          <w:p w14:paraId="5020084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2334</w:t>
            </w:r>
          </w:p>
        </w:tc>
        <w:tc>
          <w:tcPr>
            <w:tcW w:w="785" w:type="pct"/>
          </w:tcPr>
          <w:p w14:paraId="77EB9C6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10383</w:t>
            </w:r>
          </w:p>
        </w:tc>
        <w:tc>
          <w:tcPr>
            <w:tcW w:w="785" w:type="pct"/>
          </w:tcPr>
          <w:p w14:paraId="24DBC12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7500</w:t>
            </w:r>
          </w:p>
        </w:tc>
      </w:tr>
      <w:tr w:rsidR="00FC11F0" w:rsidRPr="001D7571" w14:paraId="2C1C346A" w14:textId="77777777" w:rsidTr="00FC325A">
        <w:tc>
          <w:tcPr>
            <w:tcW w:w="1731" w:type="pct"/>
          </w:tcPr>
          <w:p w14:paraId="0FAE5DB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piloting failure default recovery time</w:t>
            </w:r>
          </w:p>
        </w:tc>
        <w:tc>
          <w:tcPr>
            <w:tcW w:w="915" w:type="pct"/>
          </w:tcPr>
          <w:p w14:paraId="2F4CD8F8" w14:textId="692FBB70"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322C662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0.26</w:t>
            </w:r>
          </w:p>
        </w:tc>
        <w:tc>
          <w:tcPr>
            <w:tcW w:w="785" w:type="pct"/>
          </w:tcPr>
          <w:p w14:paraId="6C56D72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1.86</w:t>
            </w:r>
          </w:p>
        </w:tc>
        <w:tc>
          <w:tcPr>
            <w:tcW w:w="785" w:type="pct"/>
          </w:tcPr>
          <w:p w14:paraId="5A87F05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0.45</w:t>
            </w:r>
          </w:p>
        </w:tc>
      </w:tr>
      <w:tr w:rsidR="00FC11F0" w:rsidRPr="001D7571" w14:paraId="4841D257" w14:textId="77777777" w:rsidTr="00FC325A">
        <w:tc>
          <w:tcPr>
            <w:tcW w:w="1731" w:type="pct"/>
          </w:tcPr>
          <w:p w14:paraId="5113952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piloting failure distribution max</w:t>
            </w:r>
          </w:p>
        </w:tc>
        <w:tc>
          <w:tcPr>
            <w:tcW w:w="915" w:type="pct"/>
          </w:tcPr>
          <w:p w14:paraId="774EFB45"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2C0A860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2AC5372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6AE0AC6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2184B9D9" w14:textId="77777777" w:rsidTr="00FC325A">
        <w:tc>
          <w:tcPr>
            <w:tcW w:w="1731" w:type="pct"/>
          </w:tcPr>
          <w:p w14:paraId="202F2A0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piloting management overhead</w:t>
            </w:r>
          </w:p>
        </w:tc>
        <w:tc>
          <w:tcPr>
            <w:tcW w:w="915" w:type="pct"/>
          </w:tcPr>
          <w:p w14:paraId="4C6B060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USD/year</w:t>
            </w:r>
          </w:p>
        </w:tc>
        <w:tc>
          <w:tcPr>
            <w:tcW w:w="784" w:type="pct"/>
          </w:tcPr>
          <w:p w14:paraId="40D35E6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300050</w:t>
            </w:r>
          </w:p>
        </w:tc>
        <w:tc>
          <w:tcPr>
            <w:tcW w:w="785" w:type="pct"/>
          </w:tcPr>
          <w:p w14:paraId="07D9C5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5800000</w:t>
            </w:r>
          </w:p>
        </w:tc>
        <w:tc>
          <w:tcPr>
            <w:tcW w:w="785" w:type="pct"/>
          </w:tcPr>
          <w:p w14:paraId="487A93C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1e+06</w:t>
            </w:r>
          </w:p>
        </w:tc>
      </w:tr>
      <w:tr w:rsidR="00FC11F0" w:rsidRPr="001D7571" w14:paraId="0FE13EA4" w14:textId="77777777" w:rsidTr="00FC325A">
        <w:tc>
          <w:tcPr>
            <w:tcW w:w="1731" w:type="pct"/>
          </w:tcPr>
          <w:p w14:paraId="7BDA914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product approval maximum cost</w:t>
            </w:r>
          </w:p>
        </w:tc>
        <w:tc>
          <w:tcPr>
            <w:tcW w:w="915" w:type="pct"/>
          </w:tcPr>
          <w:p w14:paraId="0B04034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
        </w:tc>
        <w:tc>
          <w:tcPr>
            <w:tcW w:w="784" w:type="pct"/>
          </w:tcPr>
          <w:p w14:paraId="33FF3E9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300500</w:t>
            </w:r>
          </w:p>
        </w:tc>
        <w:tc>
          <w:tcPr>
            <w:tcW w:w="785" w:type="pct"/>
          </w:tcPr>
          <w:p w14:paraId="6210373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5800000</w:t>
            </w:r>
          </w:p>
        </w:tc>
        <w:tc>
          <w:tcPr>
            <w:tcW w:w="785" w:type="pct"/>
          </w:tcPr>
          <w:p w14:paraId="2322FA1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1e+06</w:t>
            </w:r>
          </w:p>
        </w:tc>
      </w:tr>
      <w:tr w:rsidR="00FC11F0" w:rsidRPr="001D7571" w14:paraId="576A9E15" w14:textId="77777777" w:rsidTr="00FC325A">
        <w:tc>
          <w:tcPr>
            <w:tcW w:w="1731" w:type="pct"/>
          </w:tcPr>
          <w:p w14:paraId="4F2CDDD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product approval maximum time</w:t>
            </w:r>
          </w:p>
        </w:tc>
        <w:tc>
          <w:tcPr>
            <w:tcW w:w="915" w:type="pct"/>
          </w:tcPr>
          <w:p w14:paraId="074746CB" w14:textId="369BB5A2"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54738A6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6F905A4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0FE4CBC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5C0B8798" w14:textId="77777777" w:rsidTr="00FC325A">
        <w:tc>
          <w:tcPr>
            <w:tcW w:w="1731" w:type="pct"/>
          </w:tcPr>
          <w:p w14:paraId="303F711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product approval required switch</w:t>
            </w:r>
          </w:p>
        </w:tc>
        <w:tc>
          <w:tcPr>
            <w:tcW w:w="915" w:type="pct"/>
          </w:tcPr>
          <w:p w14:paraId="0CE20A39"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6AEED2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0FCC866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c>
          <w:tcPr>
            <w:tcW w:w="785" w:type="pct"/>
          </w:tcPr>
          <w:p w14:paraId="344BD3D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4E6BE1DF" w14:textId="77777777" w:rsidTr="00FC325A">
        <w:tc>
          <w:tcPr>
            <w:tcW w:w="1731" w:type="pct"/>
          </w:tcPr>
          <w:p w14:paraId="415DC8E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random stream</w:t>
            </w:r>
          </w:p>
        </w:tc>
        <w:tc>
          <w:tcPr>
            <w:tcW w:w="915" w:type="pct"/>
          </w:tcPr>
          <w:p w14:paraId="45F13B55"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27DF78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458EED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24</w:t>
            </w:r>
          </w:p>
        </w:tc>
        <w:tc>
          <w:tcPr>
            <w:tcW w:w="785" w:type="pct"/>
          </w:tcPr>
          <w:p w14:paraId="174BB50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50AE69D1" w14:textId="77777777" w:rsidTr="00FC325A">
        <w:tc>
          <w:tcPr>
            <w:tcW w:w="1731" w:type="pct"/>
          </w:tcPr>
          <w:p w14:paraId="1BC5012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regulatory process starting point</w:t>
            </w:r>
          </w:p>
        </w:tc>
        <w:tc>
          <w:tcPr>
            <w:tcW w:w="915" w:type="pct"/>
          </w:tcPr>
          <w:p w14:paraId="6FCAFB0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90D3A0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0.225</w:t>
            </w:r>
          </w:p>
        </w:tc>
        <w:tc>
          <w:tcPr>
            <w:tcW w:w="785" w:type="pct"/>
          </w:tcPr>
          <w:p w14:paraId="6B77C30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w:t>
            </w:r>
          </w:p>
        </w:tc>
        <w:tc>
          <w:tcPr>
            <w:tcW w:w="785" w:type="pct"/>
          </w:tcPr>
          <w:p w14:paraId="6C81F55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0.75</w:t>
            </w:r>
          </w:p>
        </w:tc>
      </w:tr>
      <w:tr w:rsidR="00FC11F0" w:rsidRPr="001D7571" w14:paraId="6099B71C" w14:textId="77777777" w:rsidTr="00FC325A">
        <w:tc>
          <w:tcPr>
            <w:tcW w:w="1731" w:type="pct"/>
          </w:tcPr>
          <w:p w14:paraId="4E1E54F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required internal return</w:t>
            </w:r>
          </w:p>
        </w:tc>
        <w:tc>
          <w:tcPr>
            <w:tcW w:w="915" w:type="pct"/>
          </w:tcPr>
          <w:p w14:paraId="7CAE39A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1/year</w:t>
            </w:r>
          </w:p>
        </w:tc>
        <w:tc>
          <w:tcPr>
            <w:tcW w:w="784" w:type="pct"/>
          </w:tcPr>
          <w:p w14:paraId="42E5D4A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0.029</w:t>
            </w:r>
          </w:p>
        </w:tc>
        <w:tc>
          <w:tcPr>
            <w:tcW w:w="785" w:type="pct"/>
          </w:tcPr>
          <w:p w14:paraId="061B7AD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2.564</w:t>
            </w:r>
          </w:p>
        </w:tc>
        <w:tc>
          <w:tcPr>
            <w:tcW w:w="785" w:type="pct"/>
          </w:tcPr>
          <w:p w14:paraId="674517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0.08</w:t>
            </w:r>
          </w:p>
        </w:tc>
      </w:tr>
      <w:tr w:rsidR="00FC11F0" w:rsidRPr="001D7571" w14:paraId="4DEB7B3E" w14:textId="77777777" w:rsidTr="00FC325A">
        <w:tc>
          <w:tcPr>
            <w:tcW w:w="1731" w:type="pct"/>
          </w:tcPr>
          <w:p w14:paraId="0412843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required return multiplier</w:t>
            </w:r>
          </w:p>
        </w:tc>
        <w:tc>
          <w:tcPr>
            <w:tcW w:w="915" w:type="pct"/>
          </w:tcPr>
          <w:p w14:paraId="5567F48C"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101D774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0.305</w:t>
            </w:r>
          </w:p>
        </w:tc>
        <w:tc>
          <w:tcPr>
            <w:tcW w:w="785" w:type="pct"/>
          </w:tcPr>
          <w:p w14:paraId="55759F2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w:t>
            </w:r>
          </w:p>
        </w:tc>
        <w:tc>
          <w:tcPr>
            <w:tcW w:w="785" w:type="pct"/>
          </w:tcPr>
          <w:p w14:paraId="1C679C7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73CD5F0B" w14:textId="77777777" w:rsidTr="00FC325A">
        <w:tc>
          <w:tcPr>
            <w:tcW w:w="1731" w:type="pct"/>
          </w:tcPr>
          <w:p w14:paraId="5DE3E1D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researching impact on demoing</w:t>
            </w:r>
          </w:p>
        </w:tc>
        <w:tc>
          <w:tcPr>
            <w:tcW w:w="915" w:type="pct"/>
          </w:tcPr>
          <w:p w14:paraId="0A5B2F80"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6739FEC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0.06</w:t>
            </w:r>
          </w:p>
        </w:tc>
        <w:tc>
          <w:tcPr>
            <w:tcW w:w="785" w:type="pct"/>
          </w:tcPr>
          <w:p w14:paraId="36F07B8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0.635</w:t>
            </w:r>
          </w:p>
        </w:tc>
        <w:tc>
          <w:tcPr>
            <w:tcW w:w="785" w:type="pct"/>
          </w:tcPr>
          <w:p w14:paraId="42C0A6D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w:t>
            </w:r>
          </w:p>
        </w:tc>
      </w:tr>
      <w:tr w:rsidR="00FC11F0" w:rsidRPr="001D7571" w14:paraId="51D8B3C3" w14:textId="77777777" w:rsidTr="00FC325A">
        <w:tc>
          <w:tcPr>
            <w:tcW w:w="1731" w:type="pct"/>
          </w:tcPr>
          <w:p w14:paraId="28C41A2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researching impact on piloting</w:t>
            </w:r>
          </w:p>
        </w:tc>
        <w:tc>
          <w:tcPr>
            <w:tcW w:w="915" w:type="pct"/>
          </w:tcPr>
          <w:p w14:paraId="062B9559"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10D28A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0.075</w:t>
            </w:r>
          </w:p>
        </w:tc>
        <w:tc>
          <w:tcPr>
            <w:tcW w:w="785" w:type="pct"/>
          </w:tcPr>
          <w:p w14:paraId="00DCBCA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0.675</w:t>
            </w:r>
          </w:p>
        </w:tc>
        <w:tc>
          <w:tcPr>
            <w:tcW w:w="785" w:type="pct"/>
          </w:tcPr>
          <w:p w14:paraId="2F3CFD9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0.25</w:t>
            </w:r>
          </w:p>
        </w:tc>
      </w:tr>
      <w:tr w:rsidR="00FC11F0" w:rsidRPr="001D7571" w14:paraId="116F2AA3" w14:textId="77777777" w:rsidTr="00FC325A">
        <w:tc>
          <w:tcPr>
            <w:tcW w:w="1731" w:type="pct"/>
          </w:tcPr>
          <w:p w14:paraId="0175308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retrofit delay</w:t>
            </w:r>
          </w:p>
        </w:tc>
        <w:tc>
          <w:tcPr>
            <w:tcW w:w="915" w:type="pct"/>
          </w:tcPr>
          <w:p w14:paraId="07D24278" w14:textId="5A5FF3CF"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284CB04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0.15</w:t>
            </w:r>
          </w:p>
        </w:tc>
        <w:tc>
          <w:tcPr>
            <w:tcW w:w="785" w:type="pct"/>
          </w:tcPr>
          <w:p w14:paraId="2112E84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5.4</w:t>
            </w:r>
          </w:p>
        </w:tc>
        <w:tc>
          <w:tcPr>
            <w:tcW w:w="785" w:type="pct"/>
          </w:tcPr>
          <w:p w14:paraId="6D6687A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r>
      <w:tr w:rsidR="00FC11F0" w:rsidRPr="001D7571" w14:paraId="2C21CC02" w14:textId="77777777" w:rsidTr="00FC325A">
        <w:tc>
          <w:tcPr>
            <w:tcW w:w="1731" w:type="pct"/>
          </w:tcPr>
          <w:p w14:paraId="70C36EFA"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stagegate</w:t>
            </w:r>
            <w:proofErr w:type="spellEnd"/>
            <w:r w:rsidRPr="001D7571">
              <w:rPr>
                <w:rFonts w:asciiTheme="minorHAnsi" w:hAnsiTheme="minorHAnsi" w:cstheme="minorHAnsi"/>
                <w:sz w:val="18"/>
                <w:szCs w:val="18"/>
              </w:rPr>
              <w:t xml:space="preserve"> length</w:t>
            </w:r>
          </w:p>
        </w:tc>
        <w:tc>
          <w:tcPr>
            <w:tcW w:w="915" w:type="pct"/>
          </w:tcPr>
          <w:p w14:paraId="14855CC4" w14:textId="15F4BDE3"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5B448D1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0.425</w:t>
            </w:r>
          </w:p>
        </w:tc>
        <w:tc>
          <w:tcPr>
            <w:tcW w:w="785" w:type="pct"/>
          </w:tcPr>
          <w:p w14:paraId="6FE4920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3.3</w:t>
            </w:r>
          </w:p>
        </w:tc>
        <w:tc>
          <w:tcPr>
            <w:tcW w:w="785" w:type="pct"/>
          </w:tcPr>
          <w:p w14:paraId="2EC3E48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7BAF9B11" w14:textId="77777777" w:rsidTr="00FC325A">
        <w:tc>
          <w:tcPr>
            <w:tcW w:w="1731" w:type="pct"/>
          </w:tcPr>
          <w:p w14:paraId="279C237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startup demoing period</w:t>
            </w:r>
          </w:p>
        </w:tc>
        <w:tc>
          <w:tcPr>
            <w:tcW w:w="915" w:type="pct"/>
          </w:tcPr>
          <w:p w14:paraId="2C099C05" w14:textId="58E83C06"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H</w:t>
            </w:r>
            <w:r w:rsidR="00FC11F0" w:rsidRPr="001D7571">
              <w:rPr>
                <w:rFonts w:asciiTheme="minorHAnsi" w:hAnsiTheme="minorHAnsi" w:cstheme="minorHAnsi"/>
                <w:sz w:val="18"/>
                <w:szCs w:val="18"/>
              </w:rPr>
              <w:t>ours</w:t>
            </w:r>
          </w:p>
        </w:tc>
        <w:tc>
          <w:tcPr>
            <w:tcW w:w="784" w:type="pct"/>
          </w:tcPr>
          <w:p w14:paraId="07B3351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w:t>
            </w:r>
          </w:p>
        </w:tc>
        <w:tc>
          <w:tcPr>
            <w:tcW w:w="785" w:type="pct"/>
          </w:tcPr>
          <w:p w14:paraId="0108CC4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1600</w:t>
            </w:r>
          </w:p>
        </w:tc>
        <w:tc>
          <w:tcPr>
            <w:tcW w:w="785" w:type="pct"/>
          </w:tcPr>
          <w:p w14:paraId="4991DBF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1000</w:t>
            </w:r>
          </w:p>
        </w:tc>
      </w:tr>
      <w:tr w:rsidR="00FC11F0" w:rsidRPr="001D7571" w14:paraId="5D3A66B2" w14:textId="77777777" w:rsidTr="00FC325A">
        <w:tc>
          <w:tcPr>
            <w:tcW w:w="1731" w:type="pct"/>
          </w:tcPr>
          <w:p w14:paraId="1ADCE3C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startup demoing rate</w:t>
            </w:r>
          </w:p>
        </w:tc>
        <w:tc>
          <w:tcPr>
            <w:tcW w:w="915" w:type="pct"/>
          </w:tcPr>
          <w:p w14:paraId="271ADB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hours/year</w:t>
            </w:r>
          </w:p>
        </w:tc>
        <w:tc>
          <w:tcPr>
            <w:tcW w:w="784" w:type="pct"/>
          </w:tcPr>
          <w:p w14:paraId="4C639CA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140</w:t>
            </w:r>
          </w:p>
        </w:tc>
        <w:tc>
          <w:tcPr>
            <w:tcW w:w="785" w:type="pct"/>
          </w:tcPr>
          <w:p w14:paraId="247DCD1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4623</w:t>
            </w:r>
          </w:p>
        </w:tc>
        <w:tc>
          <w:tcPr>
            <w:tcW w:w="785" w:type="pct"/>
          </w:tcPr>
          <w:p w14:paraId="0931F96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w:t>
            </w:r>
          </w:p>
        </w:tc>
      </w:tr>
      <w:tr w:rsidR="00FC11F0" w:rsidRPr="001D7571" w14:paraId="6F8D97E8" w14:textId="77777777" w:rsidTr="00FC325A">
        <w:tc>
          <w:tcPr>
            <w:tcW w:w="1731" w:type="pct"/>
          </w:tcPr>
          <w:p w14:paraId="248298E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startup piloting period</w:t>
            </w:r>
          </w:p>
        </w:tc>
        <w:tc>
          <w:tcPr>
            <w:tcW w:w="915" w:type="pct"/>
          </w:tcPr>
          <w:p w14:paraId="413182E8" w14:textId="03C4643D"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H</w:t>
            </w:r>
            <w:r w:rsidR="00FC11F0" w:rsidRPr="001D7571">
              <w:rPr>
                <w:rFonts w:asciiTheme="minorHAnsi" w:hAnsiTheme="minorHAnsi" w:cstheme="minorHAnsi"/>
                <w:sz w:val="18"/>
                <w:szCs w:val="18"/>
              </w:rPr>
              <w:t>ours</w:t>
            </w:r>
          </w:p>
        </w:tc>
        <w:tc>
          <w:tcPr>
            <w:tcW w:w="784" w:type="pct"/>
          </w:tcPr>
          <w:p w14:paraId="2377CAB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150</w:t>
            </w:r>
          </w:p>
        </w:tc>
        <w:tc>
          <w:tcPr>
            <w:tcW w:w="785" w:type="pct"/>
          </w:tcPr>
          <w:p w14:paraId="45A8661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900</w:t>
            </w:r>
          </w:p>
        </w:tc>
        <w:tc>
          <w:tcPr>
            <w:tcW w:w="785" w:type="pct"/>
          </w:tcPr>
          <w:p w14:paraId="686115C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w:t>
            </w:r>
          </w:p>
        </w:tc>
      </w:tr>
      <w:tr w:rsidR="00FC11F0" w:rsidRPr="001D7571" w14:paraId="5CDD2A95" w14:textId="77777777" w:rsidTr="00FC325A">
        <w:tc>
          <w:tcPr>
            <w:tcW w:w="1731" w:type="pct"/>
          </w:tcPr>
          <w:p w14:paraId="2609A1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startup piloting rate</w:t>
            </w:r>
          </w:p>
        </w:tc>
        <w:tc>
          <w:tcPr>
            <w:tcW w:w="915" w:type="pct"/>
          </w:tcPr>
          <w:p w14:paraId="5A97057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hours/year</w:t>
            </w:r>
          </w:p>
        </w:tc>
        <w:tc>
          <w:tcPr>
            <w:tcW w:w="784" w:type="pct"/>
          </w:tcPr>
          <w:p w14:paraId="6EB8F79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110</w:t>
            </w:r>
          </w:p>
        </w:tc>
        <w:tc>
          <w:tcPr>
            <w:tcW w:w="785" w:type="pct"/>
          </w:tcPr>
          <w:p w14:paraId="49008FB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4543</w:t>
            </w:r>
          </w:p>
        </w:tc>
        <w:tc>
          <w:tcPr>
            <w:tcW w:w="785" w:type="pct"/>
          </w:tcPr>
          <w:p w14:paraId="35962A2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200</w:t>
            </w:r>
          </w:p>
        </w:tc>
      </w:tr>
      <w:tr w:rsidR="00FC11F0" w:rsidRPr="001D7571" w14:paraId="2B94BCBE" w14:textId="77777777" w:rsidTr="00FC325A">
        <w:tc>
          <w:tcPr>
            <w:tcW w:w="1731" w:type="pct"/>
          </w:tcPr>
          <w:p w14:paraId="2BB78A5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strategic value to external investors</w:t>
            </w:r>
          </w:p>
        </w:tc>
        <w:tc>
          <w:tcPr>
            <w:tcW w:w="915" w:type="pct"/>
          </w:tcPr>
          <w:p w14:paraId="3B43213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
        </w:tc>
        <w:tc>
          <w:tcPr>
            <w:tcW w:w="784" w:type="pct"/>
          </w:tcPr>
          <w:p w14:paraId="195F281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729272D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500000000</w:t>
            </w:r>
          </w:p>
        </w:tc>
        <w:tc>
          <w:tcPr>
            <w:tcW w:w="785" w:type="pct"/>
          </w:tcPr>
          <w:p w14:paraId="774BA20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15E0BCF0" w14:textId="77777777" w:rsidTr="00FC325A">
        <w:tc>
          <w:tcPr>
            <w:tcW w:w="1731" w:type="pct"/>
          </w:tcPr>
          <w:p w14:paraId="04198DC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target demo hours</w:t>
            </w:r>
          </w:p>
        </w:tc>
        <w:tc>
          <w:tcPr>
            <w:tcW w:w="915" w:type="pct"/>
          </w:tcPr>
          <w:p w14:paraId="6360F371" w14:textId="3D69D061"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H</w:t>
            </w:r>
            <w:r w:rsidR="00FC11F0" w:rsidRPr="001D7571">
              <w:rPr>
                <w:rFonts w:asciiTheme="minorHAnsi" w:hAnsiTheme="minorHAnsi" w:cstheme="minorHAnsi"/>
                <w:sz w:val="18"/>
                <w:szCs w:val="18"/>
              </w:rPr>
              <w:t>ours</w:t>
            </w:r>
          </w:p>
        </w:tc>
        <w:tc>
          <w:tcPr>
            <w:tcW w:w="784" w:type="pct"/>
          </w:tcPr>
          <w:p w14:paraId="1968225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1550</w:t>
            </w:r>
          </w:p>
        </w:tc>
        <w:tc>
          <w:tcPr>
            <w:tcW w:w="785" w:type="pct"/>
          </w:tcPr>
          <w:p w14:paraId="4AF98FA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12766</w:t>
            </w:r>
          </w:p>
        </w:tc>
        <w:tc>
          <w:tcPr>
            <w:tcW w:w="785" w:type="pct"/>
          </w:tcPr>
          <w:p w14:paraId="630A1BF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5000</w:t>
            </w:r>
          </w:p>
        </w:tc>
      </w:tr>
      <w:tr w:rsidR="00FC11F0" w:rsidRPr="001D7571" w14:paraId="3265B3B3" w14:textId="77777777" w:rsidTr="00FC325A">
        <w:tc>
          <w:tcPr>
            <w:tcW w:w="1731" w:type="pct"/>
          </w:tcPr>
          <w:p w14:paraId="69BCF89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target pilot hours</w:t>
            </w:r>
          </w:p>
        </w:tc>
        <w:tc>
          <w:tcPr>
            <w:tcW w:w="915" w:type="pct"/>
          </w:tcPr>
          <w:p w14:paraId="119A6612" w14:textId="0D5BA0CB"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H</w:t>
            </w:r>
            <w:r w:rsidR="00FC11F0" w:rsidRPr="001D7571">
              <w:rPr>
                <w:rFonts w:asciiTheme="minorHAnsi" w:hAnsiTheme="minorHAnsi" w:cstheme="minorHAnsi"/>
                <w:sz w:val="18"/>
                <w:szCs w:val="18"/>
              </w:rPr>
              <w:t>ours</w:t>
            </w:r>
          </w:p>
        </w:tc>
        <w:tc>
          <w:tcPr>
            <w:tcW w:w="784" w:type="pct"/>
          </w:tcPr>
          <w:p w14:paraId="6B4A7B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950</w:t>
            </w:r>
          </w:p>
        </w:tc>
        <w:tc>
          <w:tcPr>
            <w:tcW w:w="785" w:type="pct"/>
          </w:tcPr>
          <w:p w14:paraId="2371023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11166</w:t>
            </w:r>
          </w:p>
        </w:tc>
        <w:tc>
          <w:tcPr>
            <w:tcW w:w="785" w:type="pct"/>
          </w:tcPr>
          <w:p w14:paraId="416DF53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3000</w:t>
            </w:r>
          </w:p>
        </w:tc>
      </w:tr>
    </w:tbl>
    <w:p w14:paraId="02AB96A6" w14:textId="77777777" w:rsidR="00FC11F0" w:rsidRDefault="00FC11F0" w:rsidP="00FC11F0"/>
    <w:p w14:paraId="0BBF0FC3" w14:textId="0F343602" w:rsidR="00FC11F0" w:rsidRPr="00DE448E" w:rsidRDefault="00FC11F0" w:rsidP="00FC11F0">
      <w:r>
        <w:t xml:space="preserve">Several parameters play special roles in the model. The </w:t>
      </w:r>
      <w:r>
        <w:rPr>
          <w:rStyle w:val="VerbatimChar"/>
        </w:rPr>
        <w:t>random stream</w:t>
      </w:r>
      <w:r>
        <w:t xml:space="preserve"> variable sets the random number seed for the whole simulation, which is deterministic for each random </w:t>
      </w:r>
      <w:proofErr w:type="gramStart"/>
      <w:r>
        <w:t>seed</w:t>
      </w:r>
      <w:proofErr w:type="gramEnd"/>
      <w:r>
        <w:t xml:space="preserve"> but which is stochastic given an ensemble of these random seeds. Furthermore, the BTD model </w:t>
      </w:r>
      <w:r>
        <w:lastRenderedPageBreak/>
        <w:t xml:space="preserve">permits the selection of the feedstock for input into the bioproducts pathway; the variable </w:t>
      </w:r>
      <w:r>
        <w:rPr>
          <w:rStyle w:val="VerbatimChar"/>
        </w:rPr>
        <w:t>feedstock selector array</w:t>
      </w:r>
      <w:r>
        <w:t xml:space="preserve"> permit</w:t>
      </w:r>
      <w:r w:rsidR="003603C5">
        <w:t>s</w:t>
      </w:r>
      <w:r>
        <w:t xml:space="preserve"> selection of the feedstock type (commodity sugar, corn, corn stover, perennial crops, soybean, etc.), and only one of these may be selected for a particular simulation. Furthermore, three binary switches (</w:t>
      </w:r>
      <w:r w:rsidRPr="00DE448E">
        <w:rPr>
          <w:rStyle w:val="VerbatimChar"/>
        </w:rPr>
        <w:t>feedstock approval switch</w:t>
      </w:r>
      <w:r>
        <w:t xml:space="preserve">, </w:t>
      </w:r>
      <w:r w:rsidRPr="00DE448E">
        <w:rPr>
          <w:rStyle w:val="VerbatimChar"/>
        </w:rPr>
        <w:t>pathway approval switch</w:t>
      </w:r>
      <w:r>
        <w:t xml:space="preserve">, and </w:t>
      </w:r>
      <w:r w:rsidRPr="00DE448E">
        <w:rPr>
          <w:rStyle w:val="VerbatimChar"/>
        </w:rPr>
        <w:t>product approval switch</w:t>
      </w:r>
      <w:r>
        <w:t>) determine whether various types of regulatory approval are required for commercial use of the bioproduct.</w:t>
      </w:r>
    </w:p>
    <w:p w14:paraId="3BCC5AD3" w14:textId="77777777" w:rsidR="00FC11F0" w:rsidRDefault="00FC11F0" w:rsidP="00FC11F0">
      <w:pPr>
        <w:pStyle w:val="Heading3"/>
      </w:pPr>
      <w:r>
        <w:t>One-at-a-Time (OAT) experiment</w:t>
      </w:r>
    </w:p>
    <w:p w14:paraId="29C516DA" w14:textId="5617563E" w:rsidR="00FC11F0" w:rsidRDefault="00FC11F0" w:rsidP="00FC11F0">
      <w:r>
        <w:t xml:space="preserve">In the one-at-a-time elementary-effects (EE) analysis, we keep all but one of the variables in </w:t>
      </w:r>
      <w:r w:rsidR="003603C5">
        <w:fldChar w:fldCharType="begin"/>
      </w:r>
      <w:r w:rsidR="003603C5">
        <w:instrText xml:space="preserve"> REF _Ref44072351 \h </w:instrText>
      </w:r>
      <w:r w:rsidR="003603C5">
        <w:fldChar w:fldCharType="separate"/>
      </w:r>
      <w:r w:rsidR="003603C5">
        <w:t xml:space="preserve">Table </w:t>
      </w:r>
      <w:r w:rsidR="003603C5">
        <w:rPr>
          <w:noProof/>
        </w:rPr>
        <w:t>1</w:t>
      </w:r>
      <w:r w:rsidR="003603C5">
        <w:fldChar w:fldCharType="end"/>
      </w:r>
      <w:r>
        <w:t xml:space="preserve"> at their default values and just vary the single variable. </w:t>
      </w:r>
      <w:r>
        <w:fldChar w:fldCharType="begin"/>
      </w:r>
      <w:r>
        <w:instrText xml:space="preserve"> ADDIN ZOTERO_ITEM CSL_CITATION {"citationID":"Qt9pM7Dx","properties":{"formattedCitation":"(17)","plainCitation":"(17)","noteIndex":0},"citationItems":[{"id":2833,"uris":["http://zotero.org/groups/2185154/items/VNKD7ZXU"],"uri":["http://zotero.org/groups/2185154/items/VNKD7ZXU"],"itemData":{"id":2833,"type":"article-journal","title":"One-at-a-Time Plans","container-title":"Journal of the American Statistical Association","page":"353-360","volume":"68","issue":"342","source":"Taylor and Francis+NEJM","abstract":"One-at-a-time experiments are always done when the experimental system is set up to produce single results or pairs of results. When random error is small compared to main effects expected, such experiments are economical, but may give biased estimates. These biases can usually be described by two-factor interactions (2fi). Minimal augmentations of standard one-at-a-time sequences are given, first to separate main effects from 2fi, then to estimate each 2fi separately. Each new datum produces one or more new estimates.","DOI":"10.1080/01621459.1973.10482433","ISSN":"0162-1459","author":[{"family":"Daniel","given":"Cuthbert"}],"issued":{"date-parts":[["1973",6,1]]}}}],"schema":"https://github.com/citation-style-language/schema/raw/master/csl-citation.json"} </w:instrText>
      </w:r>
      <w:r>
        <w:fldChar w:fldCharType="separate"/>
      </w:r>
      <w:r w:rsidRPr="00F61BDD">
        <w:rPr>
          <w:rFonts w:cs="Times New Roman"/>
        </w:rPr>
        <w:t>(17)</w:t>
      </w:r>
      <w:r>
        <w:fldChar w:fldCharType="end"/>
      </w:r>
      <w:r>
        <w:t xml:space="preserve"> Experiments like this provide </w:t>
      </w:r>
      <w:r w:rsidR="003603C5">
        <w:t>general</w:t>
      </w:r>
      <w:r>
        <w:t xml:space="preserve"> information regarding the influence of a single parameter, but only in relation to the default case, so the analytic strength depends critically on the default parameters matching the most likely </w:t>
      </w:r>
      <w:proofErr w:type="gramStart"/>
      <w:r>
        <w:t>state of affairs</w:t>
      </w:r>
      <w:proofErr w:type="gramEnd"/>
      <w:r>
        <w:t xml:space="preserve">. Such experiments are ideally suited for generating </w:t>
      </w:r>
      <w:commentRangeStart w:id="8"/>
      <w:r>
        <w:t>“tornado diagrams”</w:t>
      </w:r>
      <w:commentRangeEnd w:id="8"/>
      <w:r w:rsidR="003603C5">
        <w:rPr>
          <w:rStyle w:val="CommentReference"/>
          <w:rFonts w:asciiTheme="minorHAnsi" w:hAnsiTheme="minorHAnsi"/>
        </w:rPr>
        <w:commentReference w:id="8"/>
      </w:r>
      <w:r>
        <w:t>, but they provide no information on the joint influence of multiple parameters on outcomes.</w:t>
      </w:r>
    </w:p>
    <w:p w14:paraId="090A7B52" w14:textId="7729F4D6" w:rsidR="00FC11F0" w:rsidRPr="009D2EB8" w:rsidRDefault="00FC11F0" w:rsidP="00FC11F0">
      <w:r>
        <w:t>We realized the OAT approach by selecting 5 levels for each input variable (except 10 for the random seed and just two for the switch variables), ranging from the minimum to the maximum in twenty-percent increments. Replicating the OAT process 500 times yields an ensemble of 42,500 simulations.</w:t>
      </w:r>
      <w:r w:rsidR="00D43C2C">
        <w:t xml:space="preserve"> The variables not varied as part of the experiment take their values from the Advantaged Commodity case described above.</w:t>
      </w:r>
    </w:p>
    <w:p w14:paraId="7229AF42" w14:textId="77777777" w:rsidR="00FC11F0" w:rsidRDefault="00FC11F0" w:rsidP="00FC11F0">
      <w:pPr>
        <w:pStyle w:val="Heading3"/>
      </w:pPr>
      <w:proofErr w:type="spellStart"/>
      <w:r>
        <w:t>Sobol</w:t>
      </w:r>
      <w:proofErr w:type="spellEnd"/>
      <w:r>
        <w:t>’ Sensitivity Analysis (SA) Experiment</w:t>
      </w:r>
    </w:p>
    <w:p w14:paraId="44357934" w14:textId="23C2537B" w:rsidR="00FC11F0" w:rsidRDefault="00FC11F0" w:rsidP="00FC11F0">
      <w:r>
        <w:t xml:space="preserve">In contrast to the OAT method, one can use a quasi-random sequence </w:t>
      </w:r>
      <w:sdt>
        <w:sdtPr>
          <w:id w:val="-2090527327"/>
          <w:citation/>
        </w:sdtPr>
        <w:sdtContent>
          <w:r w:rsidR="00386E1A">
            <w:fldChar w:fldCharType="begin"/>
          </w:r>
          <w:r w:rsidR="00386E1A">
            <w:instrText xml:space="preserve"> CITATION Sal04 \l 1033 </w:instrText>
          </w:r>
          <w:r w:rsidR="00386E1A">
            <w:fldChar w:fldCharType="separate"/>
          </w:r>
          <w:r w:rsidR="00386E1A">
            <w:rPr>
              <w:noProof/>
            </w:rPr>
            <w:t>(Saltelli, Tarantola, Campolongo, &amp; Ratto, 2004)</w:t>
          </w:r>
          <w:r w:rsidR="00386E1A">
            <w:fldChar w:fldCharType="end"/>
          </w:r>
        </w:sdtContent>
      </w:sdt>
      <w:r>
        <w:t xml:space="preserve"> in a high dimensional space to sample the input parameters over their ranges in a uniform, but slightly irregular, manner. We employed this method for the 32 most influential (see Results below) input parameters among the 84 studied in the OAT experiment. We use </w:t>
      </w:r>
      <w:proofErr w:type="spellStart"/>
      <w:r>
        <w:t>Saltelli’s</w:t>
      </w:r>
      <w:proofErr w:type="spellEnd"/>
      <w:r>
        <w:t xml:space="preserve"> recommendation for implementing the </w:t>
      </w:r>
      <w:proofErr w:type="spellStart"/>
      <w:r>
        <w:t>Sobol</w:t>
      </w:r>
      <w:proofErr w:type="spellEnd"/>
      <w:r>
        <w:t>’ method, which involves carefully interleaving two designs based on quasi-random sequences: in our SA design we use pair of sequences of 200 points each, with 34 simulations for each, yielding 6800 simulations per case</w:t>
      </w:r>
      <w:r w:rsidR="003603C5">
        <w:t xml:space="preserve"> </w:t>
      </w:r>
      <w:sdt>
        <w:sdtPr>
          <w:id w:val="-306314151"/>
          <w:citation/>
        </w:sdtPr>
        <w:sdtContent>
          <w:r w:rsidR="00D43C2C">
            <w:fldChar w:fldCharType="begin"/>
          </w:r>
          <w:r w:rsidR="00D43C2C">
            <w:instrText xml:space="preserve"> CITATION Sal10 \l 1033 </w:instrText>
          </w:r>
          <w:r w:rsidR="00D43C2C">
            <w:fldChar w:fldCharType="separate"/>
          </w:r>
          <w:r w:rsidR="00D43C2C">
            <w:rPr>
              <w:noProof/>
            </w:rPr>
            <w:t>(Saltelli, et al., 2010)</w:t>
          </w:r>
          <w:r w:rsidR="00D43C2C">
            <w:fldChar w:fldCharType="end"/>
          </w:r>
        </w:sdtContent>
      </w:sdt>
      <w:r>
        <w:t>.  Because there are four cases (direct vs performance-advantaged and niche vs commodity), ran a total of 27,200 simulations.</w:t>
      </w:r>
    </w:p>
    <w:p w14:paraId="52778E0A" w14:textId="77777777" w:rsidR="00FC11F0" w:rsidRDefault="00FC11F0" w:rsidP="00FC11F0">
      <w:pPr>
        <w:pStyle w:val="Heading1"/>
      </w:pPr>
      <w:r>
        <w:t>Results and Discussion</w:t>
      </w:r>
    </w:p>
    <w:p w14:paraId="4F9100C8" w14:textId="77777777" w:rsidR="00FC11F0" w:rsidRDefault="00FC11F0" w:rsidP="00FC11F0">
      <w:pPr>
        <w:pStyle w:val="Heading2"/>
      </w:pPr>
      <w:r>
        <w:t>Model outputs</w:t>
      </w:r>
    </w:p>
    <w:p w14:paraId="08D7C8C2" w14:textId="4D5CBDB2" w:rsidR="00FC11F0" w:rsidRDefault="00FC11F0" w:rsidP="00FC11F0">
      <w:r w:rsidRPr="009D2EB8">
        <w:t xml:space="preserve">We collected timeseries for each of the </w:t>
      </w:r>
      <w:r>
        <w:t xml:space="preserve">49 </w:t>
      </w:r>
      <w:r w:rsidRPr="009D2EB8">
        <w:t xml:space="preserve">output variables listed in </w:t>
      </w:r>
      <w:r w:rsidR="00286BC6">
        <w:fldChar w:fldCharType="begin"/>
      </w:r>
      <w:r w:rsidR="00286BC6">
        <w:instrText xml:space="preserve"> REF _Ref44072449 \h </w:instrText>
      </w:r>
      <w:r w:rsidR="00286BC6">
        <w:fldChar w:fldCharType="separate"/>
      </w:r>
      <w:r w:rsidR="004108A6">
        <w:t xml:space="preserve">Table </w:t>
      </w:r>
      <w:r w:rsidR="004108A6">
        <w:rPr>
          <w:noProof/>
        </w:rPr>
        <w:t>2</w:t>
      </w:r>
      <w:r w:rsidR="00286BC6">
        <w:fldChar w:fldCharType="end"/>
      </w:r>
      <w:r w:rsidRPr="009D2EB8">
        <w:t>. These variables are the key metrics that indicate progress from the pre-pilot stage to the full commercial stage of conversion-pathway development.</w:t>
      </w:r>
    </w:p>
    <w:p w14:paraId="593D749F" w14:textId="7AE80128" w:rsidR="00FC11F0" w:rsidRDefault="00FC11F0" w:rsidP="00FC11F0">
      <w:pPr>
        <w:pStyle w:val="Caption"/>
        <w:keepNext/>
      </w:pPr>
      <w:bookmarkStart w:id="9" w:name="_Ref44072449"/>
      <w:r>
        <w:t xml:space="preserve">Table </w:t>
      </w:r>
      <w:r>
        <w:fldChar w:fldCharType="begin"/>
      </w:r>
      <w:r>
        <w:instrText>SEQ Table \* ARABIC</w:instrText>
      </w:r>
      <w:r>
        <w:fldChar w:fldCharType="separate"/>
      </w:r>
      <w:r w:rsidR="004108A6">
        <w:rPr>
          <w:noProof/>
        </w:rPr>
        <w:t>2</w:t>
      </w:r>
      <w:r>
        <w:fldChar w:fldCharType="end"/>
      </w:r>
      <w:bookmarkEnd w:id="9"/>
      <w:r>
        <w:t>. Output variables for which results were collected and analyzed.</w:t>
      </w:r>
    </w:p>
    <w:tbl>
      <w:tblPr>
        <w:tblStyle w:val="Table"/>
        <w:tblW w:w="5000" w:type="pct"/>
        <w:tblLook w:val="07C0" w:firstRow="0" w:lastRow="1" w:firstColumn="1" w:lastColumn="1" w:noHBand="1" w:noVBand="1"/>
      </w:tblPr>
      <w:tblGrid>
        <w:gridCol w:w="2340"/>
        <w:gridCol w:w="2340"/>
        <w:gridCol w:w="2340"/>
        <w:gridCol w:w="2340"/>
      </w:tblGrid>
      <w:tr w:rsidR="00FC11F0" w:rsidRPr="006018F3" w14:paraId="735F3291" w14:textId="77777777" w:rsidTr="00FC325A">
        <w:tc>
          <w:tcPr>
            <w:tcW w:w="1250" w:type="pct"/>
          </w:tcPr>
          <w:p w14:paraId="25AFCFCE"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bioproduct market share mass</w:t>
            </w:r>
          </w:p>
        </w:tc>
        <w:tc>
          <w:tcPr>
            <w:tcW w:w="1250" w:type="pct"/>
          </w:tcPr>
          <w:p w14:paraId="64C3D5B8"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current market size economic</w:t>
            </w:r>
          </w:p>
        </w:tc>
        <w:tc>
          <w:tcPr>
            <w:tcW w:w="1250" w:type="pct"/>
          </w:tcPr>
          <w:p w14:paraId="47EAE369"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current market size mass</w:t>
            </w:r>
          </w:p>
        </w:tc>
        <w:tc>
          <w:tcPr>
            <w:tcW w:w="1250" w:type="pct"/>
          </w:tcPr>
          <w:p w14:paraId="19231EB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long term market share</w:t>
            </w:r>
          </w:p>
        </w:tc>
      </w:tr>
      <w:tr w:rsidR="00FC11F0" w:rsidRPr="006018F3" w14:paraId="228691DE" w14:textId="77777777" w:rsidTr="00FC325A">
        <w:tc>
          <w:tcPr>
            <w:tcW w:w="1250" w:type="pct"/>
          </w:tcPr>
          <w:p w14:paraId="2623D2D3"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lastRenderedPageBreak/>
              <w:t>long term market value</w:t>
            </w:r>
          </w:p>
        </w:tc>
        <w:tc>
          <w:tcPr>
            <w:tcW w:w="1250" w:type="pct"/>
          </w:tcPr>
          <w:p w14:paraId="475B9CBA"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Adopters</w:t>
            </w:r>
          </w:p>
        </w:tc>
        <w:tc>
          <w:tcPr>
            <w:tcW w:w="1250" w:type="pct"/>
          </w:tcPr>
          <w:p w14:paraId="20986EA1" w14:textId="77777777" w:rsidR="00FC11F0" w:rsidRPr="006018F3" w:rsidRDefault="00FC11F0" w:rsidP="00FC325A">
            <w:pPr>
              <w:pStyle w:val="Compact"/>
              <w:spacing w:before="0" w:after="0"/>
              <w:rPr>
                <w:rFonts w:cstheme="minorHAnsi"/>
                <w:sz w:val="18"/>
                <w:szCs w:val="18"/>
              </w:rPr>
            </w:pPr>
            <w:proofErr w:type="spellStart"/>
            <w:r w:rsidRPr="006018F3">
              <w:rPr>
                <w:rFonts w:cstheme="minorHAnsi"/>
                <w:sz w:val="18"/>
                <w:szCs w:val="18"/>
              </w:rPr>
              <w:t>NonAdopters</w:t>
            </w:r>
            <w:proofErr w:type="spellEnd"/>
          </w:p>
        </w:tc>
        <w:tc>
          <w:tcPr>
            <w:tcW w:w="1250" w:type="pct"/>
          </w:tcPr>
          <w:p w14:paraId="12D8CEEA"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Potential Adopters</w:t>
            </w:r>
          </w:p>
        </w:tc>
      </w:tr>
      <w:tr w:rsidR="00FC11F0" w:rsidRPr="006018F3" w14:paraId="23C6DB6F" w14:textId="77777777" w:rsidTr="00FC325A">
        <w:tc>
          <w:tcPr>
            <w:tcW w:w="1250" w:type="pct"/>
          </w:tcPr>
          <w:p w14:paraId="1F96C798"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abandoning bioproduct</w:t>
            </w:r>
          </w:p>
        </w:tc>
        <w:tc>
          <w:tcPr>
            <w:tcW w:w="1250" w:type="pct"/>
          </w:tcPr>
          <w:p w14:paraId="7673D2CE"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Cumulative Demoing Production</w:t>
            </w:r>
          </w:p>
        </w:tc>
        <w:tc>
          <w:tcPr>
            <w:tcW w:w="1250" w:type="pct"/>
          </w:tcPr>
          <w:p w14:paraId="546B18B4"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Cumulative Production</w:t>
            </w:r>
          </w:p>
        </w:tc>
        <w:tc>
          <w:tcPr>
            <w:tcW w:w="1250" w:type="pct"/>
          </w:tcPr>
          <w:p w14:paraId="2B9F9293" w14:textId="77777777" w:rsidR="00FC11F0" w:rsidRPr="006018F3" w:rsidRDefault="00FC11F0" w:rsidP="00FC325A">
            <w:pPr>
              <w:pStyle w:val="Compact"/>
              <w:spacing w:before="0" w:after="0"/>
              <w:rPr>
                <w:rFonts w:cstheme="minorHAnsi"/>
                <w:sz w:val="18"/>
                <w:szCs w:val="18"/>
              </w:rPr>
            </w:pPr>
            <w:proofErr w:type="spellStart"/>
            <w:r w:rsidRPr="006018F3">
              <w:rPr>
                <w:rFonts w:cstheme="minorHAnsi"/>
                <w:sz w:val="18"/>
                <w:szCs w:val="18"/>
              </w:rPr>
              <w:t>prepiloting</w:t>
            </w:r>
            <w:proofErr w:type="spellEnd"/>
          </w:p>
        </w:tc>
      </w:tr>
      <w:tr w:rsidR="00FC11F0" w:rsidRPr="006018F3" w14:paraId="07202026" w14:textId="77777777" w:rsidTr="00FC325A">
        <w:tc>
          <w:tcPr>
            <w:tcW w:w="1250" w:type="pct"/>
          </w:tcPr>
          <w:p w14:paraId="1EDCF67C"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pilot plant construction</w:t>
            </w:r>
          </w:p>
        </w:tc>
        <w:tc>
          <w:tcPr>
            <w:tcW w:w="1250" w:type="pct"/>
          </w:tcPr>
          <w:p w14:paraId="1DE8BFA0"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pilot plant is built</w:t>
            </w:r>
          </w:p>
        </w:tc>
        <w:tc>
          <w:tcPr>
            <w:tcW w:w="1250" w:type="pct"/>
          </w:tcPr>
          <w:p w14:paraId="050C2908"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startup piloting complete</w:t>
            </w:r>
          </w:p>
        </w:tc>
        <w:tc>
          <w:tcPr>
            <w:tcW w:w="1250" w:type="pct"/>
          </w:tcPr>
          <w:p w14:paraId="3E8ECB75"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piloting ongoing</w:t>
            </w:r>
          </w:p>
        </w:tc>
      </w:tr>
      <w:tr w:rsidR="00FC11F0" w:rsidRPr="006018F3" w14:paraId="7849AEDC" w14:textId="77777777" w:rsidTr="00FC325A">
        <w:tc>
          <w:tcPr>
            <w:tcW w:w="1250" w:type="pct"/>
          </w:tcPr>
          <w:p w14:paraId="767E00B5"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piloting progress</w:t>
            </w:r>
          </w:p>
        </w:tc>
        <w:tc>
          <w:tcPr>
            <w:tcW w:w="1250" w:type="pct"/>
          </w:tcPr>
          <w:p w14:paraId="5AEE14B7"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piloting complete</w:t>
            </w:r>
          </w:p>
        </w:tc>
        <w:tc>
          <w:tcPr>
            <w:tcW w:w="1250" w:type="pct"/>
          </w:tcPr>
          <w:p w14:paraId="7A9D9F25" w14:textId="77777777" w:rsidR="00FC11F0" w:rsidRPr="006018F3" w:rsidRDefault="00FC11F0" w:rsidP="00FC325A">
            <w:pPr>
              <w:pStyle w:val="Compact"/>
              <w:spacing w:before="0" w:after="0"/>
              <w:rPr>
                <w:rFonts w:cstheme="minorHAnsi"/>
                <w:sz w:val="18"/>
                <w:szCs w:val="18"/>
              </w:rPr>
            </w:pPr>
            <w:proofErr w:type="spellStart"/>
            <w:r w:rsidRPr="006018F3">
              <w:rPr>
                <w:rFonts w:cstheme="minorHAnsi"/>
                <w:sz w:val="18"/>
                <w:szCs w:val="18"/>
              </w:rPr>
              <w:t>predemoing</w:t>
            </w:r>
            <w:proofErr w:type="spellEnd"/>
          </w:p>
        </w:tc>
        <w:tc>
          <w:tcPr>
            <w:tcW w:w="1250" w:type="pct"/>
          </w:tcPr>
          <w:p w14:paraId="0BEF5983"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demo plant construction</w:t>
            </w:r>
          </w:p>
        </w:tc>
      </w:tr>
      <w:tr w:rsidR="00FC11F0" w:rsidRPr="006018F3" w14:paraId="5B2FFCE7" w14:textId="77777777" w:rsidTr="00FC325A">
        <w:tc>
          <w:tcPr>
            <w:tcW w:w="1250" w:type="pct"/>
          </w:tcPr>
          <w:p w14:paraId="3DC61792"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demo plant is built</w:t>
            </w:r>
          </w:p>
        </w:tc>
        <w:tc>
          <w:tcPr>
            <w:tcW w:w="1250" w:type="pct"/>
          </w:tcPr>
          <w:p w14:paraId="73831A5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regulatory process ongoing</w:t>
            </w:r>
          </w:p>
        </w:tc>
        <w:tc>
          <w:tcPr>
            <w:tcW w:w="1250" w:type="pct"/>
          </w:tcPr>
          <w:p w14:paraId="0797A2A8"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startup demoing completed</w:t>
            </w:r>
          </w:p>
        </w:tc>
        <w:tc>
          <w:tcPr>
            <w:tcW w:w="1250" w:type="pct"/>
          </w:tcPr>
          <w:p w14:paraId="5F47A91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demoing ongoing</w:t>
            </w:r>
          </w:p>
        </w:tc>
      </w:tr>
      <w:tr w:rsidR="00FC11F0" w:rsidRPr="006018F3" w14:paraId="3419BB1C" w14:textId="77777777" w:rsidTr="00FC325A">
        <w:tc>
          <w:tcPr>
            <w:tcW w:w="1250" w:type="pct"/>
          </w:tcPr>
          <w:p w14:paraId="5B06004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demoing progress</w:t>
            </w:r>
          </w:p>
        </w:tc>
        <w:tc>
          <w:tcPr>
            <w:tcW w:w="1250" w:type="pct"/>
          </w:tcPr>
          <w:p w14:paraId="1046C11A"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demoing complete</w:t>
            </w:r>
          </w:p>
        </w:tc>
        <w:tc>
          <w:tcPr>
            <w:tcW w:w="1250" w:type="pct"/>
          </w:tcPr>
          <w:p w14:paraId="056AB33A"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regulatory delay</w:t>
            </w:r>
          </w:p>
        </w:tc>
        <w:tc>
          <w:tcPr>
            <w:tcW w:w="1250" w:type="pct"/>
          </w:tcPr>
          <w:p w14:paraId="696A750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precommercial</w:t>
            </w:r>
          </w:p>
        </w:tc>
      </w:tr>
      <w:tr w:rsidR="00FC11F0" w:rsidRPr="006018F3" w14:paraId="6DA09C88" w14:textId="77777777" w:rsidTr="00FC325A">
        <w:tc>
          <w:tcPr>
            <w:tcW w:w="1250" w:type="pct"/>
          </w:tcPr>
          <w:p w14:paraId="5A2BE1E9"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commercial plant construction</w:t>
            </w:r>
          </w:p>
        </w:tc>
        <w:tc>
          <w:tcPr>
            <w:tcW w:w="1250" w:type="pct"/>
          </w:tcPr>
          <w:p w14:paraId="60867F16"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commercial plant is built</w:t>
            </w:r>
          </w:p>
        </w:tc>
        <w:tc>
          <w:tcPr>
            <w:tcW w:w="1250" w:type="pct"/>
          </w:tcPr>
          <w:p w14:paraId="22C647DC"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commercial plant operation</w:t>
            </w:r>
          </w:p>
        </w:tc>
        <w:tc>
          <w:tcPr>
            <w:tcW w:w="1250" w:type="pct"/>
          </w:tcPr>
          <w:p w14:paraId="2BBF86BC"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technology readiness level</w:t>
            </w:r>
          </w:p>
        </w:tc>
      </w:tr>
      <w:tr w:rsidR="00FC11F0" w:rsidRPr="006018F3" w14:paraId="1FB429D3" w14:textId="77777777" w:rsidTr="00FC325A">
        <w:tc>
          <w:tcPr>
            <w:tcW w:w="1250" w:type="pct"/>
          </w:tcPr>
          <w:p w14:paraId="45A1FD20"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stage in progress</w:t>
            </w:r>
          </w:p>
        </w:tc>
        <w:tc>
          <w:tcPr>
            <w:tcW w:w="1250" w:type="pct"/>
          </w:tcPr>
          <w:p w14:paraId="727887DE"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BS equity</w:t>
            </w:r>
          </w:p>
        </w:tc>
        <w:tc>
          <w:tcPr>
            <w:tcW w:w="1250" w:type="pct"/>
          </w:tcPr>
          <w:p w14:paraId="15014849"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payback period</w:t>
            </w:r>
          </w:p>
        </w:tc>
        <w:tc>
          <w:tcPr>
            <w:tcW w:w="1250" w:type="pct"/>
          </w:tcPr>
          <w:p w14:paraId="6D3EDD14"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NPV at required return</w:t>
            </w:r>
          </w:p>
        </w:tc>
      </w:tr>
      <w:tr w:rsidR="00FC11F0" w:rsidRPr="006018F3" w14:paraId="37EBF61A" w14:textId="77777777" w:rsidTr="00FC325A">
        <w:tc>
          <w:tcPr>
            <w:tcW w:w="1250" w:type="pct"/>
          </w:tcPr>
          <w:p w14:paraId="5DB54A4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profitability indicator</w:t>
            </w:r>
          </w:p>
        </w:tc>
        <w:tc>
          <w:tcPr>
            <w:tcW w:w="1250" w:type="pct"/>
          </w:tcPr>
          <w:p w14:paraId="0EF09D8E"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bioproduct favorability indicator</w:t>
            </w:r>
          </w:p>
        </w:tc>
        <w:tc>
          <w:tcPr>
            <w:tcW w:w="1250" w:type="pct"/>
          </w:tcPr>
          <w:p w14:paraId="3FD916CB"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long term selling price without green premium after market entry</w:t>
            </w:r>
          </w:p>
        </w:tc>
        <w:tc>
          <w:tcPr>
            <w:tcW w:w="1250" w:type="pct"/>
          </w:tcPr>
          <w:p w14:paraId="064C4B28"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total approval cost</w:t>
            </w:r>
          </w:p>
        </w:tc>
      </w:tr>
      <w:tr w:rsidR="00FC11F0" w:rsidRPr="006018F3" w14:paraId="6293BB62" w14:textId="77777777" w:rsidTr="00FC325A">
        <w:tc>
          <w:tcPr>
            <w:tcW w:w="1250" w:type="pct"/>
          </w:tcPr>
          <w:p w14:paraId="724D229A"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total approval time</w:t>
            </w:r>
          </w:p>
        </w:tc>
        <w:tc>
          <w:tcPr>
            <w:tcW w:w="1250" w:type="pct"/>
          </w:tcPr>
          <w:p w14:paraId="14356203"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in business indicator</w:t>
            </w:r>
          </w:p>
        </w:tc>
        <w:tc>
          <w:tcPr>
            <w:tcW w:w="1250" w:type="pct"/>
          </w:tcPr>
          <w:p w14:paraId="5EFDCE80"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internal project cancelled indicator</w:t>
            </w:r>
          </w:p>
        </w:tc>
        <w:tc>
          <w:tcPr>
            <w:tcW w:w="1250" w:type="pct"/>
          </w:tcPr>
          <w:p w14:paraId="49E7F44B"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investing</w:t>
            </w:r>
          </w:p>
        </w:tc>
      </w:tr>
      <w:tr w:rsidR="00FC11F0" w:rsidRPr="006018F3" w14:paraId="7E115C12" w14:textId="77777777" w:rsidTr="00FC325A">
        <w:tc>
          <w:tcPr>
            <w:tcW w:w="1250" w:type="pct"/>
          </w:tcPr>
          <w:p w14:paraId="58888C25"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granting</w:t>
            </w:r>
          </w:p>
        </w:tc>
        <w:tc>
          <w:tcPr>
            <w:tcW w:w="1250" w:type="pct"/>
          </w:tcPr>
          <w:p w14:paraId="097556B7"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Total Government Grants</w:t>
            </w:r>
          </w:p>
        </w:tc>
        <w:tc>
          <w:tcPr>
            <w:tcW w:w="1250" w:type="pct"/>
          </w:tcPr>
          <w:p w14:paraId="758C53D7"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Total Investment</w:t>
            </w:r>
          </w:p>
        </w:tc>
        <w:tc>
          <w:tcPr>
            <w:tcW w:w="1250" w:type="pct"/>
          </w:tcPr>
          <w:p w14:paraId="23794323"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Working Capital</w:t>
            </w:r>
          </w:p>
        </w:tc>
      </w:tr>
      <w:tr w:rsidR="00FC11F0" w:rsidRPr="006018F3" w14:paraId="2EF39A17" w14:textId="77777777" w:rsidTr="00FC325A">
        <w:tc>
          <w:tcPr>
            <w:tcW w:w="1250" w:type="pct"/>
          </w:tcPr>
          <w:p w14:paraId="7B060DE1"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IS production incentive</w:t>
            </w:r>
          </w:p>
        </w:tc>
        <w:tc>
          <w:tcPr>
            <w:tcW w:w="1250" w:type="pct"/>
          </w:tcPr>
          <w:p w14:paraId="324F6DF2" w14:textId="77777777" w:rsidR="00FC11F0" w:rsidRPr="006018F3" w:rsidRDefault="00FC11F0" w:rsidP="00FC325A">
            <w:pPr>
              <w:pStyle w:val="Compact"/>
              <w:spacing w:before="0" w:after="0"/>
              <w:rPr>
                <w:rFonts w:cstheme="minorHAnsi"/>
                <w:sz w:val="18"/>
                <w:szCs w:val="18"/>
              </w:rPr>
            </w:pPr>
          </w:p>
        </w:tc>
        <w:tc>
          <w:tcPr>
            <w:tcW w:w="1250" w:type="pct"/>
          </w:tcPr>
          <w:p w14:paraId="2C39A479" w14:textId="77777777" w:rsidR="00FC11F0" w:rsidRPr="006018F3" w:rsidRDefault="00FC11F0" w:rsidP="00FC325A">
            <w:pPr>
              <w:pStyle w:val="Compact"/>
              <w:spacing w:before="0" w:after="0"/>
              <w:rPr>
                <w:rFonts w:cstheme="minorHAnsi"/>
                <w:sz w:val="18"/>
                <w:szCs w:val="18"/>
              </w:rPr>
            </w:pPr>
          </w:p>
        </w:tc>
        <w:tc>
          <w:tcPr>
            <w:tcW w:w="1250" w:type="pct"/>
          </w:tcPr>
          <w:p w14:paraId="3A677B57" w14:textId="77777777" w:rsidR="00FC11F0" w:rsidRPr="006018F3" w:rsidRDefault="00FC11F0" w:rsidP="00FC325A">
            <w:pPr>
              <w:pStyle w:val="Compact"/>
              <w:spacing w:before="0" w:after="0"/>
              <w:rPr>
                <w:rFonts w:cstheme="minorHAnsi"/>
                <w:sz w:val="18"/>
                <w:szCs w:val="18"/>
              </w:rPr>
            </w:pPr>
          </w:p>
        </w:tc>
      </w:tr>
    </w:tbl>
    <w:p w14:paraId="526B23E5" w14:textId="1FA2B19A" w:rsidR="00FC11F0" w:rsidRDefault="00FC11F0" w:rsidP="00FC11F0"/>
    <w:p w14:paraId="3F841E29" w14:textId="3C7E1873" w:rsidR="00D43C2C" w:rsidRDefault="00D43C2C" w:rsidP="00D43C2C">
      <w:pPr>
        <w:pStyle w:val="Heading2"/>
      </w:pPr>
      <w:r>
        <w:t>Base cases</w:t>
      </w:r>
    </w:p>
    <w:p w14:paraId="4C7CD93B" w14:textId="77777777" w:rsidR="00D43C2C" w:rsidRPr="009D2EB8" w:rsidRDefault="00D43C2C" w:rsidP="00FC11F0">
      <w:commentRangeStart w:id="10"/>
      <w:commentRangeEnd w:id="10"/>
      <w:r>
        <w:rPr>
          <w:rStyle w:val="CommentReference"/>
          <w:rFonts w:asciiTheme="minorHAnsi" w:hAnsiTheme="minorHAnsi"/>
        </w:rPr>
        <w:commentReference w:id="10"/>
      </w:r>
    </w:p>
    <w:p w14:paraId="734CE33A" w14:textId="77777777" w:rsidR="00FC11F0" w:rsidRDefault="00FC11F0" w:rsidP="00FC11F0">
      <w:pPr>
        <w:pStyle w:val="Heading2"/>
      </w:pPr>
      <w:r>
        <w:t>One-at-a-Time experiment</w:t>
      </w:r>
    </w:p>
    <w:p w14:paraId="67B61C82" w14:textId="68B01ABC" w:rsidR="00FC11F0" w:rsidRDefault="00286BC6" w:rsidP="00FC11F0">
      <w:r>
        <w:fldChar w:fldCharType="begin"/>
      </w:r>
      <w:r>
        <w:instrText xml:space="preserve"> REF _Ref44072541 \h </w:instrText>
      </w:r>
      <w:r>
        <w:fldChar w:fldCharType="separate"/>
      </w:r>
      <w:r w:rsidR="004108A6">
        <w:t xml:space="preserve">Figure </w:t>
      </w:r>
      <w:r w:rsidR="004108A6">
        <w:rPr>
          <w:noProof/>
        </w:rPr>
        <w:t>5</w:t>
      </w:r>
      <w:r>
        <w:fldChar w:fldCharType="end"/>
      </w:r>
      <w:r w:rsidR="00FC11F0" w:rsidRPr="009D2EB8">
        <w:t xml:space="preserve"> shows the </w:t>
      </w:r>
      <w:r w:rsidR="00FC11F0">
        <w:t>technology readiness level (TRL)</w:t>
      </w:r>
      <w:r w:rsidR="00FC11F0" w:rsidRPr="009D2EB8">
        <w:t xml:space="preserve"> trajectories for the OAT experiment</w:t>
      </w:r>
      <w:r w:rsidR="00FC11F0">
        <w:t>: most simulations remain at TRL 6 in 2050, but a small number progress through TRL 7 and 8 all the way to commercial viability at TRL 9.</w:t>
      </w:r>
      <w:r w:rsidR="008A194A">
        <w:t xml:space="preserve"> </w:t>
      </w:r>
      <w:r w:rsidR="00FC11F0">
        <w:t xml:space="preserve">In elementary-effects analysis </w:t>
      </w:r>
      <w:sdt>
        <w:sdtPr>
          <w:id w:val="1414279343"/>
          <w:citation/>
        </w:sdtPr>
        <w:sdtContent>
          <w:r w:rsidR="00386E1A">
            <w:fldChar w:fldCharType="begin"/>
          </w:r>
          <w:r w:rsidR="00386E1A">
            <w:instrText xml:space="preserve"> CITATION Sal04 \l 1033 </w:instrText>
          </w:r>
          <w:r w:rsidR="00386E1A">
            <w:fldChar w:fldCharType="separate"/>
          </w:r>
          <w:r w:rsidR="00386E1A">
            <w:rPr>
              <w:noProof/>
            </w:rPr>
            <w:t>(Saltelli, Tarantola, Campolongo, &amp; Ratto, 2004)</w:t>
          </w:r>
          <w:r w:rsidR="00386E1A">
            <w:fldChar w:fldCharType="end"/>
          </w:r>
        </w:sdtContent>
      </w:sdt>
      <w:r w:rsidR="00FC11F0">
        <w:t xml:space="preserve">, statistics called “mu-star” and “sigma” are computed to measure the influence of an input variable upon an output variable. </w:t>
      </w:r>
      <w:r>
        <w:fldChar w:fldCharType="begin"/>
      </w:r>
      <w:r>
        <w:instrText xml:space="preserve"> REF _Ref20317116 \h </w:instrText>
      </w:r>
      <w:r>
        <w:fldChar w:fldCharType="separate"/>
      </w:r>
      <w:r w:rsidR="004108A6">
        <w:t xml:space="preserve">Figure </w:t>
      </w:r>
      <w:r w:rsidR="004108A6">
        <w:rPr>
          <w:noProof/>
        </w:rPr>
        <w:t>6</w:t>
      </w:r>
      <w:r>
        <w:fldChar w:fldCharType="end"/>
      </w:r>
      <w:r>
        <w:t xml:space="preserve"> and </w:t>
      </w:r>
      <w:r>
        <w:fldChar w:fldCharType="begin"/>
      </w:r>
      <w:r>
        <w:instrText xml:space="preserve"> REF _Ref20317131 \h </w:instrText>
      </w:r>
      <w:r>
        <w:fldChar w:fldCharType="separate"/>
      </w:r>
      <w:r w:rsidR="004108A6">
        <w:t xml:space="preserve">Figure </w:t>
      </w:r>
      <w:r w:rsidR="004108A6">
        <w:rPr>
          <w:noProof/>
        </w:rPr>
        <w:t>7</w:t>
      </w:r>
      <w:r>
        <w:fldChar w:fldCharType="end"/>
      </w:r>
      <w:r w:rsidR="00FC11F0">
        <w:t xml:space="preserve"> show the values of these statistics for the OAT experiment. </w:t>
      </w:r>
      <w:r>
        <w:fldChar w:fldCharType="begin"/>
      </w:r>
      <w:r>
        <w:instrText xml:space="preserve"> REF _Ref44072702 \h </w:instrText>
      </w:r>
      <w:r>
        <w:fldChar w:fldCharType="separate"/>
      </w:r>
      <w:r w:rsidR="004108A6">
        <w:t xml:space="preserve">Table </w:t>
      </w:r>
      <w:r w:rsidR="004108A6">
        <w:rPr>
          <w:noProof/>
        </w:rPr>
        <w:t>3</w:t>
      </w:r>
      <w:r>
        <w:fldChar w:fldCharType="end"/>
      </w:r>
      <w:r w:rsidR="00FC11F0">
        <w:t xml:space="preserve"> ranks those influences. Combing these results with modelers’ judgment on the importance of input variables, we arrive at the following </w:t>
      </w:r>
      <w:commentRangeStart w:id="11"/>
      <w:r w:rsidR="00FC11F0">
        <w:t>list</w:t>
      </w:r>
      <w:commentRangeEnd w:id="11"/>
      <w:r w:rsidR="00D43C2C">
        <w:rPr>
          <w:rStyle w:val="CommentReference"/>
          <w:rFonts w:asciiTheme="minorHAnsi" w:hAnsiTheme="minorHAnsi"/>
        </w:rPr>
        <w:commentReference w:id="11"/>
      </w:r>
      <w:r w:rsidR="00FC11F0">
        <w:t xml:space="preserve"> of influential variables that will be explored in the SA experiment:</w:t>
      </w:r>
    </w:p>
    <w:p w14:paraId="50708B8E" w14:textId="77777777" w:rsidR="00FC11F0"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sz w:val="18"/>
          <w:szCs w:val="18"/>
        </w:rPr>
        <w:sectPr w:rsidR="00FC11F0">
          <w:headerReference w:type="default" r:id="rId20"/>
          <w:footerReference w:type="default" r:id="rId21"/>
          <w:pgSz w:w="12240" w:h="15840"/>
          <w:pgMar w:top="1440" w:right="1440" w:bottom="1440" w:left="1440" w:header="720" w:footer="720" w:gutter="0"/>
          <w:cols w:space="720"/>
          <w:docGrid w:linePitch="360"/>
        </w:sectPr>
      </w:pPr>
    </w:p>
    <w:p w14:paraId="08A6A8BF"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aversion to NPV deviation</w:t>
      </w:r>
    </w:p>
    <w:p w14:paraId="7CA458E9"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base external investor ask rate</w:t>
      </w:r>
    </w:p>
    <w:p w14:paraId="47F3E552"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bioproduct long term price</w:t>
      </w:r>
    </w:p>
    <w:p w14:paraId="72B14C3C"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bioproduct performance advantage</w:t>
      </w:r>
    </w:p>
    <w:p w14:paraId="16C684A6"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commercial capital cost input</w:t>
      </w:r>
    </w:p>
    <w:p w14:paraId="58DB88AE"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commercial plant capacity</w:t>
      </w:r>
    </w:p>
    <w:p w14:paraId="791753C6"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commercial plant capacity input</w:t>
      </w:r>
    </w:p>
    <w:p w14:paraId="0EF5C799"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commercial process yield input</w:t>
      </w:r>
    </w:p>
    <w:p w14:paraId="05F6E505"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commercial variable operating cost input</w:t>
      </w:r>
    </w:p>
    <w:p w14:paraId="6BBC9946"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expected continuity of government policy</w:t>
      </w:r>
    </w:p>
    <w:p w14:paraId="3D5115EE"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government capital cost share</w:t>
      </w:r>
    </w:p>
    <w:p w14:paraId="6AC31CE8"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government production incentive</w:t>
      </w:r>
    </w:p>
    <w:p w14:paraId="5A38DB21"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initial market size</w:t>
      </w:r>
    </w:p>
    <w:p w14:paraId="523B5B93"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management response time</w:t>
      </w:r>
    </w:p>
    <w:p w14:paraId="4A350765"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market growth rate</w:t>
      </w:r>
    </w:p>
    <w:p w14:paraId="6F69843B"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minimum runway</w:t>
      </w:r>
    </w:p>
    <w:p w14:paraId="3E02C3C5"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 xml:space="preserve">number of missed </w:t>
      </w:r>
      <w:proofErr w:type="spellStart"/>
      <w:r w:rsidRPr="00680025">
        <w:rPr>
          <w:rFonts w:ascii="Courier New" w:hAnsi="Courier New" w:cs="Courier New"/>
          <w:color w:val="000000"/>
          <w:sz w:val="16"/>
          <w:szCs w:val="16"/>
        </w:rPr>
        <w:t>stagegates</w:t>
      </w:r>
      <w:proofErr w:type="spellEnd"/>
      <w:r w:rsidRPr="00680025">
        <w:rPr>
          <w:rFonts w:ascii="Courier New" w:hAnsi="Courier New" w:cs="Courier New"/>
          <w:color w:val="000000"/>
          <w:sz w:val="16"/>
          <w:szCs w:val="16"/>
        </w:rPr>
        <w:t xml:space="preserve"> allowed</w:t>
      </w:r>
    </w:p>
    <w:p w14:paraId="0B1D2B9F"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payback period multiplier</w:t>
      </w:r>
    </w:p>
    <w:p w14:paraId="791F1813"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pilot and demo response time</w:t>
      </w:r>
    </w:p>
    <w:p w14:paraId="38EB7C46"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pilot capacity</w:t>
      </w:r>
    </w:p>
    <w:p w14:paraId="3D0B6E82"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piloting acceptable rate</w:t>
      </w:r>
    </w:p>
    <w:p w14:paraId="7A9B4C56"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piloting failure default recovery time</w:t>
      </w:r>
    </w:p>
    <w:p w14:paraId="32CC7AA6"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piloting failure distribution max</w:t>
      </w:r>
    </w:p>
    <w:p w14:paraId="698A126F"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random stream</w:t>
      </w:r>
    </w:p>
    <w:p w14:paraId="70F22E3F"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required internal return</w:t>
      </w:r>
    </w:p>
    <w:p w14:paraId="15E525BE"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required return multiplier</w:t>
      </w:r>
    </w:p>
    <w:p w14:paraId="12E5B16F"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researching impact on piloting</w:t>
      </w:r>
    </w:p>
    <w:p w14:paraId="10D4A6C6"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startup piloting period</w:t>
      </w:r>
    </w:p>
    <w:p w14:paraId="490EBD4A"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startup piloting rate</w:t>
      </w:r>
    </w:p>
    <w:p w14:paraId="5580A509"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strategic value to external investors</w:t>
      </w:r>
    </w:p>
    <w:p w14:paraId="43482C5A"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target demo hours</w:t>
      </w:r>
    </w:p>
    <w:p w14:paraId="42DA499E" w14:textId="77777777" w:rsidR="00FC11F0" w:rsidRPr="00680025"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16"/>
          <w:szCs w:val="16"/>
        </w:rPr>
      </w:pPr>
      <w:r w:rsidRPr="00680025">
        <w:rPr>
          <w:rFonts w:ascii="Courier New" w:hAnsi="Courier New" w:cs="Courier New"/>
          <w:color w:val="000000"/>
          <w:sz w:val="16"/>
          <w:szCs w:val="16"/>
        </w:rPr>
        <w:t>target pilot hours</w:t>
      </w:r>
    </w:p>
    <w:p w14:paraId="4B4712D5" w14:textId="77777777" w:rsidR="00FC11F0" w:rsidRDefault="00FC11F0" w:rsidP="00FC11F0">
      <w:pPr>
        <w:sectPr w:rsidR="00FC11F0" w:rsidSect="00FC325A">
          <w:type w:val="continuous"/>
          <w:pgSz w:w="12240" w:h="15840"/>
          <w:pgMar w:top="1440" w:right="1440" w:bottom="1440" w:left="1440" w:header="720" w:footer="720" w:gutter="0"/>
          <w:cols w:num="2" w:space="720"/>
          <w:docGrid w:linePitch="360"/>
        </w:sectPr>
      </w:pPr>
    </w:p>
    <w:p w14:paraId="00AA4675" w14:textId="77777777" w:rsidR="00FC11F0" w:rsidRDefault="00FC11F0" w:rsidP="00FC11F0">
      <w:r>
        <w:lastRenderedPageBreak/>
        <w:t>These figures and the table show that t</w:t>
      </w:r>
      <w:r w:rsidRPr="009D2EB8">
        <w:t>he random</w:t>
      </w:r>
      <w:r>
        <w:t xml:space="preserve"> </w:t>
      </w:r>
      <w:r w:rsidRPr="009D2EB8">
        <w:t xml:space="preserve">number stream </w:t>
      </w:r>
      <w:r>
        <w:t>strongly affects the results</w:t>
      </w:r>
      <w:r w:rsidRPr="009D2EB8">
        <w:t xml:space="preserve"> and</w:t>
      </w:r>
      <w:r>
        <w:t xml:space="preserve"> that</w:t>
      </w:r>
      <w:r w:rsidRPr="009D2EB8">
        <w:t xml:space="preserve"> different input variables show different sensitivities to stochasticity. The most significant conclusion here is than one cannot make system-level inferences in the BTD model without running ensembles of a least a dozen or so random-number seeds.</w:t>
      </w:r>
    </w:p>
    <w:p w14:paraId="25C1C5F3" w14:textId="77777777" w:rsidR="00FC11F0" w:rsidRDefault="00FC11F0" w:rsidP="00FC11F0">
      <w:pPr>
        <w:keepNext/>
      </w:pPr>
      <w:r w:rsidRPr="00E40564">
        <w:rPr>
          <w:noProof/>
        </w:rPr>
        <w:drawing>
          <wp:inline distT="0" distB="0" distL="0" distR="0" wp14:anchorId="224B760D" wp14:editId="43FC9954">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943600"/>
                    </a:xfrm>
                    <a:prstGeom prst="rect">
                      <a:avLst/>
                    </a:prstGeom>
                  </pic:spPr>
                </pic:pic>
              </a:graphicData>
            </a:graphic>
          </wp:inline>
        </w:drawing>
      </w:r>
    </w:p>
    <w:p w14:paraId="15D3BECA" w14:textId="5039FCBD" w:rsidR="00FC11F0" w:rsidRDefault="00FC11F0" w:rsidP="00FC11F0">
      <w:pPr>
        <w:pStyle w:val="Caption"/>
      </w:pPr>
      <w:bookmarkStart w:id="12" w:name="_Ref44072541"/>
      <w:r>
        <w:t xml:space="preserve">Figure </w:t>
      </w:r>
      <w:r>
        <w:fldChar w:fldCharType="begin"/>
      </w:r>
      <w:r>
        <w:instrText>SEQ Figure \* ARABIC</w:instrText>
      </w:r>
      <w:r>
        <w:fldChar w:fldCharType="separate"/>
      </w:r>
      <w:r w:rsidR="004108A6">
        <w:rPr>
          <w:noProof/>
        </w:rPr>
        <w:t>5</w:t>
      </w:r>
      <w:r>
        <w:fldChar w:fldCharType="end"/>
      </w:r>
      <w:bookmarkEnd w:id="12"/>
      <w:r>
        <w:t>. Histograms of technology readiness level as a function of time for the OAT experiment.</w:t>
      </w:r>
    </w:p>
    <w:p w14:paraId="774B181B" w14:textId="77777777" w:rsidR="00FC11F0" w:rsidRDefault="00FC11F0" w:rsidP="00FC11F0">
      <w:pPr>
        <w:keepNext/>
      </w:pPr>
      <w:r w:rsidRPr="00E40564">
        <w:rPr>
          <w:noProof/>
        </w:rPr>
        <w:lastRenderedPageBreak/>
        <w:drawing>
          <wp:inline distT="0" distB="0" distL="0" distR="0" wp14:anchorId="4C9305BB" wp14:editId="3F4FA516">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943600"/>
                    </a:xfrm>
                    <a:prstGeom prst="rect">
                      <a:avLst/>
                    </a:prstGeom>
                  </pic:spPr>
                </pic:pic>
              </a:graphicData>
            </a:graphic>
          </wp:inline>
        </w:drawing>
      </w:r>
    </w:p>
    <w:p w14:paraId="16E8C404" w14:textId="0D6773F9" w:rsidR="00FC11F0" w:rsidRDefault="00FC11F0" w:rsidP="00FC11F0">
      <w:pPr>
        <w:pStyle w:val="Caption"/>
      </w:pPr>
      <w:bookmarkStart w:id="13" w:name="_Ref20317116"/>
      <w:r>
        <w:t xml:space="preserve">Figure </w:t>
      </w:r>
      <w:r>
        <w:fldChar w:fldCharType="begin"/>
      </w:r>
      <w:r>
        <w:instrText>SEQ Figure \* ARABIC</w:instrText>
      </w:r>
      <w:r>
        <w:fldChar w:fldCharType="separate"/>
      </w:r>
      <w:r w:rsidR="004108A6">
        <w:rPr>
          <w:noProof/>
        </w:rPr>
        <w:t>6</w:t>
      </w:r>
      <w:r>
        <w:fldChar w:fldCharType="end"/>
      </w:r>
      <w:bookmarkEnd w:id="13"/>
      <w:r>
        <w:t xml:space="preserve">. </w:t>
      </w:r>
      <w:commentRangeStart w:id="14"/>
      <w:r>
        <w:t>Value</w:t>
      </w:r>
      <w:commentRangeEnd w:id="14"/>
      <w:r w:rsidR="008A194A">
        <w:rPr>
          <w:rStyle w:val="CommentReference"/>
          <w:rFonts w:asciiTheme="minorHAnsi" w:hAnsiTheme="minorHAnsi"/>
          <w:bCs w:val="0"/>
        </w:rPr>
        <w:commentReference w:id="14"/>
      </w:r>
      <w:r>
        <w:t xml:space="preserve"> of the elementary-effects variable mu-star in 2050 for the OAT experiment. The more highly ranked mu-star is, the more influential that input variable (row) is upon the output variable (column).</w:t>
      </w:r>
    </w:p>
    <w:p w14:paraId="7AB478D5" w14:textId="77777777" w:rsidR="00FC11F0" w:rsidRDefault="00FC11F0" w:rsidP="00FC11F0">
      <w:pPr>
        <w:pStyle w:val="Compact"/>
        <w:rPr>
          <w:rStyle w:val="VerbatimChar"/>
        </w:rPr>
      </w:pPr>
    </w:p>
    <w:p w14:paraId="788C8A19" w14:textId="77777777" w:rsidR="00FC11F0" w:rsidRDefault="00FC11F0" w:rsidP="00FC11F0">
      <w:pPr>
        <w:pStyle w:val="Compact"/>
        <w:keepNext/>
      </w:pPr>
      <w:r w:rsidRPr="00981C7C">
        <w:rPr>
          <w:noProof/>
        </w:rPr>
        <w:lastRenderedPageBreak/>
        <w:drawing>
          <wp:inline distT="0" distB="0" distL="0" distR="0" wp14:anchorId="6D7D01C6" wp14:editId="6FB9FF64">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43600"/>
                    </a:xfrm>
                    <a:prstGeom prst="rect">
                      <a:avLst/>
                    </a:prstGeom>
                  </pic:spPr>
                </pic:pic>
              </a:graphicData>
            </a:graphic>
          </wp:inline>
        </w:drawing>
      </w:r>
    </w:p>
    <w:p w14:paraId="429AD1B3" w14:textId="257C9FAF" w:rsidR="00FC11F0" w:rsidRDefault="00FC11F0" w:rsidP="00FC11F0">
      <w:pPr>
        <w:pStyle w:val="Caption"/>
      </w:pPr>
      <w:bookmarkStart w:id="15" w:name="_Ref20317131"/>
      <w:r>
        <w:t xml:space="preserve">Figure </w:t>
      </w:r>
      <w:r>
        <w:fldChar w:fldCharType="begin"/>
      </w:r>
      <w:r>
        <w:instrText>SEQ Figure \* ARABIC</w:instrText>
      </w:r>
      <w:r>
        <w:fldChar w:fldCharType="separate"/>
      </w:r>
      <w:r w:rsidR="004108A6">
        <w:rPr>
          <w:noProof/>
        </w:rPr>
        <w:t>7</w:t>
      </w:r>
      <w:r>
        <w:fldChar w:fldCharType="end"/>
      </w:r>
      <w:bookmarkEnd w:id="15"/>
      <w:r>
        <w:t xml:space="preserve">. </w:t>
      </w:r>
      <w:commentRangeStart w:id="16"/>
      <w:r>
        <w:t>Value</w:t>
      </w:r>
      <w:commentRangeEnd w:id="16"/>
      <w:r w:rsidR="008A194A">
        <w:rPr>
          <w:rStyle w:val="CommentReference"/>
          <w:rFonts w:asciiTheme="minorHAnsi" w:hAnsiTheme="minorHAnsi"/>
          <w:bCs w:val="0"/>
        </w:rPr>
        <w:commentReference w:id="16"/>
      </w:r>
      <w:r>
        <w:t xml:space="preserve"> of the elementary-effects statistics sigma in 2050 for the OAT experiment. The more highly ranked sigma is, the more influential that input variable (row) is upon the output variable (column).</w:t>
      </w:r>
    </w:p>
    <w:p w14:paraId="486B9A2A" w14:textId="77777777" w:rsidR="00FC11F0" w:rsidRDefault="00FC11F0" w:rsidP="00FC11F0">
      <w:pPr>
        <w:rPr>
          <w:bCs/>
          <w:sz w:val="20"/>
          <w:szCs w:val="18"/>
        </w:rPr>
      </w:pPr>
      <w:r>
        <w:br w:type="page"/>
      </w:r>
    </w:p>
    <w:p w14:paraId="63062ACD" w14:textId="68E5CE06" w:rsidR="00FC11F0" w:rsidRPr="00F6665B" w:rsidRDefault="00286BC6" w:rsidP="00286BC6">
      <w:pPr>
        <w:pStyle w:val="Caption"/>
        <w:keepNext/>
      </w:pPr>
      <w:bookmarkStart w:id="17" w:name="_Ref44072702"/>
      <w:r>
        <w:lastRenderedPageBreak/>
        <w:t xml:space="preserve">Table </w:t>
      </w:r>
      <w:r>
        <w:fldChar w:fldCharType="begin"/>
      </w:r>
      <w:r>
        <w:instrText>SEQ Table \* ARABIC</w:instrText>
      </w:r>
      <w:r>
        <w:fldChar w:fldCharType="separate"/>
      </w:r>
      <w:r w:rsidR="004108A6">
        <w:rPr>
          <w:noProof/>
        </w:rPr>
        <w:t>3</w:t>
      </w:r>
      <w:r>
        <w:fldChar w:fldCharType="end"/>
      </w:r>
      <w:bookmarkEnd w:id="17"/>
      <w:r>
        <w:t xml:space="preserve">. </w:t>
      </w:r>
      <w:r w:rsidRPr="00EE37BE">
        <w:t>Ranking of influence of input variables based on the mu-star and sigma statistics for elementary effects in the OAT experiment.</w:t>
      </w:r>
      <w:r w:rsidR="00FC11F0">
        <w:t xml:space="preserve"> </w:t>
      </w:r>
    </w:p>
    <w:tbl>
      <w:tblPr>
        <w:tblStyle w:val="ListTable1Light"/>
        <w:tblW w:w="0" w:type="auto"/>
        <w:tblLook w:val="0600" w:firstRow="0" w:lastRow="0" w:firstColumn="0" w:lastColumn="0" w:noHBand="1" w:noVBand="1"/>
      </w:tblPr>
      <w:tblGrid>
        <w:gridCol w:w="2114"/>
        <w:gridCol w:w="1271"/>
        <w:gridCol w:w="1169"/>
        <w:gridCol w:w="1114"/>
        <w:gridCol w:w="1317"/>
        <w:gridCol w:w="1215"/>
        <w:gridCol w:w="1160"/>
      </w:tblGrid>
      <w:tr w:rsidR="00FC11F0" w:rsidRPr="00F6665B" w14:paraId="71F2D024" w14:textId="77777777" w:rsidTr="00FC325A">
        <w:trPr>
          <w:tblHeader/>
        </w:trPr>
        <w:tc>
          <w:tcPr>
            <w:tcW w:w="0" w:type="auto"/>
          </w:tcPr>
          <w:p w14:paraId="7EA4E9BD" w14:textId="77777777" w:rsidR="00FC11F0" w:rsidRPr="00F6665B" w:rsidRDefault="00FC11F0" w:rsidP="00FC325A">
            <w:pPr>
              <w:rPr>
                <w:rFonts w:asciiTheme="minorHAnsi" w:hAnsiTheme="minorHAnsi" w:cstheme="minorHAnsi"/>
                <w:b/>
                <w:bCs/>
                <w:sz w:val="18"/>
                <w:szCs w:val="18"/>
              </w:rPr>
            </w:pPr>
            <w:r w:rsidRPr="00F6665B">
              <w:rPr>
                <w:rFonts w:asciiTheme="minorHAnsi" w:hAnsiTheme="minorHAnsi" w:cstheme="minorHAnsi"/>
                <w:b/>
                <w:bCs/>
                <w:sz w:val="18"/>
                <w:szCs w:val="18"/>
              </w:rPr>
              <w:t>Input</w:t>
            </w:r>
          </w:p>
        </w:tc>
        <w:tc>
          <w:tcPr>
            <w:tcW w:w="0" w:type="auto"/>
          </w:tcPr>
          <w:p w14:paraId="17A7EDC0" w14:textId="77777777" w:rsidR="00FC11F0" w:rsidRPr="00F6665B" w:rsidRDefault="00FC11F0" w:rsidP="00FC325A">
            <w:pPr>
              <w:rPr>
                <w:rFonts w:asciiTheme="minorHAnsi" w:hAnsiTheme="minorHAnsi" w:cstheme="minorHAnsi"/>
                <w:b/>
                <w:bCs/>
                <w:sz w:val="18"/>
                <w:szCs w:val="18"/>
              </w:rPr>
            </w:pPr>
            <w:r w:rsidRPr="00F6665B">
              <w:rPr>
                <w:rFonts w:asciiTheme="minorHAnsi" w:hAnsiTheme="minorHAnsi" w:cstheme="minorHAnsi"/>
                <w:b/>
                <w:bCs/>
                <w:sz w:val="18"/>
                <w:szCs w:val="18"/>
              </w:rPr>
              <w:t>mu* minimum rank</w:t>
            </w:r>
          </w:p>
        </w:tc>
        <w:tc>
          <w:tcPr>
            <w:tcW w:w="0" w:type="auto"/>
          </w:tcPr>
          <w:p w14:paraId="20589C6B" w14:textId="77777777" w:rsidR="00FC11F0" w:rsidRPr="00F6665B" w:rsidRDefault="00FC11F0" w:rsidP="00FC325A">
            <w:pPr>
              <w:rPr>
                <w:rFonts w:asciiTheme="minorHAnsi" w:hAnsiTheme="minorHAnsi" w:cstheme="minorHAnsi"/>
                <w:b/>
                <w:bCs/>
                <w:sz w:val="18"/>
                <w:szCs w:val="18"/>
              </w:rPr>
            </w:pPr>
            <w:r w:rsidRPr="00F6665B">
              <w:rPr>
                <w:rFonts w:asciiTheme="minorHAnsi" w:hAnsiTheme="minorHAnsi" w:cstheme="minorHAnsi"/>
                <w:b/>
                <w:bCs/>
                <w:sz w:val="18"/>
                <w:szCs w:val="18"/>
              </w:rPr>
              <w:t>mu* mean rank</w:t>
            </w:r>
          </w:p>
        </w:tc>
        <w:tc>
          <w:tcPr>
            <w:tcW w:w="0" w:type="auto"/>
          </w:tcPr>
          <w:p w14:paraId="02757B28" w14:textId="77777777" w:rsidR="00FC11F0" w:rsidRPr="00F6665B" w:rsidRDefault="00FC11F0" w:rsidP="00FC325A">
            <w:pPr>
              <w:rPr>
                <w:rFonts w:asciiTheme="minorHAnsi" w:hAnsiTheme="minorHAnsi" w:cstheme="minorHAnsi"/>
                <w:b/>
                <w:bCs/>
                <w:sz w:val="18"/>
                <w:szCs w:val="18"/>
              </w:rPr>
            </w:pPr>
            <w:r w:rsidRPr="00F6665B">
              <w:rPr>
                <w:rFonts w:asciiTheme="minorHAnsi" w:hAnsiTheme="minorHAnsi" w:cstheme="minorHAnsi"/>
                <w:b/>
                <w:bCs/>
                <w:sz w:val="18"/>
                <w:szCs w:val="18"/>
              </w:rPr>
              <w:t>mu* median rank</w:t>
            </w:r>
          </w:p>
        </w:tc>
        <w:tc>
          <w:tcPr>
            <w:tcW w:w="0" w:type="auto"/>
          </w:tcPr>
          <w:p w14:paraId="70026F8A" w14:textId="77777777" w:rsidR="00FC11F0" w:rsidRPr="00F6665B" w:rsidRDefault="00FC11F0" w:rsidP="00FC325A">
            <w:pPr>
              <w:rPr>
                <w:rFonts w:asciiTheme="minorHAnsi" w:hAnsiTheme="minorHAnsi" w:cstheme="minorHAnsi"/>
                <w:b/>
                <w:bCs/>
                <w:sz w:val="18"/>
                <w:szCs w:val="18"/>
              </w:rPr>
            </w:pPr>
            <w:r w:rsidRPr="00F6665B">
              <w:rPr>
                <w:rFonts w:asciiTheme="minorHAnsi" w:hAnsiTheme="minorHAnsi" w:cstheme="minorHAnsi"/>
                <w:b/>
                <w:bCs/>
                <w:sz w:val="18"/>
                <w:szCs w:val="18"/>
              </w:rPr>
              <w:t>sigma minimum rank</w:t>
            </w:r>
          </w:p>
        </w:tc>
        <w:tc>
          <w:tcPr>
            <w:tcW w:w="0" w:type="auto"/>
          </w:tcPr>
          <w:p w14:paraId="287E0250" w14:textId="77777777" w:rsidR="00FC11F0" w:rsidRPr="00F6665B" w:rsidRDefault="00FC11F0" w:rsidP="00FC325A">
            <w:pPr>
              <w:rPr>
                <w:rFonts w:asciiTheme="minorHAnsi" w:hAnsiTheme="minorHAnsi" w:cstheme="minorHAnsi"/>
                <w:b/>
                <w:bCs/>
                <w:sz w:val="18"/>
                <w:szCs w:val="18"/>
              </w:rPr>
            </w:pPr>
            <w:r w:rsidRPr="00F6665B">
              <w:rPr>
                <w:rFonts w:asciiTheme="minorHAnsi" w:hAnsiTheme="minorHAnsi" w:cstheme="minorHAnsi"/>
                <w:b/>
                <w:bCs/>
                <w:sz w:val="18"/>
                <w:szCs w:val="18"/>
              </w:rPr>
              <w:t>sigma mean rank</w:t>
            </w:r>
          </w:p>
        </w:tc>
        <w:tc>
          <w:tcPr>
            <w:tcW w:w="0" w:type="auto"/>
          </w:tcPr>
          <w:p w14:paraId="052B8751" w14:textId="77777777" w:rsidR="00FC11F0" w:rsidRPr="00F6665B" w:rsidRDefault="00FC11F0" w:rsidP="00FC325A">
            <w:pPr>
              <w:rPr>
                <w:rFonts w:asciiTheme="minorHAnsi" w:hAnsiTheme="minorHAnsi" w:cstheme="minorHAnsi"/>
                <w:b/>
                <w:bCs/>
                <w:sz w:val="18"/>
                <w:szCs w:val="18"/>
              </w:rPr>
            </w:pPr>
            <w:r w:rsidRPr="00F6665B">
              <w:rPr>
                <w:rFonts w:asciiTheme="minorHAnsi" w:hAnsiTheme="minorHAnsi" w:cstheme="minorHAnsi"/>
                <w:b/>
                <w:bCs/>
                <w:sz w:val="18"/>
                <w:szCs w:val="18"/>
              </w:rPr>
              <w:t>sigma median rank</w:t>
            </w:r>
          </w:p>
        </w:tc>
      </w:tr>
      <w:tr w:rsidR="00FC11F0" w:rsidRPr="00F6665B" w14:paraId="75C8C0C5" w14:textId="77777777" w:rsidTr="00FC325A">
        <w:tc>
          <w:tcPr>
            <w:tcW w:w="0" w:type="auto"/>
          </w:tcPr>
          <w:p w14:paraId="0B27EB3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random stream</w:t>
            </w:r>
          </w:p>
        </w:tc>
        <w:tc>
          <w:tcPr>
            <w:tcW w:w="0" w:type="auto"/>
          </w:tcPr>
          <w:p w14:paraId="15786E3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w:t>
            </w:r>
          </w:p>
        </w:tc>
        <w:tc>
          <w:tcPr>
            <w:tcW w:w="0" w:type="auto"/>
          </w:tcPr>
          <w:p w14:paraId="4829BCE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5.816327</w:t>
            </w:r>
          </w:p>
        </w:tc>
        <w:tc>
          <w:tcPr>
            <w:tcW w:w="0" w:type="auto"/>
          </w:tcPr>
          <w:p w14:paraId="0441B4BB"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w:t>
            </w:r>
          </w:p>
        </w:tc>
        <w:tc>
          <w:tcPr>
            <w:tcW w:w="0" w:type="auto"/>
          </w:tcPr>
          <w:p w14:paraId="67BF1B3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w:t>
            </w:r>
          </w:p>
        </w:tc>
        <w:tc>
          <w:tcPr>
            <w:tcW w:w="0" w:type="auto"/>
          </w:tcPr>
          <w:p w14:paraId="2984BA9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5.816327</w:t>
            </w:r>
          </w:p>
        </w:tc>
        <w:tc>
          <w:tcPr>
            <w:tcW w:w="0" w:type="auto"/>
          </w:tcPr>
          <w:p w14:paraId="63F62A7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w:t>
            </w:r>
          </w:p>
        </w:tc>
      </w:tr>
      <w:tr w:rsidR="00FC11F0" w:rsidRPr="00F6665B" w14:paraId="758458A2" w14:textId="77777777" w:rsidTr="00FC325A">
        <w:tc>
          <w:tcPr>
            <w:tcW w:w="0" w:type="auto"/>
          </w:tcPr>
          <w:p w14:paraId="31982AB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target pilot hours</w:t>
            </w:r>
          </w:p>
        </w:tc>
        <w:tc>
          <w:tcPr>
            <w:tcW w:w="0" w:type="auto"/>
          </w:tcPr>
          <w:p w14:paraId="35ABB71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179B32C4"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11.948980</w:t>
            </w:r>
          </w:p>
        </w:tc>
        <w:tc>
          <w:tcPr>
            <w:tcW w:w="0" w:type="auto"/>
          </w:tcPr>
          <w:p w14:paraId="37F73B0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6.0</w:t>
            </w:r>
          </w:p>
        </w:tc>
        <w:tc>
          <w:tcPr>
            <w:tcW w:w="0" w:type="auto"/>
          </w:tcPr>
          <w:p w14:paraId="22A073BB"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00848DE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11.775510</w:t>
            </w:r>
          </w:p>
        </w:tc>
        <w:tc>
          <w:tcPr>
            <w:tcW w:w="0" w:type="auto"/>
          </w:tcPr>
          <w:p w14:paraId="7844768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6.0</w:t>
            </w:r>
          </w:p>
        </w:tc>
      </w:tr>
      <w:tr w:rsidR="00FC11F0" w:rsidRPr="00F6665B" w14:paraId="6C4AEC26" w14:textId="77777777" w:rsidTr="00FC325A">
        <w:tc>
          <w:tcPr>
            <w:tcW w:w="0" w:type="auto"/>
          </w:tcPr>
          <w:p w14:paraId="714935C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base external investor ask rate</w:t>
            </w:r>
          </w:p>
        </w:tc>
        <w:tc>
          <w:tcPr>
            <w:tcW w:w="0" w:type="auto"/>
          </w:tcPr>
          <w:p w14:paraId="20A05DDF"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433DFA5F"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13.744898</w:t>
            </w:r>
          </w:p>
        </w:tc>
        <w:tc>
          <w:tcPr>
            <w:tcW w:w="0" w:type="auto"/>
          </w:tcPr>
          <w:p w14:paraId="3BBAD77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7.0</w:t>
            </w:r>
          </w:p>
        </w:tc>
        <w:tc>
          <w:tcPr>
            <w:tcW w:w="0" w:type="auto"/>
          </w:tcPr>
          <w:p w14:paraId="09E9D37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6A625C2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14.755102</w:t>
            </w:r>
          </w:p>
        </w:tc>
        <w:tc>
          <w:tcPr>
            <w:tcW w:w="0" w:type="auto"/>
          </w:tcPr>
          <w:p w14:paraId="5A7597B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9.0</w:t>
            </w:r>
          </w:p>
        </w:tc>
      </w:tr>
      <w:tr w:rsidR="00FC11F0" w:rsidRPr="00F6665B" w14:paraId="31AF97DF" w14:textId="77777777" w:rsidTr="00FC325A">
        <w:tc>
          <w:tcPr>
            <w:tcW w:w="0" w:type="auto"/>
          </w:tcPr>
          <w:p w14:paraId="11525A61"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commercial plant capacity input</w:t>
            </w:r>
          </w:p>
        </w:tc>
        <w:tc>
          <w:tcPr>
            <w:tcW w:w="0" w:type="auto"/>
          </w:tcPr>
          <w:p w14:paraId="1F61F65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0C34E6F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13.673469</w:t>
            </w:r>
          </w:p>
        </w:tc>
        <w:tc>
          <w:tcPr>
            <w:tcW w:w="0" w:type="auto"/>
          </w:tcPr>
          <w:p w14:paraId="648D466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7.0</w:t>
            </w:r>
          </w:p>
        </w:tc>
        <w:tc>
          <w:tcPr>
            <w:tcW w:w="0" w:type="auto"/>
          </w:tcPr>
          <w:p w14:paraId="1AD2D1D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24C9A2B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14.428571</w:t>
            </w:r>
          </w:p>
        </w:tc>
        <w:tc>
          <w:tcPr>
            <w:tcW w:w="0" w:type="auto"/>
          </w:tcPr>
          <w:p w14:paraId="667500E1"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7.0</w:t>
            </w:r>
          </w:p>
        </w:tc>
      </w:tr>
      <w:tr w:rsidR="00FC11F0" w:rsidRPr="00F6665B" w14:paraId="5A85E9B9" w14:textId="77777777" w:rsidTr="00FC325A">
        <w:tc>
          <w:tcPr>
            <w:tcW w:w="0" w:type="auto"/>
          </w:tcPr>
          <w:p w14:paraId="3862219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pilot capacity</w:t>
            </w:r>
          </w:p>
        </w:tc>
        <w:tc>
          <w:tcPr>
            <w:tcW w:w="0" w:type="auto"/>
          </w:tcPr>
          <w:p w14:paraId="27AEDCE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w:t>
            </w:r>
          </w:p>
        </w:tc>
        <w:tc>
          <w:tcPr>
            <w:tcW w:w="0" w:type="auto"/>
          </w:tcPr>
          <w:p w14:paraId="7A5D048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14.632653</w:t>
            </w:r>
          </w:p>
        </w:tc>
        <w:tc>
          <w:tcPr>
            <w:tcW w:w="0" w:type="auto"/>
          </w:tcPr>
          <w:p w14:paraId="5D835F8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7.0</w:t>
            </w:r>
          </w:p>
        </w:tc>
        <w:tc>
          <w:tcPr>
            <w:tcW w:w="0" w:type="auto"/>
          </w:tcPr>
          <w:p w14:paraId="13F45F3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20F66C8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15.285714</w:t>
            </w:r>
          </w:p>
        </w:tc>
        <w:tc>
          <w:tcPr>
            <w:tcW w:w="0" w:type="auto"/>
          </w:tcPr>
          <w:p w14:paraId="28AEF1FB"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8.0</w:t>
            </w:r>
          </w:p>
        </w:tc>
      </w:tr>
      <w:tr w:rsidR="00FC11F0" w:rsidRPr="00F6665B" w14:paraId="16B5B30E" w14:textId="77777777" w:rsidTr="00FC325A">
        <w:tc>
          <w:tcPr>
            <w:tcW w:w="0" w:type="auto"/>
          </w:tcPr>
          <w:p w14:paraId="5E64393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commercial capital cost input</w:t>
            </w:r>
          </w:p>
        </w:tc>
        <w:tc>
          <w:tcPr>
            <w:tcW w:w="0" w:type="auto"/>
          </w:tcPr>
          <w:p w14:paraId="45F4F3F6"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w:t>
            </w:r>
          </w:p>
        </w:tc>
        <w:tc>
          <w:tcPr>
            <w:tcW w:w="0" w:type="auto"/>
          </w:tcPr>
          <w:p w14:paraId="6140088B"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14.326531</w:t>
            </w:r>
          </w:p>
        </w:tc>
        <w:tc>
          <w:tcPr>
            <w:tcW w:w="0" w:type="auto"/>
          </w:tcPr>
          <w:p w14:paraId="7094B71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8.5</w:t>
            </w:r>
          </w:p>
        </w:tc>
        <w:tc>
          <w:tcPr>
            <w:tcW w:w="0" w:type="auto"/>
          </w:tcPr>
          <w:p w14:paraId="14405A6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w:t>
            </w:r>
          </w:p>
        </w:tc>
        <w:tc>
          <w:tcPr>
            <w:tcW w:w="0" w:type="auto"/>
          </w:tcPr>
          <w:p w14:paraId="03D8D6B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15.173469</w:t>
            </w:r>
          </w:p>
        </w:tc>
        <w:tc>
          <w:tcPr>
            <w:tcW w:w="0" w:type="auto"/>
          </w:tcPr>
          <w:p w14:paraId="30B123C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9.0</w:t>
            </w:r>
          </w:p>
        </w:tc>
      </w:tr>
      <w:tr w:rsidR="00FC11F0" w:rsidRPr="00F6665B" w14:paraId="0A7053EA" w14:textId="77777777" w:rsidTr="00FC325A">
        <w:tc>
          <w:tcPr>
            <w:tcW w:w="0" w:type="auto"/>
          </w:tcPr>
          <w:p w14:paraId="53A2D0F0"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piloting acceptable rate</w:t>
            </w:r>
          </w:p>
        </w:tc>
        <w:tc>
          <w:tcPr>
            <w:tcW w:w="0" w:type="auto"/>
          </w:tcPr>
          <w:p w14:paraId="2836718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4BAD7EC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17.908163</w:t>
            </w:r>
          </w:p>
        </w:tc>
        <w:tc>
          <w:tcPr>
            <w:tcW w:w="0" w:type="auto"/>
          </w:tcPr>
          <w:p w14:paraId="59E4E651"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9.0</w:t>
            </w:r>
          </w:p>
        </w:tc>
        <w:tc>
          <w:tcPr>
            <w:tcW w:w="0" w:type="auto"/>
          </w:tcPr>
          <w:p w14:paraId="3D64855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w:t>
            </w:r>
          </w:p>
        </w:tc>
        <w:tc>
          <w:tcPr>
            <w:tcW w:w="0" w:type="auto"/>
          </w:tcPr>
          <w:p w14:paraId="545C6B9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17.826531</w:t>
            </w:r>
          </w:p>
        </w:tc>
        <w:tc>
          <w:tcPr>
            <w:tcW w:w="0" w:type="auto"/>
          </w:tcPr>
          <w:p w14:paraId="78986BE6"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9.5</w:t>
            </w:r>
          </w:p>
        </w:tc>
      </w:tr>
      <w:tr w:rsidR="00FC11F0" w:rsidRPr="00F6665B" w14:paraId="1C9C950A" w14:textId="77777777" w:rsidTr="00FC325A">
        <w:tc>
          <w:tcPr>
            <w:tcW w:w="0" w:type="auto"/>
          </w:tcPr>
          <w:p w14:paraId="124FE724"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management response time</w:t>
            </w:r>
          </w:p>
        </w:tc>
        <w:tc>
          <w:tcPr>
            <w:tcW w:w="0" w:type="auto"/>
          </w:tcPr>
          <w:p w14:paraId="1E630D3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4.0</w:t>
            </w:r>
          </w:p>
        </w:tc>
        <w:tc>
          <w:tcPr>
            <w:tcW w:w="0" w:type="auto"/>
          </w:tcPr>
          <w:p w14:paraId="58FEFF9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18.091837</w:t>
            </w:r>
          </w:p>
        </w:tc>
        <w:tc>
          <w:tcPr>
            <w:tcW w:w="0" w:type="auto"/>
          </w:tcPr>
          <w:p w14:paraId="499F894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11.0</w:t>
            </w:r>
          </w:p>
        </w:tc>
        <w:tc>
          <w:tcPr>
            <w:tcW w:w="0" w:type="auto"/>
          </w:tcPr>
          <w:p w14:paraId="0861A78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w:t>
            </w:r>
          </w:p>
        </w:tc>
        <w:tc>
          <w:tcPr>
            <w:tcW w:w="0" w:type="auto"/>
          </w:tcPr>
          <w:p w14:paraId="2564DE3B"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18.897959</w:t>
            </w:r>
          </w:p>
        </w:tc>
        <w:tc>
          <w:tcPr>
            <w:tcW w:w="0" w:type="auto"/>
          </w:tcPr>
          <w:p w14:paraId="29AE3E66"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10.0</w:t>
            </w:r>
          </w:p>
        </w:tc>
      </w:tr>
      <w:tr w:rsidR="00FC11F0" w:rsidRPr="00F6665B" w14:paraId="55855405" w14:textId="77777777" w:rsidTr="00FC325A">
        <w:tc>
          <w:tcPr>
            <w:tcW w:w="0" w:type="auto"/>
          </w:tcPr>
          <w:p w14:paraId="3E0E6D2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commercial variable operating cost input</w:t>
            </w:r>
          </w:p>
        </w:tc>
        <w:tc>
          <w:tcPr>
            <w:tcW w:w="0" w:type="auto"/>
          </w:tcPr>
          <w:p w14:paraId="4A7D9CA6"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w:t>
            </w:r>
          </w:p>
        </w:tc>
        <w:tc>
          <w:tcPr>
            <w:tcW w:w="0" w:type="auto"/>
          </w:tcPr>
          <w:p w14:paraId="4FEF6A5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19.183673</w:t>
            </w:r>
          </w:p>
        </w:tc>
        <w:tc>
          <w:tcPr>
            <w:tcW w:w="0" w:type="auto"/>
          </w:tcPr>
          <w:p w14:paraId="2ECF63DF"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16.0</w:t>
            </w:r>
          </w:p>
        </w:tc>
        <w:tc>
          <w:tcPr>
            <w:tcW w:w="0" w:type="auto"/>
          </w:tcPr>
          <w:p w14:paraId="65373AC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w:t>
            </w:r>
          </w:p>
        </w:tc>
        <w:tc>
          <w:tcPr>
            <w:tcW w:w="0" w:type="auto"/>
          </w:tcPr>
          <w:p w14:paraId="12D7ADA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20.000000</w:t>
            </w:r>
          </w:p>
        </w:tc>
        <w:tc>
          <w:tcPr>
            <w:tcW w:w="0" w:type="auto"/>
          </w:tcPr>
          <w:p w14:paraId="772EB291"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17.0</w:t>
            </w:r>
          </w:p>
        </w:tc>
      </w:tr>
      <w:tr w:rsidR="00FC11F0" w:rsidRPr="00F6665B" w14:paraId="40D53ED6" w14:textId="77777777" w:rsidTr="00FC325A">
        <w:tc>
          <w:tcPr>
            <w:tcW w:w="0" w:type="auto"/>
          </w:tcPr>
          <w:p w14:paraId="76F51AA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payback period multiplier</w:t>
            </w:r>
          </w:p>
        </w:tc>
        <w:tc>
          <w:tcPr>
            <w:tcW w:w="0" w:type="auto"/>
          </w:tcPr>
          <w:p w14:paraId="340C8CE1"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6085524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22.020408</w:t>
            </w:r>
          </w:p>
        </w:tc>
        <w:tc>
          <w:tcPr>
            <w:tcW w:w="0" w:type="auto"/>
          </w:tcPr>
          <w:p w14:paraId="75B3478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16.0</w:t>
            </w:r>
          </w:p>
        </w:tc>
        <w:tc>
          <w:tcPr>
            <w:tcW w:w="0" w:type="auto"/>
          </w:tcPr>
          <w:p w14:paraId="79CB49DF"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06DDF5C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21.285714</w:t>
            </w:r>
          </w:p>
        </w:tc>
        <w:tc>
          <w:tcPr>
            <w:tcW w:w="0" w:type="auto"/>
          </w:tcPr>
          <w:p w14:paraId="0C29F62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15.0</w:t>
            </w:r>
          </w:p>
        </w:tc>
      </w:tr>
      <w:tr w:rsidR="00FC11F0" w:rsidRPr="00F6665B" w14:paraId="43104D11" w14:textId="77777777" w:rsidTr="00FC325A">
        <w:tc>
          <w:tcPr>
            <w:tcW w:w="0" w:type="auto"/>
          </w:tcPr>
          <w:p w14:paraId="4FD87D9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minimum runway</w:t>
            </w:r>
          </w:p>
        </w:tc>
        <w:tc>
          <w:tcPr>
            <w:tcW w:w="0" w:type="auto"/>
          </w:tcPr>
          <w:p w14:paraId="3F561E1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4.5</w:t>
            </w:r>
          </w:p>
        </w:tc>
        <w:tc>
          <w:tcPr>
            <w:tcW w:w="0" w:type="auto"/>
          </w:tcPr>
          <w:p w14:paraId="65CDEA5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22.683673</w:t>
            </w:r>
          </w:p>
        </w:tc>
        <w:tc>
          <w:tcPr>
            <w:tcW w:w="0" w:type="auto"/>
          </w:tcPr>
          <w:p w14:paraId="27A4FBF4"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17.5</w:t>
            </w:r>
          </w:p>
        </w:tc>
        <w:tc>
          <w:tcPr>
            <w:tcW w:w="0" w:type="auto"/>
          </w:tcPr>
          <w:p w14:paraId="7F629761"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4.5</w:t>
            </w:r>
          </w:p>
        </w:tc>
        <w:tc>
          <w:tcPr>
            <w:tcW w:w="0" w:type="auto"/>
          </w:tcPr>
          <w:p w14:paraId="045658FB"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22.785714</w:t>
            </w:r>
          </w:p>
        </w:tc>
        <w:tc>
          <w:tcPr>
            <w:tcW w:w="0" w:type="auto"/>
          </w:tcPr>
          <w:p w14:paraId="7FA048A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17.0</w:t>
            </w:r>
          </w:p>
        </w:tc>
      </w:tr>
      <w:tr w:rsidR="00FC11F0" w:rsidRPr="00F6665B" w14:paraId="7FA8810A" w14:textId="77777777" w:rsidTr="00FC325A">
        <w:tc>
          <w:tcPr>
            <w:tcW w:w="0" w:type="auto"/>
          </w:tcPr>
          <w:p w14:paraId="63695EB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pilot and demo response time</w:t>
            </w:r>
          </w:p>
        </w:tc>
        <w:tc>
          <w:tcPr>
            <w:tcW w:w="0" w:type="auto"/>
          </w:tcPr>
          <w:p w14:paraId="5C636EA4"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4.5</w:t>
            </w:r>
          </w:p>
        </w:tc>
        <w:tc>
          <w:tcPr>
            <w:tcW w:w="0" w:type="auto"/>
          </w:tcPr>
          <w:p w14:paraId="6D98737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23.581633</w:t>
            </w:r>
          </w:p>
        </w:tc>
        <w:tc>
          <w:tcPr>
            <w:tcW w:w="0" w:type="auto"/>
          </w:tcPr>
          <w:p w14:paraId="0C91F5DF"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19.0</w:t>
            </w:r>
          </w:p>
        </w:tc>
        <w:tc>
          <w:tcPr>
            <w:tcW w:w="0" w:type="auto"/>
          </w:tcPr>
          <w:p w14:paraId="56921F7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5.0</w:t>
            </w:r>
          </w:p>
        </w:tc>
        <w:tc>
          <w:tcPr>
            <w:tcW w:w="0" w:type="auto"/>
          </w:tcPr>
          <w:p w14:paraId="3ECED01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24.030612</w:t>
            </w:r>
          </w:p>
        </w:tc>
        <w:tc>
          <w:tcPr>
            <w:tcW w:w="0" w:type="auto"/>
          </w:tcPr>
          <w:p w14:paraId="1F118F0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20.0</w:t>
            </w:r>
          </w:p>
        </w:tc>
      </w:tr>
      <w:tr w:rsidR="00FC11F0" w:rsidRPr="00F6665B" w14:paraId="35FDB1D9" w14:textId="77777777" w:rsidTr="00FC325A">
        <w:tc>
          <w:tcPr>
            <w:tcW w:w="0" w:type="auto"/>
          </w:tcPr>
          <w:p w14:paraId="7E6B4EBF"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startup piloting rate</w:t>
            </w:r>
          </w:p>
        </w:tc>
        <w:tc>
          <w:tcPr>
            <w:tcW w:w="0" w:type="auto"/>
          </w:tcPr>
          <w:p w14:paraId="75B8E7C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6.0</w:t>
            </w:r>
          </w:p>
        </w:tc>
        <w:tc>
          <w:tcPr>
            <w:tcW w:w="0" w:type="auto"/>
          </w:tcPr>
          <w:p w14:paraId="51A18B66"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24.122449</w:t>
            </w:r>
          </w:p>
        </w:tc>
        <w:tc>
          <w:tcPr>
            <w:tcW w:w="0" w:type="auto"/>
          </w:tcPr>
          <w:p w14:paraId="3D6D9F7F"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19.0</w:t>
            </w:r>
          </w:p>
        </w:tc>
        <w:tc>
          <w:tcPr>
            <w:tcW w:w="0" w:type="auto"/>
          </w:tcPr>
          <w:p w14:paraId="318CA401"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5.0</w:t>
            </w:r>
          </w:p>
        </w:tc>
        <w:tc>
          <w:tcPr>
            <w:tcW w:w="0" w:type="auto"/>
          </w:tcPr>
          <w:p w14:paraId="7B7C7E2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24.377551</w:t>
            </w:r>
          </w:p>
        </w:tc>
        <w:tc>
          <w:tcPr>
            <w:tcW w:w="0" w:type="auto"/>
          </w:tcPr>
          <w:p w14:paraId="7201469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19.0</w:t>
            </w:r>
          </w:p>
        </w:tc>
      </w:tr>
      <w:tr w:rsidR="00FC11F0" w:rsidRPr="00F6665B" w14:paraId="3B01BCA7" w14:textId="77777777" w:rsidTr="00FC325A">
        <w:tc>
          <w:tcPr>
            <w:tcW w:w="0" w:type="auto"/>
          </w:tcPr>
          <w:p w14:paraId="609CA51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commercial process yield input</w:t>
            </w:r>
          </w:p>
        </w:tc>
        <w:tc>
          <w:tcPr>
            <w:tcW w:w="0" w:type="auto"/>
          </w:tcPr>
          <w:p w14:paraId="7475C28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5.0</w:t>
            </w:r>
          </w:p>
        </w:tc>
        <w:tc>
          <w:tcPr>
            <w:tcW w:w="0" w:type="auto"/>
          </w:tcPr>
          <w:p w14:paraId="64B4EC8A"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22.500000</w:t>
            </w:r>
          </w:p>
        </w:tc>
        <w:tc>
          <w:tcPr>
            <w:tcW w:w="0" w:type="auto"/>
          </w:tcPr>
          <w:p w14:paraId="0BE3643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20.0</w:t>
            </w:r>
          </w:p>
        </w:tc>
        <w:tc>
          <w:tcPr>
            <w:tcW w:w="0" w:type="auto"/>
          </w:tcPr>
          <w:p w14:paraId="2D87818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5.0</w:t>
            </w:r>
          </w:p>
        </w:tc>
        <w:tc>
          <w:tcPr>
            <w:tcW w:w="0" w:type="auto"/>
          </w:tcPr>
          <w:p w14:paraId="42809D5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22.938776</w:t>
            </w:r>
          </w:p>
        </w:tc>
        <w:tc>
          <w:tcPr>
            <w:tcW w:w="0" w:type="auto"/>
          </w:tcPr>
          <w:p w14:paraId="5B21CEA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20.0</w:t>
            </w:r>
          </w:p>
        </w:tc>
      </w:tr>
      <w:tr w:rsidR="00FC11F0" w:rsidRPr="00F6665B" w14:paraId="08546637" w14:textId="77777777" w:rsidTr="00FC325A">
        <w:tc>
          <w:tcPr>
            <w:tcW w:w="0" w:type="auto"/>
          </w:tcPr>
          <w:p w14:paraId="4CAF204B"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piloting failure default recovery time</w:t>
            </w:r>
          </w:p>
        </w:tc>
        <w:tc>
          <w:tcPr>
            <w:tcW w:w="0" w:type="auto"/>
          </w:tcPr>
          <w:p w14:paraId="7576BDFA"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w:t>
            </w:r>
          </w:p>
        </w:tc>
        <w:tc>
          <w:tcPr>
            <w:tcW w:w="0" w:type="auto"/>
          </w:tcPr>
          <w:p w14:paraId="67630CC4"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23.000000</w:t>
            </w:r>
          </w:p>
        </w:tc>
        <w:tc>
          <w:tcPr>
            <w:tcW w:w="0" w:type="auto"/>
          </w:tcPr>
          <w:p w14:paraId="5DED993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20.0</w:t>
            </w:r>
          </w:p>
        </w:tc>
        <w:tc>
          <w:tcPr>
            <w:tcW w:w="0" w:type="auto"/>
          </w:tcPr>
          <w:p w14:paraId="7F1C916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0603DB64"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23.857143</w:t>
            </w:r>
          </w:p>
        </w:tc>
        <w:tc>
          <w:tcPr>
            <w:tcW w:w="0" w:type="auto"/>
          </w:tcPr>
          <w:p w14:paraId="5D04483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24.0</w:t>
            </w:r>
          </w:p>
        </w:tc>
      </w:tr>
      <w:tr w:rsidR="00FC11F0" w:rsidRPr="00F6665B" w14:paraId="7003F329" w14:textId="77777777" w:rsidTr="00FC325A">
        <w:tc>
          <w:tcPr>
            <w:tcW w:w="0" w:type="auto"/>
          </w:tcPr>
          <w:p w14:paraId="28E210D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bioproduct long term price</w:t>
            </w:r>
          </w:p>
        </w:tc>
        <w:tc>
          <w:tcPr>
            <w:tcW w:w="0" w:type="auto"/>
          </w:tcPr>
          <w:p w14:paraId="03ACDF2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w:t>
            </w:r>
          </w:p>
        </w:tc>
        <w:tc>
          <w:tcPr>
            <w:tcW w:w="0" w:type="auto"/>
          </w:tcPr>
          <w:p w14:paraId="19FA7760"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21.989796</w:t>
            </w:r>
          </w:p>
        </w:tc>
        <w:tc>
          <w:tcPr>
            <w:tcW w:w="0" w:type="auto"/>
          </w:tcPr>
          <w:p w14:paraId="38C24FE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20.5</w:t>
            </w:r>
          </w:p>
        </w:tc>
        <w:tc>
          <w:tcPr>
            <w:tcW w:w="0" w:type="auto"/>
          </w:tcPr>
          <w:p w14:paraId="11811DD4"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2162029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22.938776</w:t>
            </w:r>
          </w:p>
        </w:tc>
        <w:tc>
          <w:tcPr>
            <w:tcW w:w="0" w:type="auto"/>
          </w:tcPr>
          <w:p w14:paraId="480B2E81"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21.5</w:t>
            </w:r>
          </w:p>
        </w:tc>
      </w:tr>
      <w:tr w:rsidR="00FC11F0" w:rsidRPr="00F6665B" w14:paraId="61B577B4" w14:textId="77777777" w:rsidTr="00FC325A">
        <w:tc>
          <w:tcPr>
            <w:tcW w:w="0" w:type="auto"/>
          </w:tcPr>
          <w:p w14:paraId="6294661A"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researching impact on piloting</w:t>
            </w:r>
          </w:p>
        </w:tc>
        <w:tc>
          <w:tcPr>
            <w:tcW w:w="0" w:type="auto"/>
          </w:tcPr>
          <w:p w14:paraId="721DD72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10.0</w:t>
            </w:r>
          </w:p>
        </w:tc>
        <w:tc>
          <w:tcPr>
            <w:tcW w:w="0" w:type="auto"/>
          </w:tcPr>
          <w:p w14:paraId="7DD4AA1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28.571429</w:t>
            </w:r>
          </w:p>
        </w:tc>
        <w:tc>
          <w:tcPr>
            <w:tcW w:w="0" w:type="auto"/>
          </w:tcPr>
          <w:p w14:paraId="628F39E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22.0</w:t>
            </w:r>
          </w:p>
        </w:tc>
        <w:tc>
          <w:tcPr>
            <w:tcW w:w="0" w:type="auto"/>
          </w:tcPr>
          <w:p w14:paraId="2BAD609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10.0</w:t>
            </w:r>
          </w:p>
        </w:tc>
        <w:tc>
          <w:tcPr>
            <w:tcW w:w="0" w:type="auto"/>
          </w:tcPr>
          <w:p w14:paraId="356006A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28.755102</w:t>
            </w:r>
          </w:p>
        </w:tc>
        <w:tc>
          <w:tcPr>
            <w:tcW w:w="0" w:type="auto"/>
          </w:tcPr>
          <w:p w14:paraId="3FEC278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23.0</w:t>
            </w:r>
          </w:p>
        </w:tc>
      </w:tr>
      <w:tr w:rsidR="00FC11F0" w:rsidRPr="00F6665B" w14:paraId="48DF20C1" w14:textId="77777777" w:rsidTr="00FC325A">
        <w:tc>
          <w:tcPr>
            <w:tcW w:w="0" w:type="auto"/>
          </w:tcPr>
          <w:p w14:paraId="09BE126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government capital cost share</w:t>
            </w:r>
          </w:p>
        </w:tc>
        <w:tc>
          <w:tcPr>
            <w:tcW w:w="0" w:type="auto"/>
          </w:tcPr>
          <w:p w14:paraId="5BD5B7D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10.0</w:t>
            </w:r>
          </w:p>
        </w:tc>
        <w:tc>
          <w:tcPr>
            <w:tcW w:w="0" w:type="auto"/>
          </w:tcPr>
          <w:p w14:paraId="30FB7214"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27.520408</w:t>
            </w:r>
          </w:p>
        </w:tc>
        <w:tc>
          <w:tcPr>
            <w:tcW w:w="0" w:type="auto"/>
          </w:tcPr>
          <w:p w14:paraId="3954261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23.0</w:t>
            </w:r>
          </w:p>
        </w:tc>
        <w:tc>
          <w:tcPr>
            <w:tcW w:w="0" w:type="auto"/>
          </w:tcPr>
          <w:p w14:paraId="6C46C68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8.0</w:t>
            </w:r>
          </w:p>
        </w:tc>
        <w:tc>
          <w:tcPr>
            <w:tcW w:w="0" w:type="auto"/>
          </w:tcPr>
          <w:p w14:paraId="723B186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27.357143</w:t>
            </w:r>
          </w:p>
        </w:tc>
        <w:tc>
          <w:tcPr>
            <w:tcW w:w="0" w:type="auto"/>
          </w:tcPr>
          <w:p w14:paraId="602364C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23.0</w:t>
            </w:r>
          </w:p>
        </w:tc>
      </w:tr>
      <w:tr w:rsidR="00FC11F0" w:rsidRPr="00F6665B" w14:paraId="42D172FC" w14:textId="77777777" w:rsidTr="00FC325A">
        <w:tc>
          <w:tcPr>
            <w:tcW w:w="0" w:type="auto"/>
          </w:tcPr>
          <w:p w14:paraId="32F877D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strategic value to external investors</w:t>
            </w:r>
          </w:p>
        </w:tc>
        <w:tc>
          <w:tcPr>
            <w:tcW w:w="0" w:type="auto"/>
          </w:tcPr>
          <w:p w14:paraId="011B146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w:t>
            </w:r>
          </w:p>
        </w:tc>
        <w:tc>
          <w:tcPr>
            <w:tcW w:w="0" w:type="auto"/>
          </w:tcPr>
          <w:p w14:paraId="06EA995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26.132653</w:t>
            </w:r>
          </w:p>
        </w:tc>
        <w:tc>
          <w:tcPr>
            <w:tcW w:w="0" w:type="auto"/>
          </w:tcPr>
          <w:p w14:paraId="7108B9D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23.0</w:t>
            </w:r>
          </w:p>
        </w:tc>
        <w:tc>
          <w:tcPr>
            <w:tcW w:w="0" w:type="auto"/>
          </w:tcPr>
          <w:p w14:paraId="76CDD39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w:t>
            </w:r>
          </w:p>
        </w:tc>
        <w:tc>
          <w:tcPr>
            <w:tcW w:w="0" w:type="auto"/>
          </w:tcPr>
          <w:p w14:paraId="513B3AB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26.265306</w:t>
            </w:r>
          </w:p>
        </w:tc>
        <w:tc>
          <w:tcPr>
            <w:tcW w:w="0" w:type="auto"/>
          </w:tcPr>
          <w:p w14:paraId="68489037"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20.0</w:t>
            </w:r>
          </w:p>
        </w:tc>
      </w:tr>
      <w:tr w:rsidR="00FC11F0" w:rsidRPr="00F6665B" w14:paraId="6836852F" w14:textId="77777777" w:rsidTr="00FC325A">
        <w:tc>
          <w:tcPr>
            <w:tcW w:w="0" w:type="auto"/>
          </w:tcPr>
          <w:p w14:paraId="783501B0"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piloting failure distribution max</w:t>
            </w:r>
          </w:p>
        </w:tc>
        <w:tc>
          <w:tcPr>
            <w:tcW w:w="0" w:type="auto"/>
          </w:tcPr>
          <w:p w14:paraId="248EBC7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7.0</w:t>
            </w:r>
          </w:p>
        </w:tc>
        <w:tc>
          <w:tcPr>
            <w:tcW w:w="0" w:type="auto"/>
          </w:tcPr>
          <w:p w14:paraId="12E10111"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27.571429</w:t>
            </w:r>
          </w:p>
        </w:tc>
        <w:tc>
          <w:tcPr>
            <w:tcW w:w="0" w:type="auto"/>
          </w:tcPr>
          <w:p w14:paraId="5CF2A8D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24.0</w:t>
            </w:r>
          </w:p>
        </w:tc>
        <w:tc>
          <w:tcPr>
            <w:tcW w:w="0" w:type="auto"/>
          </w:tcPr>
          <w:p w14:paraId="64450F4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4.0</w:t>
            </w:r>
          </w:p>
        </w:tc>
        <w:tc>
          <w:tcPr>
            <w:tcW w:w="0" w:type="auto"/>
          </w:tcPr>
          <w:p w14:paraId="4867432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27.397959</w:t>
            </w:r>
          </w:p>
        </w:tc>
        <w:tc>
          <w:tcPr>
            <w:tcW w:w="0" w:type="auto"/>
          </w:tcPr>
          <w:p w14:paraId="3C88D3EA"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24.0</w:t>
            </w:r>
          </w:p>
        </w:tc>
      </w:tr>
      <w:tr w:rsidR="00FC11F0" w:rsidRPr="00F6665B" w14:paraId="6988E210" w14:textId="77777777" w:rsidTr="00FC325A">
        <w:tc>
          <w:tcPr>
            <w:tcW w:w="0" w:type="auto"/>
          </w:tcPr>
          <w:p w14:paraId="0EA0395D"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startup piloting period</w:t>
            </w:r>
          </w:p>
        </w:tc>
        <w:tc>
          <w:tcPr>
            <w:tcW w:w="0" w:type="auto"/>
          </w:tcPr>
          <w:p w14:paraId="33C55DBB"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11.0</w:t>
            </w:r>
          </w:p>
        </w:tc>
        <w:tc>
          <w:tcPr>
            <w:tcW w:w="0" w:type="auto"/>
          </w:tcPr>
          <w:p w14:paraId="35A9AA9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28.459184</w:t>
            </w:r>
          </w:p>
        </w:tc>
        <w:tc>
          <w:tcPr>
            <w:tcW w:w="0" w:type="auto"/>
          </w:tcPr>
          <w:p w14:paraId="4901827F"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25.5</w:t>
            </w:r>
          </w:p>
        </w:tc>
        <w:tc>
          <w:tcPr>
            <w:tcW w:w="0" w:type="auto"/>
          </w:tcPr>
          <w:p w14:paraId="59F82BB6"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6.0</w:t>
            </w:r>
          </w:p>
        </w:tc>
        <w:tc>
          <w:tcPr>
            <w:tcW w:w="0" w:type="auto"/>
          </w:tcPr>
          <w:p w14:paraId="20B1BC56"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28.020408</w:t>
            </w:r>
          </w:p>
        </w:tc>
        <w:tc>
          <w:tcPr>
            <w:tcW w:w="0" w:type="auto"/>
          </w:tcPr>
          <w:p w14:paraId="5D92F33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25.5</w:t>
            </w:r>
          </w:p>
        </w:tc>
      </w:tr>
      <w:tr w:rsidR="00FC11F0" w:rsidRPr="00F6665B" w14:paraId="2640011D" w14:textId="77777777" w:rsidTr="00FC325A">
        <w:tc>
          <w:tcPr>
            <w:tcW w:w="0" w:type="auto"/>
          </w:tcPr>
          <w:p w14:paraId="4355674A"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commercial plant capacity</w:t>
            </w:r>
          </w:p>
        </w:tc>
        <w:tc>
          <w:tcPr>
            <w:tcW w:w="0" w:type="auto"/>
          </w:tcPr>
          <w:p w14:paraId="3E6855CE"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1.5</w:t>
            </w:r>
          </w:p>
        </w:tc>
        <w:tc>
          <w:tcPr>
            <w:tcW w:w="0" w:type="auto"/>
          </w:tcPr>
          <w:p w14:paraId="43B0841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28.193878</w:t>
            </w:r>
          </w:p>
        </w:tc>
        <w:tc>
          <w:tcPr>
            <w:tcW w:w="0" w:type="auto"/>
          </w:tcPr>
          <w:p w14:paraId="65C878C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27.0</w:t>
            </w:r>
          </w:p>
        </w:tc>
        <w:tc>
          <w:tcPr>
            <w:tcW w:w="0" w:type="auto"/>
          </w:tcPr>
          <w:p w14:paraId="56CDCE3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1.5</w:t>
            </w:r>
          </w:p>
        </w:tc>
        <w:tc>
          <w:tcPr>
            <w:tcW w:w="0" w:type="auto"/>
          </w:tcPr>
          <w:p w14:paraId="306C299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29.418367</w:t>
            </w:r>
          </w:p>
        </w:tc>
        <w:tc>
          <w:tcPr>
            <w:tcW w:w="0" w:type="auto"/>
          </w:tcPr>
          <w:p w14:paraId="408415AA"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26.0</w:t>
            </w:r>
          </w:p>
        </w:tc>
      </w:tr>
      <w:tr w:rsidR="00FC11F0" w:rsidRPr="00F6665B" w14:paraId="314F0615" w14:textId="77777777" w:rsidTr="00FC325A">
        <w:tc>
          <w:tcPr>
            <w:tcW w:w="0" w:type="auto"/>
          </w:tcPr>
          <w:p w14:paraId="00776DA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expected continuity of government policy</w:t>
            </w:r>
          </w:p>
        </w:tc>
        <w:tc>
          <w:tcPr>
            <w:tcW w:w="0" w:type="auto"/>
          </w:tcPr>
          <w:p w14:paraId="00B6A1BF"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6.0</w:t>
            </w:r>
          </w:p>
        </w:tc>
        <w:tc>
          <w:tcPr>
            <w:tcW w:w="0" w:type="auto"/>
          </w:tcPr>
          <w:p w14:paraId="7967DC7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29.071429</w:t>
            </w:r>
          </w:p>
        </w:tc>
        <w:tc>
          <w:tcPr>
            <w:tcW w:w="0" w:type="auto"/>
          </w:tcPr>
          <w:p w14:paraId="208118BB"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27.0</w:t>
            </w:r>
          </w:p>
        </w:tc>
        <w:tc>
          <w:tcPr>
            <w:tcW w:w="0" w:type="auto"/>
          </w:tcPr>
          <w:p w14:paraId="139E8D4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w:t>
            </w:r>
          </w:p>
        </w:tc>
        <w:tc>
          <w:tcPr>
            <w:tcW w:w="0" w:type="auto"/>
          </w:tcPr>
          <w:p w14:paraId="449EEAB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28.653061</w:t>
            </w:r>
          </w:p>
        </w:tc>
        <w:tc>
          <w:tcPr>
            <w:tcW w:w="0" w:type="auto"/>
          </w:tcPr>
          <w:p w14:paraId="1F9EFCA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28.0</w:t>
            </w:r>
          </w:p>
        </w:tc>
      </w:tr>
      <w:tr w:rsidR="00FC11F0" w:rsidRPr="00F6665B" w14:paraId="41F7E650" w14:textId="77777777" w:rsidTr="00FC325A">
        <w:tc>
          <w:tcPr>
            <w:tcW w:w="0" w:type="auto"/>
          </w:tcPr>
          <w:p w14:paraId="3FA919B0"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government production incentive</w:t>
            </w:r>
          </w:p>
        </w:tc>
        <w:tc>
          <w:tcPr>
            <w:tcW w:w="0" w:type="auto"/>
          </w:tcPr>
          <w:p w14:paraId="554B486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4425A4F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28.897959</w:t>
            </w:r>
          </w:p>
        </w:tc>
        <w:tc>
          <w:tcPr>
            <w:tcW w:w="0" w:type="auto"/>
          </w:tcPr>
          <w:p w14:paraId="7336296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29.0</w:t>
            </w:r>
          </w:p>
        </w:tc>
        <w:tc>
          <w:tcPr>
            <w:tcW w:w="0" w:type="auto"/>
          </w:tcPr>
          <w:p w14:paraId="7FDF9C40"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w:t>
            </w:r>
          </w:p>
        </w:tc>
        <w:tc>
          <w:tcPr>
            <w:tcW w:w="0" w:type="auto"/>
          </w:tcPr>
          <w:p w14:paraId="407A2DE0"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29.295918</w:t>
            </w:r>
          </w:p>
        </w:tc>
        <w:tc>
          <w:tcPr>
            <w:tcW w:w="0" w:type="auto"/>
          </w:tcPr>
          <w:p w14:paraId="2A3EB023"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29.0</w:t>
            </w:r>
          </w:p>
        </w:tc>
      </w:tr>
      <w:tr w:rsidR="00FC11F0" w:rsidRPr="00F6665B" w14:paraId="5FC7BC1F" w14:textId="77777777" w:rsidTr="00FC325A">
        <w:tc>
          <w:tcPr>
            <w:tcW w:w="0" w:type="auto"/>
          </w:tcPr>
          <w:p w14:paraId="5E4B5C5C"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aversion to NPV deviation</w:t>
            </w:r>
          </w:p>
        </w:tc>
        <w:tc>
          <w:tcPr>
            <w:tcW w:w="0" w:type="auto"/>
          </w:tcPr>
          <w:p w14:paraId="0C231256"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11.0</w:t>
            </w:r>
          </w:p>
        </w:tc>
        <w:tc>
          <w:tcPr>
            <w:tcW w:w="0" w:type="auto"/>
          </w:tcPr>
          <w:p w14:paraId="388329B6"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34.142857</w:t>
            </w:r>
          </w:p>
        </w:tc>
        <w:tc>
          <w:tcPr>
            <w:tcW w:w="0" w:type="auto"/>
          </w:tcPr>
          <w:p w14:paraId="1AE3F500"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30.5</w:t>
            </w:r>
          </w:p>
        </w:tc>
        <w:tc>
          <w:tcPr>
            <w:tcW w:w="0" w:type="auto"/>
          </w:tcPr>
          <w:p w14:paraId="363AB83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12.5</w:t>
            </w:r>
          </w:p>
        </w:tc>
        <w:tc>
          <w:tcPr>
            <w:tcW w:w="0" w:type="auto"/>
          </w:tcPr>
          <w:p w14:paraId="05BA378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33.285714</w:t>
            </w:r>
          </w:p>
        </w:tc>
        <w:tc>
          <w:tcPr>
            <w:tcW w:w="0" w:type="auto"/>
          </w:tcPr>
          <w:p w14:paraId="53F1013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30.0</w:t>
            </w:r>
          </w:p>
        </w:tc>
      </w:tr>
      <w:tr w:rsidR="00FC11F0" w:rsidRPr="00F6665B" w14:paraId="48CF9037" w14:textId="77777777" w:rsidTr="00FC325A">
        <w:tc>
          <w:tcPr>
            <w:tcW w:w="0" w:type="auto"/>
          </w:tcPr>
          <w:p w14:paraId="0C88CCC1"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required return multiplier</w:t>
            </w:r>
          </w:p>
        </w:tc>
        <w:tc>
          <w:tcPr>
            <w:tcW w:w="0" w:type="auto"/>
          </w:tcPr>
          <w:p w14:paraId="7723B345"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2FA14FE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30.326531</w:t>
            </w:r>
          </w:p>
        </w:tc>
        <w:tc>
          <w:tcPr>
            <w:tcW w:w="0" w:type="auto"/>
          </w:tcPr>
          <w:p w14:paraId="5A8267A4"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30.5</w:t>
            </w:r>
          </w:p>
        </w:tc>
        <w:tc>
          <w:tcPr>
            <w:tcW w:w="0" w:type="auto"/>
          </w:tcPr>
          <w:p w14:paraId="57CEF6E9"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2.0</w:t>
            </w:r>
          </w:p>
        </w:tc>
        <w:tc>
          <w:tcPr>
            <w:tcW w:w="0" w:type="auto"/>
          </w:tcPr>
          <w:p w14:paraId="39E33DE8"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30.285714</w:t>
            </w:r>
          </w:p>
        </w:tc>
        <w:tc>
          <w:tcPr>
            <w:tcW w:w="0" w:type="auto"/>
          </w:tcPr>
          <w:p w14:paraId="5DCAD162" w14:textId="77777777" w:rsidR="00FC11F0" w:rsidRPr="00F6665B" w:rsidRDefault="00FC11F0" w:rsidP="00FC325A">
            <w:pPr>
              <w:rPr>
                <w:rFonts w:asciiTheme="minorHAnsi" w:hAnsiTheme="minorHAnsi" w:cstheme="minorHAnsi"/>
                <w:sz w:val="18"/>
                <w:szCs w:val="18"/>
              </w:rPr>
            </w:pPr>
            <w:r w:rsidRPr="00F6665B">
              <w:rPr>
                <w:rFonts w:asciiTheme="minorHAnsi" w:hAnsiTheme="minorHAnsi" w:cstheme="minorHAnsi"/>
                <w:sz w:val="18"/>
                <w:szCs w:val="18"/>
              </w:rPr>
              <w:t>30.0</w:t>
            </w:r>
          </w:p>
        </w:tc>
      </w:tr>
    </w:tbl>
    <w:p w14:paraId="5DDC723C" w14:textId="77777777" w:rsidR="00FC11F0" w:rsidRDefault="00FC11F0" w:rsidP="00FC11F0">
      <w:pPr>
        <w:pStyle w:val="Heading2"/>
      </w:pPr>
    </w:p>
    <w:p w14:paraId="6D1742FB" w14:textId="77777777" w:rsidR="00FC11F0" w:rsidRDefault="00FC11F0" w:rsidP="00FC11F0">
      <w:pPr>
        <w:pStyle w:val="Heading3"/>
      </w:pPr>
      <w:proofErr w:type="spellStart"/>
      <w:r>
        <w:t>Sobol</w:t>
      </w:r>
      <w:proofErr w:type="spellEnd"/>
      <w:r>
        <w:t>’ Sensitivity Analysis Experiment</w:t>
      </w:r>
    </w:p>
    <w:p w14:paraId="3071998F" w14:textId="0B5326B8" w:rsidR="00FC11F0" w:rsidRDefault="00FC11F0" w:rsidP="00FC11F0">
      <w:r w:rsidRPr="009D2EB8">
        <w:t xml:space="preserve">The results of the </w:t>
      </w:r>
      <w:r>
        <w:t>SA</w:t>
      </w:r>
      <w:r w:rsidRPr="009D2EB8">
        <w:t xml:space="preserve"> experiment </w:t>
      </w:r>
      <w:r>
        <w:t xml:space="preserve">in </w:t>
      </w:r>
      <w:r w:rsidR="004108A6">
        <w:fldChar w:fldCharType="begin"/>
      </w:r>
      <w:r w:rsidR="004108A6">
        <w:instrText xml:space="preserve"> REF _Ref20317207 \h </w:instrText>
      </w:r>
      <w:r w:rsidR="004108A6">
        <w:fldChar w:fldCharType="separate"/>
      </w:r>
      <w:r w:rsidR="004108A6">
        <w:t xml:space="preserve">Figure </w:t>
      </w:r>
      <w:r w:rsidR="004108A6">
        <w:rPr>
          <w:noProof/>
        </w:rPr>
        <w:t>8</w:t>
      </w:r>
      <w:r w:rsidR="004108A6">
        <w:fldChar w:fldCharType="end"/>
      </w:r>
      <w:r>
        <w:t xml:space="preserve"> show nuanced difference in the evolution of direct versus performance-advantaged product replacements in niche versus commodity markets</w:t>
      </w:r>
      <w:r w:rsidRPr="009D2EB8">
        <w:t>.</w:t>
      </w:r>
      <w:r>
        <w:t xml:space="preserve"> The direct replacements in commodity markets tend to take more time to develop to commercial readiness, but then have a higher propensity to develop. Direct replacements in niche markets are less likely to progress to the commercial stage. Performance-advantaged replacements have an </w:t>
      </w:r>
      <w:r>
        <w:lastRenderedPageBreak/>
        <w:t>intermediate propensity to develop commercially, regardless of whether they are in niche or direct markets.</w:t>
      </w:r>
      <w:r w:rsidR="008A194A" w:rsidRPr="008A194A">
        <w:t xml:space="preserve"> </w:t>
      </w:r>
      <w:r w:rsidR="008A194A">
        <w:t>Note that t</w:t>
      </w:r>
      <w:r w:rsidR="008A194A">
        <w:t xml:space="preserve">hese results show less difference between the four base cases shown in the </w:t>
      </w:r>
      <w:r w:rsidR="008A194A">
        <w:t>“Base cases” results</w:t>
      </w:r>
      <w:r w:rsidR="008A194A">
        <w:t xml:space="preserve"> section because the </w:t>
      </w:r>
      <w:r w:rsidR="008A194A">
        <w:t>SA</w:t>
      </w:r>
      <w:r w:rsidR="008A194A">
        <w:t xml:space="preserve"> experiment overrides many of the variables that differentiate those base cases.</w:t>
      </w:r>
    </w:p>
    <w:p w14:paraId="6FBFAA70" w14:textId="77777777" w:rsidR="00FC11F0" w:rsidRDefault="00FC11F0" w:rsidP="00FC11F0">
      <w:pPr>
        <w:keepNext/>
      </w:pPr>
      <w:r w:rsidRPr="003F73FA">
        <w:rPr>
          <w:noProof/>
        </w:rPr>
        <w:drawing>
          <wp:inline distT="0" distB="0" distL="0" distR="0" wp14:anchorId="4D877FE9" wp14:editId="6242ECBA">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43600"/>
                    </a:xfrm>
                    <a:prstGeom prst="rect">
                      <a:avLst/>
                    </a:prstGeom>
                  </pic:spPr>
                </pic:pic>
              </a:graphicData>
            </a:graphic>
          </wp:inline>
        </w:drawing>
      </w:r>
    </w:p>
    <w:p w14:paraId="26FA88B8" w14:textId="6B419AD0" w:rsidR="00FC11F0" w:rsidRDefault="00FC11F0" w:rsidP="00FC11F0">
      <w:pPr>
        <w:pStyle w:val="Caption"/>
      </w:pPr>
      <w:bookmarkStart w:id="18" w:name="_Ref20317207"/>
      <w:r>
        <w:t xml:space="preserve">Figure </w:t>
      </w:r>
      <w:r>
        <w:fldChar w:fldCharType="begin"/>
      </w:r>
      <w:r>
        <w:instrText>SEQ Figure \* ARABIC</w:instrText>
      </w:r>
      <w:r>
        <w:fldChar w:fldCharType="separate"/>
      </w:r>
      <w:r w:rsidR="004108A6">
        <w:rPr>
          <w:noProof/>
        </w:rPr>
        <w:t>8</w:t>
      </w:r>
      <w:r>
        <w:fldChar w:fldCharType="end"/>
      </w:r>
      <w:bookmarkEnd w:id="18"/>
      <w:r>
        <w:t>. Cumulative production as a function of time for direct and performance-advantaged bioproducts in niche and commodity markets. Each line represents one of the SA simulations.</w:t>
      </w:r>
    </w:p>
    <w:p w14:paraId="244FAB58" w14:textId="77777777" w:rsidR="00345F78" w:rsidRDefault="00345F78" w:rsidP="00345F78">
      <w:r>
        <w:fldChar w:fldCharType="begin"/>
      </w:r>
      <w:r>
        <w:instrText xml:space="preserve"> REF _Ref48716601 \h </w:instrText>
      </w:r>
      <w:r>
        <w:fldChar w:fldCharType="separate"/>
      </w:r>
      <w:r>
        <w:t xml:space="preserve">Figure </w:t>
      </w:r>
      <w:r>
        <w:rPr>
          <w:noProof/>
        </w:rPr>
        <w:t>12</w:t>
      </w:r>
      <w:r>
        <w:fldChar w:fldCharType="end"/>
      </w:r>
      <w:r>
        <w:t xml:space="preserve"> illustrate the pattern of correlation between the influence of a government capital cost grant versus a government production incentive upon whether a bioproduct successfully reaches commercial maturity and how much of the product is produced by the year 2050. The capital </w:t>
      </w:r>
      <w:r>
        <w:lastRenderedPageBreak/>
        <w:t>cost shares tend to have a stronger influence than the production incentive, but there clearly are many other factors at play in determining the bioproduct’s commercial viability.</w:t>
      </w:r>
    </w:p>
    <w:p w14:paraId="1F6D03CC" w14:textId="77777777" w:rsidR="00345F78" w:rsidRDefault="00345F78" w:rsidP="00345F78">
      <w:r w:rsidRPr="00FC325A">
        <w:rPr>
          <w:noProof/>
        </w:rPr>
        <w:drawing>
          <wp:inline distT="0" distB="0" distL="0" distR="0" wp14:anchorId="4B3B146A" wp14:editId="348AFB7A">
            <wp:extent cx="5943600" cy="386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34375EC2" w14:textId="77777777" w:rsidR="00345F78" w:rsidRPr="00FC325A" w:rsidRDefault="00345F78" w:rsidP="00345F78">
      <w:pPr>
        <w:pStyle w:val="Caption"/>
      </w:pPr>
      <w:bookmarkStart w:id="19" w:name="_Ref48716601"/>
      <w:r>
        <w:t xml:space="preserve">Figure </w:t>
      </w:r>
      <w:fldSimple w:instr=" SEQ Figure \* ARABIC ">
        <w:r>
          <w:rPr>
            <w:noProof/>
          </w:rPr>
          <w:t>12</w:t>
        </w:r>
      </w:fldSimple>
      <w:bookmarkEnd w:id="19"/>
      <w:r>
        <w:t>. Relationship between government capital and production incentives in the SA experiment. Each point represents the 2050 outcome of a simulation in the SA experiment. Note that capital cost shares tend to influence success more strongly than production incentives, but many other factors influence the outcome.</w:t>
      </w:r>
    </w:p>
    <w:p w14:paraId="68911A3D" w14:textId="31D2F222" w:rsidR="00345F78" w:rsidRDefault="00345F78" w:rsidP="002F0D5D">
      <w:pPr>
        <w:pStyle w:val="ListParagraph"/>
        <w:numPr>
          <w:ilvl w:val="0"/>
          <w:numId w:val="19"/>
        </w:numPr>
      </w:pPr>
      <w:r>
        <w:fldChar w:fldCharType="begin"/>
      </w:r>
      <w:r>
        <w:instrText xml:space="preserve"> REF _Ref20317253 \h </w:instrText>
      </w:r>
      <w:r>
        <w:fldChar w:fldCharType="separate"/>
      </w:r>
      <w:r>
        <w:t xml:space="preserve">Figure </w:t>
      </w:r>
      <w:r>
        <w:rPr>
          <w:noProof/>
        </w:rPr>
        <w:t>9</w:t>
      </w:r>
      <w:r>
        <w:fldChar w:fldCharType="end"/>
      </w:r>
      <w:r>
        <w:t xml:space="preserve"> and </w:t>
      </w:r>
      <w:r>
        <w:fldChar w:fldCharType="begin"/>
      </w:r>
      <w:r>
        <w:instrText xml:space="preserve"> REF _Ref44072855 \h </w:instrText>
      </w:r>
      <w:r>
        <w:fldChar w:fldCharType="separate"/>
      </w:r>
      <w:r>
        <w:t xml:space="preserve">Figure </w:t>
      </w:r>
      <w:r>
        <w:rPr>
          <w:noProof/>
        </w:rPr>
        <w:t>10</w:t>
      </w:r>
      <w:r>
        <w:fldChar w:fldCharType="end"/>
      </w:r>
      <w:r>
        <w:t xml:space="preserve"> display the sensitivity statistics </w:t>
      </w:r>
      <w:sdt>
        <w:sdtPr>
          <w:id w:val="952597997"/>
          <w:citation/>
        </w:sdtPr>
        <w:sdtContent>
          <w:r>
            <w:fldChar w:fldCharType="begin"/>
          </w:r>
          <w:r>
            <w:instrText xml:space="preserve"> CITATION Sal04 \l 1033 </w:instrText>
          </w:r>
          <w:r>
            <w:fldChar w:fldCharType="separate"/>
          </w:r>
          <w:r>
            <w:rPr>
              <w:noProof/>
            </w:rPr>
            <w:t>(Saltelli, Tarantola, Campolongo, &amp; Ratto, 2004)</w:t>
          </w:r>
          <w:r>
            <w:fldChar w:fldCharType="end"/>
          </w:r>
        </w:sdtContent>
      </w:sdt>
      <w:r>
        <w:t xml:space="preserve"> computed in the SA experiment. The first-order sensitivity in </w:t>
      </w:r>
      <w:r>
        <w:fldChar w:fldCharType="begin"/>
      </w:r>
      <w:r>
        <w:instrText xml:space="preserve"> REF _Ref20317253 \h </w:instrText>
      </w:r>
      <w:r>
        <w:fldChar w:fldCharType="separate"/>
      </w:r>
      <w:r>
        <w:t xml:space="preserve">Figure </w:t>
      </w:r>
      <w:r>
        <w:rPr>
          <w:noProof/>
        </w:rPr>
        <w:t>9</w:t>
      </w:r>
      <w:r>
        <w:fldChar w:fldCharType="end"/>
      </w:r>
      <w:r>
        <w:t xml:space="preserve"> indicates the dependence of the various outputs (rows in the figure) upon the sensitivity inputs (columns), where higher sensitivity indicates that the varying the input value, with other inputs held fixed, results in greater variation in the output variable. In contrast, the total sensitivity in </w:t>
      </w:r>
      <w:r>
        <w:fldChar w:fldCharType="begin"/>
      </w:r>
      <w:r>
        <w:instrText xml:space="preserve"> REF _Ref44072855 \h </w:instrText>
      </w:r>
      <w:r>
        <w:fldChar w:fldCharType="separate"/>
      </w:r>
      <w:r>
        <w:t xml:space="preserve">Figure </w:t>
      </w:r>
      <w:r>
        <w:rPr>
          <w:noProof/>
        </w:rPr>
        <w:t>10</w:t>
      </w:r>
      <w:r>
        <w:fldChar w:fldCharType="end"/>
      </w:r>
      <w:r>
        <w:t xml:space="preserve"> ranks the influence of the variable in </w:t>
      </w:r>
      <w:proofErr w:type="gramStart"/>
      <w:r>
        <w:t>all of</w:t>
      </w:r>
      <w:proofErr w:type="gramEnd"/>
      <w:r>
        <w:t xml:space="preserve"> its combinations with other variables. Comparing the two figures indicates that the variables are rarely influential in isolation, but generally influential in combination with other variables. (This is a somewhat unusual situation compared to the typical results for variance-based sensitivity analysis of system-dynamics models, where it is often the case that a handful of variables show first-order influence and a modestly larger set show influence on total effects.)</w:t>
      </w:r>
      <w:r w:rsidR="008A194A">
        <w:t xml:space="preserve"> </w:t>
      </w:r>
      <w:commentRangeStart w:id="20"/>
      <w:r w:rsidR="002F0D5D">
        <w:t>Overall, t</w:t>
      </w:r>
      <w:r w:rsidR="008A194A">
        <w:t>he following variables</w:t>
      </w:r>
      <w:r w:rsidR="002F0D5D">
        <w:t xml:space="preserve"> have the highest significant sensitivity indices:</w:t>
      </w:r>
      <w:commentRangeEnd w:id="20"/>
      <w:r w:rsidR="002F0D5D">
        <w:rPr>
          <w:rStyle w:val="CommentReference"/>
          <w:rFonts w:asciiTheme="minorHAnsi" w:eastAsiaTheme="minorHAnsi" w:hAnsiTheme="minorHAnsi" w:cstheme="minorBidi"/>
        </w:rPr>
        <w:commentReference w:id="20"/>
      </w:r>
    </w:p>
    <w:p w14:paraId="73DA9961" w14:textId="77777777" w:rsidR="002F0D5D" w:rsidRDefault="002F0D5D" w:rsidP="002F0D5D">
      <w:pPr>
        <w:pStyle w:val="ListParagraph"/>
        <w:numPr>
          <w:ilvl w:val="0"/>
          <w:numId w:val="18"/>
        </w:numPr>
      </w:pPr>
      <w:r>
        <w:t>aversion to NPV deviation</w:t>
      </w:r>
    </w:p>
    <w:p w14:paraId="243B1A66" w14:textId="77777777" w:rsidR="002F0D5D" w:rsidRDefault="002F0D5D" w:rsidP="002F0D5D">
      <w:pPr>
        <w:pStyle w:val="ListParagraph"/>
        <w:numPr>
          <w:ilvl w:val="0"/>
          <w:numId w:val="18"/>
        </w:numPr>
      </w:pPr>
      <w:r>
        <w:t>bioproduct long term price</w:t>
      </w:r>
    </w:p>
    <w:p w14:paraId="0A706DC9" w14:textId="77777777" w:rsidR="002F0D5D" w:rsidRDefault="002F0D5D" w:rsidP="002F0D5D">
      <w:pPr>
        <w:pStyle w:val="ListParagraph"/>
        <w:numPr>
          <w:ilvl w:val="0"/>
          <w:numId w:val="18"/>
        </w:numPr>
      </w:pPr>
      <w:r>
        <w:t>bioproduct performance advantage</w:t>
      </w:r>
    </w:p>
    <w:p w14:paraId="16306A60" w14:textId="77777777" w:rsidR="002F0D5D" w:rsidRDefault="002F0D5D" w:rsidP="002F0D5D">
      <w:pPr>
        <w:pStyle w:val="ListParagraph"/>
        <w:numPr>
          <w:ilvl w:val="0"/>
          <w:numId w:val="18"/>
        </w:numPr>
      </w:pPr>
      <w:r>
        <w:t>pilot capacity</w:t>
      </w:r>
    </w:p>
    <w:p w14:paraId="5A6D9ABF" w14:textId="77777777" w:rsidR="002F0D5D" w:rsidRDefault="002F0D5D" w:rsidP="002F0D5D">
      <w:pPr>
        <w:pStyle w:val="ListParagraph"/>
        <w:numPr>
          <w:ilvl w:val="0"/>
          <w:numId w:val="18"/>
        </w:numPr>
      </w:pPr>
      <w:r>
        <w:t>piloting failure distribution max</w:t>
      </w:r>
    </w:p>
    <w:p w14:paraId="7BA82434" w14:textId="7CA909D0" w:rsidR="002F0D5D" w:rsidRDefault="002F0D5D" w:rsidP="002F0D5D">
      <w:pPr>
        <w:pStyle w:val="ListParagraph"/>
        <w:numPr>
          <w:ilvl w:val="0"/>
          <w:numId w:val="18"/>
        </w:numPr>
      </w:pPr>
      <w:r>
        <w:lastRenderedPageBreak/>
        <w:t>target demo hours</w:t>
      </w:r>
    </w:p>
    <w:p w14:paraId="7BEA739C" w14:textId="77777777" w:rsidR="002F0D5D" w:rsidRDefault="002F0D5D" w:rsidP="002F0D5D"/>
    <w:p w14:paraId="745BC266" w14:textId="2EB264F3" w:rsidR="00FC11F0" w:rsidRDefault="00FC325A" w:rsidP="2ED522DF">
      <w:pPr>
        <w:keepNext/>
      </w:pPr>
      <w:r>
        <w:rPr>
          <w:noProof/>
        </w:rPr>
        <w:drawing>
          <wp:inline distT="0" distB="0" distL="0" distR="0" wp14:anchorId="4EC1B1A5" wp14:editId="295F8A0E">
            <wp:extent cx="4572000" cy="4572000"/>
            <wp:effectExtent l="0" t="0" r="0" b="0"/>
            <wp:docPr id="1997851670" name="Picture 199785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F3DAECC" w14:textId="16B1944D" w:rsidR="00FC11F0" w:rsidRDefault="2ED522DF" w:rsidP="00FC11F0">
      <w:pPr>
        <w:pStyle w:val="Caption"/>
      </w:pPr>
      <w:bookmarkStart w:id="21" w:name="_Ref20317253"/>
      <w:r>
        <w:t xml:space="preserve">Figure </w:t>
      </w:r>
      <w:fldSimple w:instr=" SEQ Figure \* ARABIC ">
        <w:r w:rsidRPr="2ED522DF">
          <w:rPr>
            <w:noProof/>
          </w:rPr>
          <w:t>9</w:t>
        </w:r>
      </w:fldSimple>
      <w:r>
        <w:t xml:space="preserve">. </w:t>
      </w:r>
      <w:commentRangeStart w:id="22"/>
      <w:r>
        <w:t>First</w:t>
      </w:r>
      <w:commentRangeEnd w:id="22"/>
      <w:r w:rsidR="008A194A">
        <w:rPr>
          <w:rStyle w:val="CommentReference"/>
          <w:rFonts w:asciiTheme="minorHAnsi" w:hAnsiTheme="minorHAnsi"/>
          <w:bCs w:val="0"/>
        </w:rPr>
        <w:commentReference w:id="22"/>
      </w:r>
      <w:r>
        <w:t xml:space="preserve">-order variance-based sensitivity-analysis results for the SA experiment; higher values indicate more </w:t>
      </w:r>
      <w:r w:rsidRPr="2ED522DF">
        <w:rPr>
          <w:i/>
          <w:iCs/>
        </w:rPr>
        <w:t>direct</w:t>
      </w:r>
      <w:r>
        <w:t xml:space="preserve"> influence of the input variable upon the output variable. Only results that are at least four standard deviations above zero are shown.</w:t>
      </w:r>
      <w:bookmarkEnd w:id="21"/>
    </w:p>
    <w:p w14:paraId="7C67D01A" w14:textId="4B2E5D5E" w:rsidR="00FC11F0" w:rsidRDefault="00FC325A" w:rsidP="00FC11F0">
      <w:pPr>
        <w:pStyle w:val="BodyText"/>
      </w:pPr>
      <w:r>
        <w:rPr>
          <w:noProof/>
        </w:rPr>
        <w:lastRenderedPageBreak/>
        <w:drawing>
          <wp:inline distT="0" distB="0" distL="0" distR="0" wp14:anchorId="7468E79D" wp14:editId="12D890AF">
            <wp:extent cx="4572000" cy="4572000"/>
            <wp:effectExtent l="0" t="0" r="0" b="0"/>
            <wp:docPr id="1965343277" name="Picture 196534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5A7695C" w14:textId="1D405C05" w:rsidR="00FC11F0" w:rsidRDefault="2ED522DF" w:rsidP="00FC11F0">
      <w:pPr>
        <w:pStyle w:val="Caption"/>
      </w:pPr>
      <w:bookmarkStart w:id="23" w:name="_Ref44072855"/>
      <w:r>
        <w:t xml:space="preserve">Figure </w:t>
      </w:r>
      <w:fldSimple w:instr=" SEQ Figure \* ARABIC ">
        <w:r w:rsidRPr="2ED522DF">
          <w:rPr>
            <w:noProof/>
          </w:rPr>
          <w:t>10</w:t>
        </w:r>
      </w:fldSimple>
      <w:r>
        <w:t xml:space="preserve">. </w:t>
      </w:r>
      <w:commentRangeStart w:id="24"/>
      <w:r>
        <w:t>First</w:t>
      </w:r>
      <w:commentRangeEnd w:id="24"/>
      <w:r w:rsidR="008A194A">
        <w:rPr>
          <w:rStyle w:val="CommentReference"/>
          <w:rFonts w:asciiTheme="minorHAnsi" w:hAnsiTheme="minorHAnsi"/>
          <w:bCs w:val="0"/>
        </w:rPr>
        <w:commentReference w:id="24"/>
      </w:r>
      <w:r>
        <w:t xml:space="preserve">-order variance-based sensitivity-analysis results for the SA experiment; higher values indicate more </w:t>
      </w:r>
      <w:r w:rsidRPr="2ED522DF">
        <w:rPr>
          <w:i/>
          <w:iCs/>
        </w:rPr>
        <w:t>total</w:t>
      </w:r>
      <w:r>
        <w:t xml:space="preserve"> influence of the input variable upon the output variable. Only results that are at least four standard deviations above zero are shown.</w:t>
      </w:r>
      <w:bookmarkEnd w:id="23"/>
    </w:p>
    <w:p w14:paraId="6719871F" w14:textId="45D56546" w:rsidR="00345F78" w:rsidRDefault="00345F78" w:rsidP="00345F78">
      <w:r>
        <w:t>A complementary approach to analyzing sensitivities in simulation models uses a classification and regression tree (CART) to</w:t>
      </w:r>
      <w:r w:rsidR="002F0D5D">
        <w:t xml:space="preserve"> semi-quantitatively</w:t>
      </w:r>
      <w:r>
        <w:t xml:space="preserve"> rank and diagnose influence upon an outcome in a format like a decision tree (21).  </w:t>
      </w:r>
      <w:r>
        <w:fldChar w:fldCharType="begin"/>
      </w:r>
      <w:r>
        <w:instrText xml:space="preserve"> REF _Ref20317396 \h </w:instrText>
      </w:r>
      <w:r>
        <w:fldChar w:fldCharType="separate"/>
      </w:r>
      <w:r>
        <w:t xml:space="preserve">Figure </w:t>
      </w:r>
      <w:r>
        <w:rPr>
          <w:noProof/>
        </w:rPr>
        <w:t>11</w:t>
      </w:r>
      <w:r>
        <w:fldChar w:fldCharType="end"/>
      </w:r>
      <w:r>
        <w:t xml:space="preserve"> illustrates the critical values of key inputs that determine whether a bioproduct technology reaches commercial readiness (i.e., a commercial plant is built). Ten variables (listed below in order of influence) most determine that commercial readiness:</w:t>
      </w:r>
    </w:p>
    <w:p w14:paraId="59619F9B"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target pilot hours</w:t>
      </w:r>
    </w:p>
    <w:p w14:paraId="1134D401"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startup piloting rate</w:t>
      </w:r>
    </w:p>
    <w:p w14:paraId="32B5E3E9"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required return multiplier</w:t>
      </w:r>
    </w:p>
    <w:p w14:paraId="06F5284E"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expected continuity of government policy</w:t>
      </w:r>
    </w:p>
    <w:p w14:paraId="0617F6D4"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piloting acceptable rate</w:t>
      </w:r>
    </w:p>
    <w:p w14:paraId="6064E939"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commercial plant capacity</w:t>
      </w:r>
    </w:p>
    <w:p w14:paraId="1A54111E"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bioproduct long term price</w:t>
      </w:r>
    </w:p>
    <w:p w14:paraId="26216479"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 xml:space="preserve">researching impact on piloting </w:t>
      </w:r>
    </w:p>
    <w:p w14:paraId="6A182EC0" w14:textId="77777777" w:rsidR="00345F78" w:rsidRPr="002F0D5D" w:rsidRDefault="00345F78" w:rsidP="002F0D5D">
      <w:pPr>
        <w:pStyle w:val="ListParagraph"/>
        <w:numPr>
          <w:ilvl w:val="0"/>
          <w:numId w:val="17"/>
        </w:numPr>
        <w:ind w:left="900" w:hanging="540"/>
        <w:rPr>
          <w:rFonts w:ascii="Consolas" w:hAnsi="Consolas"/>
        </w:rPr>
      </w:pPr>
      <w:r w:rsidRPr="002F0D5D">
        <w:rPr>
          <w:rFonts w:ascii="Consolas" w:hAnsi="Consolas"/>
        </w:rPr>
        <w:t>direct vs performance-advantaged replacement</w:t>
      </w:r>
    </w:p>
    <w:p w14:paraId="3CC66FD0" w14:textId="77777777" w:rsidR="00345F78" w:rsidRPr="002F0D5D" w:rsidRDefault="00345F78" w:rsidP="002F0D5D">
      <w:pPr>
        <w:pStyle w:val="ListParagraph"/>
        <w:numPr>
          <w:ilvl w:val="0"/>
          <w:numId w:val="17"/>
        </w:numPr>
        <w:ind w:left="900" w:hanging="540"/>
        <w:rPr>
          <w:rFonts w:ascii="Consolas" w:hAnsi="Consolas"/>
        </w:rPr>
      </w:pPr>
      <w:r w:rsidRPr="002F0D5D">
        <w:rPr>
          <w:rFonts w:ascii="Consolas" w:hAnsi="Consolas"/>
        </w:rPr>
        <w:lastRenderedPageBreak/>
        <w:t>niche vs commodity market</w:t>
      </w:r>
    </w:p>
    <w:p w14:paraId="7281C842" w14:textId="69B94161" w:rsidR="00FC11F0" w:rsidRDefault="00FC325A" w:rsidP="00FC11F0">
      <w:pPr>
        <w:keepNext/>
      </w:pPr>
      <w:r w:rsidRPr="00FC325A">
        <w:rPr>
          <w:noProof/>
        </w:rPr>
        <w:drawing>
          <wp:inline distT="0" distB="0" distL="0" distR="0" wp14:anchorId="7A128688" wp14:editId="31A3E403">
            <wp:extent cx="5943600" cy="326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77EC8402" w14:textId="62959528" w:rsidR="00FC11F0" w:rsidRDefault="00FC11F0" w:rsidP="00FC11F0">
      <w:pPr>
        <w:pStyle w:val="Caption"/>
      </w:pPr>
      <w:bookmarkStart w:id="25" w:name="_Ref20317396"/>
      <w:r>
        <w:t xml:space="preserve">Figure </w:t>
      </w:r>
      <w:r>
        <w:fldChar w:fldCharType="begin"/>
      </w:r>
      <w:r>
        <w:instrText>SEQ Figure \* ARABIC</w:instrText>
      </w:r>
      <w:r>
        <w:fldChar w:fldCharType="separate"/>
      </w:r>
      <w:r w:rsidR="004108A6">
        <w:rPr>
          <w:noProof/>
        </w:rPr>
        <w:t>11</w:t>
      </w:r>
      <w:r>
        <w:fldChar w:fldCharType="end"/>
      </w:r>
      <w:bookmarkEnd w:id="25"/>
      <w:r>
        <w:t>. CART regression on the achievement of commercial readiness.</w:t>
      </w:r>
    </w:p>
    <w:p w14:paraId="479140A1" w14:textId="77777777" w:rsidR="00FC11F0" w:rsidRPr="00DD693C" w:rsidRDefault="00FC11F0" w:rsidP="00FC11F0">
      <w:pPr>
        <w:pStyle w:val="Heading1"/>
      </w:pPr>
      <w:commentRangeStart w:id="26"/>
      <w:r>
        <w:t>Conclusions</w:t>
      </w:r>
      <w:commentRangeEnd w:id="26"/>
      <w:r w:rsidR="002F0D5D">
        <w:rPr>
          <w:rStyle w:val="CommentReference"/>
          <w:rFonts w:asciiTheme="minorHAnsi" w:eastAsiaTheme="minorHAnsi" w:hAnsiTheme="minorHAnsi" w:cstheme="minorBidi"/>
          <w:color w:val="auto"/>
        </w:rPr>
        <w:commentReference w:id="26"/>
      </w:r>
    </w:p>
    <w:p w14:paraId="2A693CBA" w14:textId="77777777" w:rsidR="00FC11F0" w:rsidRDefault="00FC11F0" w:rsidP="00FC11F0">
      <w:r>
        <w:t>The OAT and SA sensitivity experiments highlighted the primary importance of thirty-two variables in the BTD. These sensitivities analyses have highlighted that progression of a bioproduct technology beyond the Valley of Death depends jointly upon the constraints on piloting (i.e., required hours, rate, research, and acceptance), plant size, continuity of government policy, and market characteristics (i.e., type of replacement, type of market, and bioproduct price). The sensitivity analysis also confirmed the variability (stochasticity) of outcomes and hence the need to perform analyses using ensembles based on multiple random-number seeds.</w:t>
      </w:r>
    </w:p>
    <w:p w14:paraId="0B16A9E0" w14:textId="705A5F8B" w:rsidR="00C13E96" w:rsidRDefault="289C3F61" w:rsidP="002A60B7">
      <w:pPr>
        <w:pStyle w:val="Heading1"/>
      </w:pPr>
      <w:commentRangeStart w:id="27"/>
      <w:r>
        <w:t>Acknowledgement</w:t>
      </w:r>
      <w:commentRangeEnd w:id="27"/>
      <w:r w:rsidR="002F0D5D">
        <w:rPr>
          <w:rStyle w:val="CommentReference"/>
          <w:rFonts w:asciiTheme="minorHAnsi" w:eastAsiaTheme="minorHAnsi" w:hAnsiTheme="minorHAnsi" w:cstheme="minorBidi"/>
          <w:color w:val="auto"/>
        </w:rPr>
        <w:commentReference w:id="27"/>
      </w:r>
    </w:p>
    <w:p w14:paraId="3D4CC2D3" w14:textId="2F119B9B" w:rsidR="002A60B7" w:rsidRPr="002A60B7" w:rsidRDefault="002A60B7" w:rsidP="002A60B7">
      <w:r w:rsidRPr="002A60B7">
        <w:t xml:space="preserve">This work was authored by the National Renewable Energy Laboratory, operated by Alliance for Sustainable Energy, LLC, for the U.S. Department of Energy (DOE) under Contract No. DE-AC36-08GO28308. Funding provided by U.S. Department of Energy Office of Energy Efficiency and Renewable Energy </w:t>
      </w:r>
      <w:r>
        <w:t>Bioenergy Technologies Office</w:t>
      </w:r>
      <w:r w:rsidRPr="002A60B7">
        <w:t>. The views expressed in the article do not necessarily represent the views of the DOE or the U.S. Government. The U.S. Government retains and the publisher, by accepting the article for publication, acknowledges that the U.S. Government retains a nonexclusive, paid-up, irrevocable, worldwide license to publish or reproduce the published form of this work, or allow others to do so, for U.S. Government purposes.</w:t>
      </w:r>
    </w:p>
    <w:p w14:paraId="03FD1857" w14:textId="2B924B1A" w:rsidR="00DD693C" w:rsidRPr="00DD693C" w:rsidRDefault="00DD693C" w:rsidP="00DD693C">
      <w:pPr>
        <w:pStyle w:val="Heading1"/>
      </w:pPr>
      <w:r>
        <w:lastRenderedPageBreak/>
        <w:t>References</w:t>
      </w:r>
    </w:p>
    <w:p w14:paraId="0B97E302" w14:textId="77777777" w:rsidR="00E7314C" w:rsidRPr="00E7314C" w:rsidRDefault="00D913AA" w:rsidP="00E7314C">
      <w:pPr>
        <w:pStyle w:val="Bibliography"/>
        <w:rPr>
          <w:rFonts w:cs="Times New Roman"/>
        </w:rPr>
      </w:pPr>
      <w:r>
        <w:fldChar w:fldCharType="begin"/>
      </w:r>
      <w:r w:rsidR="00936F31">
        <w:instrText xml:space="preserve"> ADDIN ZOTERO_BIBL {"uncited":[],"omitted":[],"custom":[]} CSL_BIBLIOGRAPHY </w:instrText>
      </w:r>
      <w:r>
        <w:fldChar w:fldCharType="separate"/>
      </w:r>
      <w:r w:rsidR="00E7314C" w:rsidRPr="00E7314C">
        <w:rPr>
          <w:rFonts w:cs="Times New Roman"/>
        </w:rPr>
        <w:t xml:space="preserve">1. </w:t>
      </w:r>
      <w:r w:rsidR="00E7314C" w:rsidRPr="00E7314C">
        <w:rPr>
          <w:rFonts w:cs="Times New Roman"/>
        </w:rPr>
        <w:tab/>
        <w:t>Biomass Research and Development Board. The Bioeconomy Initiative: Implementation Framework [Internet]. BR&amp;D Board; 2019 Mar. Available from: biomassboard.gov/pdfs/Bioeconomy_Initiative_Implementation_Framework_FINAL.pdf</w:t>
      </w:r>
    </w:p>
    <w:p w14:paraId="5CEC8570" w14:textId="77777777" w:rsidR="00E7314C" w:rsidRPr="00E7314C" w:rsidRDefault="00E7314C" w:rsidP="00E7314C">
      <w:pPr>
        <w:pStyle w:val="Bibliography"/>
        <w:rPr>
          <w:rFonts w:cs="Times New Roman"/>
        </w:rPr>
      </w:pPr>
      <w:r w:rsidRPr="00E7314C">
        <w:rPr>
          <w:rFonts w:cs="Times New Roman"/>
        </w:rPr>
        <w:t xml:space="preserve">2. </w:t>
      </w:r>
      <w:r w:rsidRPr="00E7314C">
        <w:rPr>
          <w:rFonts w:cs="Times New Roman"/>
        </w:rPr>
        <w:tab/>
        <w:t xml:space="preserve">Biddy MJ, Davis R, Humbird D, Tao L, Dowe N, Guarnieri MT, et al. The Techno-Economic Basis for Coproduct Manufacturing To Enable Hydrocarbon Fuel Production from Lignocellulosic Biomass. ACS Sustain Chem Eng. 2016 Jun 6;4(6):3196–211. </w:t>
      </w:r>
    </w:p>
    <w:p w14:paraId="78C7FEFD" w14:textId="77777777" w:rsidR="00E7314C" w:rsidRPr="00E7314C" w:rsidRDefault="00E7314C" w:rsidP="00E7314C">
      <w:pPr>
        <w:pStyle w:val="Bibliography"/>
        <w:rPr>
          <w:rFonts w:cs="Times New Roman"/>
        </w:rPr>
      </w:pPr>
      <w:r w:rsidRPr="00E7314C">
        <w:rPr>
          <w:rFonts w:cs="Times New Roman"/>
        </w:rPr>
        <w:t xml:space="preserve">3. </w:t>
      </w:r>
      <w:r w:rsidRPr="00E7314C">
        <w:rPr>
          <w:rFonts w:cs="Times New Roman"/>
        </w:rPr>
        <w:tab/>
        <w:t>Biddy MJ, Scarlata C, Kinchin C. Chemicals from Biomass: A Market Assessment of Bioproducts with Near-Term Potential [Internet]. National Renewable Energy Lab. (NREL), Golden, CO (United States); 2016 Mar [cited 2019 Sep 10]. Report No.: NREL/TP-5100-65509. Available from: https://www.osti.gov/biblio/1244312-chemicals-from-biomass-market-assessment-bioproducts-near-term-potential</w:t>
      </w:r>
    </w:p>
    <w:p w14:paraId="2B8E1FEE" w14:textId="77777777" w:rsidR="00E7314C" w:rsidRPr="00E7314C" w:rsidRDefault="00E7314C" w:rsidP="00E7314C">
      <w:pPr>
        <w:pStyle w:val="Bibliography"/>
        <w:rPr>
          <w:rFonts w:cs="Times New Roman"/>
        </w:rPr>
      </w:pPr>
      <w:r w:rsidRPr="00E7314C">
        <w:rPr>
          <w:rFonts w:cs="Times New Roman"/>
        </w:rPr>
        <w:t xml:space="preserve">4. </w:t>
      </w:r>
      <w:r w:rsidRPr="00E7314C">
        <w:rPr>
          <w:rFonts w:cs="Times New Roman"/>
        </w:rPr>
        <w:tab/>
        <w:t xml:space="preserve">Golden J, Handfield R, Daystar J, Mcconnell T. An Economic Impact Analysis of the U.S. Biobased Products Industry: A Report to the Congress of the United States of America. Ind Biotechnol. 2015 Aug 15;11:201–9. </w:t>
      </w:r>
    </w:p>
    <w:p w14:paraId="066BB638" w14:textId="77777777" w:rsidR="00E7314C" w:rsidRPr="00E7314C" w:rsidRDefault="00E7314C" w:rsidP="00E7314C">
      <w:pPr>
        <w:pStyle w:val="Bibliography"/>
        <w:rPr>
          <w:rFonts w:cs="Times New Roman"/>
        </w:rPr>
      </w:pPr>
      <w:r w:rsidRPr="00E7314C">
        <w:rPr>
          <w:rFonts w:cs="Times New Roman"/>
        </w:rPr>
        <w:t xml:space="preserve">5. </w:t>
      </w:r>
      <w:r w:rsidRPr="00E7314C">
        <w:rPr>
          <w:rFonts w:cs="Times New Roman"/>
        </w:rPr>
        <w:tab/>
        <w:t xml:space="preserve">Hanes R, Bush B, Sittler L, Newes E, Foretich A, Jenkin T. Bioproduct Transition Dynamics Technical Report. National Renewable Energy Laboratory (NREL); 2020 Sep. Report No.: NREL/TP-XXXXX. In preparation. </w:t>
      </w:r>
    </w:p>
    <w:p w14:paraId="6D3A4421" w14:textId="77777777" w:rsidR="00E7314C" w:rsidRPr="00E7314C" w:rsidRDefault="00E7314C" w:rsidP="00E7314C">
      <w:pPr>
        <w:pStyle w:val="Bibliography"/>
        <w:rPr>
          <w:rFonts w:cs="Times New Roman"/>
        </w:rPr>
      </w:pPr>
      <w:r w:rsidRPr="00E7314C">
        <w:rPr>
          <w:rFonts w:cs="Times New Roman"/>
        </w:rPr>
        <w:t xml:space="preserve">6. </w:t>
      </w:r>
      <w:r w:rsidRPr="00E7314C">
        <w:rPr>
          <w:rFonts w:cs="Times New Roman"/>
        </w:rPr>
        <w:tab/>
        <w:t xml:space="preserve">Hudson J, Khazragui HF. Into the valley of death: research to innovation. Drug Discov Today. 2013 Jul 1;18(13):610–3. </w:t>
      </w:r>
    </w:p>
    <w:p w14:paraId="6F549242" w14:textId="77777777" w:rsidR="00E7314C" w:rsidRPr="00E7314C" w:rsidRDefault="00E7314C" w:rsidP="00E7314C">
      <w:pPr>
        <w:pStyle w:val="Bibliography"/>
        <w:rPr>
          <w:rFonts w:cs="Times New Roman"/>
        </w:rPr>
      </w:pPr>
      <w:r w:rsidRPr="00E7314C">
        <w:rPr>
          <w:rFonts w:cs="Times New Roman"/>
        </w:rPr>
        <w:t xml:space="preserve">7. </w:t>
      </w:r>
      <w:r w:rsidRPr="00E7314C">
        <w:rPr>
          <w:rFonts w:cs="Times New Roman"/>
        </w:rPr>
        <w:tab/>
        <w:t xml:space="preserve">Markham SK, Ward SJ, Aiman‐Smith L, Kingon AI. The Valley of Death as Context for Role Theory in Product Innovation. J Prod Innov Manag. 2010;27(3):402–17. </w:t>
      </w:r>
    </w:p>
    <w:p w14:paraId="1A7BD9F3" w14:textId="77777777" w:rsidR="00E7314C" w:rsidRPr="00E7314C" w:rsidRDefault="00E7314C" w:rsidP="00E7314C">
      <w:pPr>
        <w:pStyle w:val="Bibliography"/>
        <w:rPr>
          <w:rFonts w:cs="Times New Roman"/>
        </w:rPr>
      </w:pPr>
      <w:r w:rsidRPr="00E7314C">
        <w:rPr>
          <w:rFonts w:cs="Times New Roman"/>
        </w:rPr>
        <w:t xml:space="preserve">8. </w:t>
      </w:r>
      <w:r w:rsidRPr="00E7314C">
        <w:rPr>
          <w:rFonts w:cs="Times New Roman"/>
        </w:rPr>
        <w:tab/>
        <w:t>Ford GS, Koutsky T, Spiwak LJ. A Valley of Death in the Innovation Sequence: An Economic Investigation [Internet]. Rochester, NY: Social Science Research Network; 2007 Sep [cited 2019 Jul 19]. Report No.: ID 1093006. Available from: https://papers.ssrn.com/abstract=1093006</w:t>
      </w:r>
    </w:p>
    <w:p w14:paraId="1C650F61" w14:textId="77777777" w:rsidR="00E7314C" w:rsidRPr="00E7314C" w:rsidRDefault="00E7314C" w:rsidP="00E7314C">
      <w:pPr>
        <w:pStyle w:val="Bibliography"/>
        <w:rPr>
          <w:rFonts w:cs="Times New Roman"/>
        </w:rPr>
      </w:pPr>
      <w:r w:rsidRPr="00E7314C">
        <w:rPr>
          <w:rFonts w:cs="Times New Roman"/>
        </w:rPr>
        <w:t xml:space="preserve">9. </w:t>
      </w:r>
      <w:r w:rsidRPr="00E7314C">
        <w:rPr>
          <w:rFonts w:cs="Times New Roman"/>
        </w:rPr>
        <w:tab/>
        <w:t>Rorke M. From Invention to Innovation [Internet]. National Renewable Energy Laboratory, Golden, CO (US); 2000 Jul [cited 2019 Jul 31]. Report No.: NREL/BR-330-26620; DOE/GO-10099-810. Available from: https://www.osti.gov/biblio/757073-from-invention-innovation</w:t>
      </w:r>
    </w:p>
    <w:p w14:paraId="6C0BB661" w14:textId="77777777" w:rsidR="00E7314C" w:rsidRPr="00E7314C" w:rsidRDefault="00E7314C" w:rsidP="00E7314C">
      <w:pPr>
        <w:pStyle w:val="Bibliography"/>
        <w:rPr>
          <w:rFonts w:cs="Times New Roman"/>
        </w:rPr>
      </w:pPr>
      <w:r w:rsidRPr="00E7314C">
        <w:rPr>
          <w:rFonts w:cs="Times New Roman"/>
        </w:rPr>
        <w:t xml:space="preserve">10. </w:t>
      </w:r>
      <w:r w:rsidRPr="00E7314C">
        <w:rPr>
          <w:rFonts w:cs="Times New Roman"/>
        </w:rPr>
        <w:tab/>
        <w:t xml:space="preserve">Adams DJ. The Valley of Death in anticancer drug development: a reassessment. Trends Pharmacol Sci. 2012 Apr 1;33(4):173–80. </w:t>
      </w:r>
    </w:p>
    <w:p w14:paraId="1860A5A5" w14:textId="77777777" w:rsidR="00E7314C" w:rsidRPr="00E7314C" w:rsidRDefault="00E7314C" w:rsidP="00E7314C">
      <w:pPr>
        <w:pStyle w:val="Bibliography"/>
        <w:rPr>
          <w:rFonts w:cs="Times New Roman"/>
        </w:rPr>
      </w:pPr>
      <w:r w:rsidRPr="00E7314C">
        <w:rPr>
          <w:rFonts w:cs="Times New Roman"/>
        </w:rPr>
        <w:t xml:space="preserve">11. </w:t>
      </w:r>
      <w:r w:rsidRPr="00E7314C">
        <w:rPr>
          <w:rFonts w:cs="Times New Roman"/>
        </w:rPr>
        <w:tab/>
        <w:t xml:space="preserve">Karneyeva Y, Wüstenhagen R. Solar feed-in tariffs in a post-grid parity world: The role of risk, investor diversity and business models. Energy Policy. 2017 Jul 1;106:445–56. </w:t>
      </w:r>
    </w:p>
    <w:p w14:paraId="4EBF6EE7" w14:textId="77777777" w:rsidR="00E7314C" w:rsidRPr="00E7314C" w:rsidRDefault="00E7314C" w:rsidP="00E7314C">
      <w:pPr>
        <w:pStyle w:val="Bibliography"/>
        <w:rPr>
          <w:rFonts w:cs="Times New Roman"/>
        </w:rPr>
      </w:pPr>
      <w:r w:rsidRPr="00E7314C">
        <w:rPr>
          <w:rFonts w:cs="Times New Roman"/>
        </w:rPr>
        <w:t xml:space="preserve">12. </w:t>
      </w:r>
      <w:r w:rsidRPr="00E7314C">
        <w:rPr>
          <w:rFonts w:cs="Times New Roman"/>
        </w:rPr>
        <w:tab/>
        <w:t xml:space="preserve">Etzkowitz H. The new visible hand: An assisted linear model of science and innovation policy. Sci Public Policy. 2006 Jun 1;33(5):310–20. </w:t>
      </w:r>
    </w:p>
    <w:p w14:paraId="210E6418" w14:textId="77777777" w:rsidR="00E7314C" w:rsidRPr="00E7314C" w:rsidRDefault="00E7314C" w:rsidP="00E7314C">
      <w:pPr>
        <w:pStyle w:val="Bibliography"/>
        <w:rPr>
          <w:rFonts w:cs="Times New Roman"/>
        </w:rPr>
      </w:pPr>
      <w:r w:rsidRPr="00E7314C">
        <w:rPr>
          <w:rFonts w:cs="Times New Roman"/>
        </w:rPr>
        <w:lastRenderedPageBreak/>
        <w:t xml:space="preserve">13. </w:t>
      </w:r>
      <w:r w:rsidRPr="00E7314C">
        <w:rPr>
          <w:rFonts w:cs="Times New Roman"/>
        </w:rPr>
        <w:tab/>
        <w:t xml:space="preserve">Meadows DL. Tools for Understanding the Limits to Growth: Comparing a Simulation and a Game. Simul Gaming. 2001 Dec 1;32(4):522–36. </w:t>
      </w:r>
    </w:p>
    <w:p w14:paraId="4022ADD5" w14:textId="77777777" w:rsidR="00E7314C" w:rsidRPr="00E7314C" w:rsidRDefault="00E7314C" w:rsidP="00E7314C">
      <w:pPr>
        <w:pStyle w:val="Bibliography"/>
        <w:rPr>
          <w:rFonts w:cs="Times New Roman"/>
        </w:rPr>
      </w:pPr>
      <w:r w:rsidRPr="00E7314C">
        <w:rPr>
          <w:rFonts w:cs="Times New Roman"/>
        </w:rPr>
        <w:t xml:space="preserve">14. </w:t>
      </w:r>
      <w:r w:rsidRPr="00E7314C">
        <w:rPr>
          <w:rFonts w:cs="Times New Roman"/>
        </w:rPr>
        <w:tab/>
        <w:t xml:space="preserve">Martin E, MacDonald R. A system dynamics-based evaluation of the New York State HIV testing law. N Y State AIDS Advis Counc N Y City NY—cancelled Due Hurric Sandy. 2012; </w:t>
      </w:r>
    </w:p>
    <w:p w14:paraId="0D73984D" w14:textId="77777777" w:rsidR="00E7314C" w:rsidRPr="00E7314C" w:rsidRDefault="00E7314C" w:rsidP="00E7314C">
      <w:pPr>
        <w:pStyle w:val="Bibliography"/>
        <w:rPr>
          <w:rFonts w:cs="Times New Roman"/>
        </w:rPr>
      </w:pPr>
      <w:r w:rsidRPr="00E7314C">
        <w:rPr>
          <w:rFonts w:cs="Times New Roman"/>
        </w:rPr>
        <w:t xml:space="preserve">15. </w:t>
      </w:r>
      <w:r w:rsidRPr="00E7314C">
        <w:rPr>
          <w:rFonts w:cs="Times New Roman"/>
        </w:rPr>
        <w:tab/>
        <w:t xml:space="preserve">Forrester J. Market Growth as Influenced by Capital Investment. Massachusetts Institute of Technology; 1972. </w:t>
      </w:r>
    </w:p>
    <w:p w14:paraId="26A6863C" w14:textId="77777777" w:rsidR="00E7314C" w:rsidRPr="00E7314C" w:rsidRDefault="00E7314C" w:rsidP="00E7314C">
      <w:pPr>
        <w:pStyle w:val="Bibliography"/>
        <w:rPr>
          <w:rFonts w:cs="Times New Roman"/>
        </w:rPr>
      </w:pPr>
      <w:r w:rsidRPr="00E7314C">
        <w:rPr>
          <w:rFonts w:cs="Times New Roman"/>
        </w:rPr>
        <w:t xml:space="preserve">16. </w:t>
      </w:r>
      <w:r w:rsidRPr="00E7314C">
        <w:rPr>
          <w:rFonts w:cs="Times New Roman"/>
        </w:rPr>
        <w:tab/>
        <w:t xml:space="preserve">Sterman J. Business Dynamics: Systems Thinking and Modeling for a Complex World. McGraw-Hill Higher Education; 2000. 108–396 p. </w:t>
      </w:r>
    </w:p>
    <w:p w14:paraId="5D78717B" w14:textId="77777777" w:rsidR="00E7314C" w:rsidRPr="00E7314C" w:rsidRDefault="00E7314C" w:rsidP="00E7314C">
      <w:pPr>
        <w:pStyle w:val="Bibliography"/>
        <w:rPr>
          <w:rFonts w:cs="Times New Roman"/>
        </w:rPr>
      </w:pPr>
      <w:r w:rsidRPr="00E7314C">
        <w:rPr>
          <w:rFonts w:cs="Times New Roman"/>
        </w:rPr>
        <w:t xml:space="preserve">17. </w:t>
      </w:r>
      <w:r w:rsidRPr="00E7314C">
        <w:rPr>
          <w:rFonts w:cs="Times New Roman"/>
        </w:rPr>
        <w:tab/>
        <w:t xml:space="preserve">Daniel C. One-at-a-Time Plans. J Am Stat Assoc. 1973 Jun 1;68(342):353–60. </w:t>
      </w:r>
    </w:p>
    <w:p w14:paraId="70A652AC" w14:textId="77777777" w:rsidR="00E7314C" w:rsidRPr="00E7314C" w:rsidRDefault="00E7314C" w:rsidP="00E7314C">
      <w:pPr>
        <w:pStyle w:val="Bibliography"/>
        <w:rPr>
          <w:rFonts w:cs="Times New Roman"/>
        </w:rPr>
      </w:pPr>
      <w:r w:rsidRPr="00E7314C">
        <w:rPr>
          <w:rFonts w:cs="Times New Roman"/>
        </w:rPr>
        <w:t xml:space="preserve">18. </w:t>
      </w:r>
      <w:r w:rsidRPr="00E7314C">
        <w:rPr>
          <w:rFonts w:cs="Times New Roman"/>
        </w:rPr>
        <w:tab/>
        <w:t xml:space="preserve">Hedayat AS, Sloane NJA, Stufken J. Orthogonal arrays: theory and applications. Springer Science &amp; Business Media; 2012. </w:t>
      </w:r>
    </w:p>
    <w:p w14:paraId="37BE8C44" w14:textId="77777777" w:rsidR="00E7314C" w:rsidRPr="00E7314C" w:rsidRDefault="00E7314C" w:rsidP="00E7314C">
      <w:pPr>
        <w:pStyle w:val="Bibliography"/>
        <w:rPr>
          <w:rFonts w:cs="Times New Roman"/>
        </w:rPr>
      </w:pPr>
      <w:r w:rsidRPr="00E7314C">
        <w:rPr>
          <w:rFonts w:cs="Times New Roman"/>
        </w:rPr>
        <w:t xml:space="preserve">19. </w:t>
      </w:r>
      <w:r w:rsidRPr="00E7314C">
        <w:rPr>
          <w:rFonts w:cs="Times New Roman"/>
        </w:rPr>
        <w:tab/>
        <w:t xml:space="preserve">Box GE, Hunter JS, Hunter WG. Statistics for experimenters. In: Wiley Series in Probability and Statistics. 2nd ed. Wiley Hoboken, NJ, USA; 2005. </w:t>
      </w:r>
    </w:p>
    <w:p w14:paraId="2417E93E" w14:textId="77777777" w:rsidR="00E7314C" w:rsidRPr="00E7314C" w:rsidRDefault="00E7314C" w:rsidP="00E7314C">
      <w:pPr>
        <w:pStyle w:val="Bibliography"/>
        <w:rPr>
          <w:rFonts w:cs="Times New Roman"/>
        </w:rPr>
      </w:pPr>
      <w:r w:rsidRPr="00E7314C">
        <w:rPr>
          <w:rFonts w:cs="Times New Roman"/>
        </w:rPr>
        <w:t xml:space="preserve">20. </w:t>
      </w:r>
      <w:r w:rsidRPr="00E7314C">
        <w:rPr>
          <w:rFonts w:cs="Times New Roman"/>
        </w:rPr>
        <w:tab/>
        <w:t>Sloane N. A Library of Orthogonal Arrays [Internet]. [cited 2019 Sep 25]. Available from: http://neilsloane.com/oadir/</w:t>
      </w:r>
    </w:p>
    <w:p w14:paraId="445BAF83" w14:textId="77777777" w:rsidR="00E7314C" w:rsidRPr="00E7314C" w:rsidRDefault="00E7314C" w:rsidP="00E7314C">
      <w:pPr>
        <w:pStyle w:val="Bibliography"/>
        <w:rPr>
          <w:rFonts w:cs="Times New Roman"/>
        </w:rPr>
      </w:pPr>
      <w:r w:rsidRPr="00E7314C">
        <w:rPr>
          <w:rFonts w:cs="Times New Roman"/>
        </w:rPr>
        <w:t xml:space="preserve">21. </w:t>
      </w:r>
      <w:r w:rsidRPr="00E7314C">
        <w:rPr>
          <w:rFonts w:cs="Times New Roman"/>
        </w:rPr>
        <w:tab/>
        <w:t xml:space="preserve">Brieman L, Friedman JH, Olshen RA, Stone CJ. Classification and Regression Trees. Wadsworth. Monterey, CA: Wadsworth &amp; Brooks/Cole Advanced Books &amp; Software; 1984. </w:t>
      </w:r>
    </w:p>
    <w:p w14:paraId="6939D2CF" w14:textId="360D9B9E" w:rsidR="00DD693C" w:rsidRDefault="00D913AA" w:rsidP="00DD693C">
      <w:r>
        <w:fldChar w:fldCharType="end"/>
      </w:r>
    </w:p>
    <w:sectPr w:rsidR="00DD693C">
      <w:headerReference w:type="default" r:id="rId30"/>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Bush, Brian" w:date="2020-09-01T07:30:00Z" w:initials="BB">
    <w:p w14:paraId="6E1FBC54" w14:textId="168413DA" w:rsidR="003603C5" w:rsidRDefault="003603C5">
      <w:pPr>
        <w:pStyle w:val="CommentText"/>
      </w:pPr>
      <w:r>
        <w:rPr>
          <w:rStyle w:val="CommentReference"/>
        </w:rPr>
        <w:annotationRef/>
      </w:r>
      <w:r>
        <w:t>We need a subsection describing the four base cases. Can we lift that from the technical documentation?</w:t>
      </w:r>
    </w:p>
  </w:comment>
  <w:comment w:id="5" w:author="Bush, Brian" w:date="2020-09-01T07:24:00Z" w:initials="BB">
    <w:p w14:paraId="568908D1" w14:textId="53E5887B" w:rsidR="003603C5" w:rsidRDefault="003603C5">
      <w:pPr>
        <w:pStyle w:val="CommentText"/>
      </w:pPr>
      <w:r>
        <w:rPr>
          <w:rStyle w:val="CommentReference"/>
        </w:rPr>
        <w:annotationRef/>
      </w:r>
      <w:r>
        <w:t>Should we move this to an appendix?</w:t>
      </w:r>
    </w:p>
  </w:comment>
  <w:comment w:id="6" w:author="Bush, Brian" w:date="2020-09-01T07:25:00Z" w:initials="BB">
    <w:p w14:paraId="27B1BEB0" w14:textId="16FA91DD" w:rsidR="003603C5" w:rsidRDefault="003603C5">
      <w:pPr>
        <w:pStyle w:val="CommentText"/>
      </w:pPr>
      <w:r>
        <w:rPr>
          <w:rStyle w:val="CommentReference"/>
        </w:rPr>
        <w:annotationRef/>
      </w:r>
      <w:r>
        <w:t>Add citation.</w:t>
      </w:r>
    </w:p>
  </w:comment>
  <w:comment w:id="8" w:author="Bush, Brian" w:date="2020-09-01T07:28:00Z" w:initials="BB">
    <w:p w14:paraId="2B412AB2" w14:textId="77777777" w:rsidR="003603C5" w:rsidRDefault="003603C5">
      <w:pPr>
        <w:pStyle w:val="CommentText"/>
      </w:pPr>
      <w:r>
        <w:rPr>
          <w:rStyle w:val="CommentReference"/>
        </w:rPr>
        <w:annotationRef/>
      </w:r>
      <w:r>
        <w:t>Citation?</w:t>
      </w:r>
    </w:p>
    <w:p w14:paraId="3E9D0DC2" w14:textId="77777777" w:rsidR="003603C5" w:rsidRDefault="003603C5">
      <w:pPr>
        <w:pStyle w:val="CommentText"/>
      </w:pPr>
    </w:p>
    <w:p w14:paraId="585477A4" w14:textId="419506C6" w:rsidR="003603C5" w:rsidRDefault="003603C5">
      <w:pPr>
        <w:pStyle w:val="CommentText"/>
      </w:pPr>
      <w:r>
        <w:t>Also, should we include a tornado diagram?</w:t>
      </w:r>
    </w:p>
  </w:comment>
  <w:comment w:id="10" w:author="Bush, Brian" w:date="2020-09-01T07:37:00Z" w:initials="BB">
    <w:p w14:paraId="378F3C52" w14:textId="0B79ECD3" w:rsidR="00D43C2C" w:rsidRDefault="00D43C2C">
      <w:pPr>
        <w:pStyle w:val="CommentText"/>
      </w:pPr>
      <w:r>
        <w:rPr>
          <w:rStyle w:val="CommentReference"/>
        </w:rPr>
        <w:annotationRef/>
      </w:r>
      <w:r>
        <w:rPr>
          <w:rStyle w:val="CommentReference"/>
        </w:rPr>
        <w:annotationRef/>
      </w:r>
      <w:r>
        <w:t>Include results and discussion of the four base cases.</w:t>
      </w:r>
    </w:p>
  </w:comment>
  <w:comment w:id="11" w:author="Bush, Brian" w:date="2020-09-01T07:38:00Z" w:initials="BB">
    <w:p w14:paraId="5F7F24D4" w14:textId="1127CFA7" w:rsidR="00D43C2C" w:rsidRDefault="00D43C2C">
      <w:pPr>
        <w:pStyle w:val="CommentText"/>
      </w:pPr>
      <w:r>
        <w:rPr>
          <w:rStyle w:val="CommentReference"/>
        </w:rPr>
        <w:annotationRef/>
      </w:r>
      <w:r>
        <w:t>Should we convert this to a table?</w:t>
      </w:r>
    </w:p>
  </w:comment>
  <w:comment w:id="14" w:author="Bush, Brian" w:date="2020-09-01T07:43:00Z" w:initials="BB">
    <w:p w14:paraId="30371951" w14:textId="77777777" w:rsidR="008A194A" w:rsidRDefault="008A194A">
      <w:pPr>
        <w:pStyle w:val="CommentText"/>
      </w:pPr>
      <w:r>
        <w:rPr>
          <w:rStyle w:val="CommentReference"/>
        </w:rPr>
        <w:annotationRef/>
      </w:r>
      <w:r>
        <w:t>Redraw with the color scheme of the SA figures.</w:t>
      </w:r>
    </w:p>
    <w:p w14:paraId="582B8F7A" w14:textId="77777777" w:rsidR="008A194A" w:rsidRDefault="008A194A">
      <w:pPr>
        <w:pStyle w:val="CommentText"/>
      </w:pPr>
    </w:p>
    <w:p w14:paraId="46FE8A7E" w14:textId="1AA011A8" w:rsidR="008A194A" w:rsidRDefault="008A194A">
      <w:pPr>
        <w:pStyle w:val="CommentText"/>
      </w:pPr>
      <w:r>
        <w:t xml:space="preserve">Should we turn the figure </w:t>
      </w:r>
      <w:proofErr w:type="gramStart"/>
      <w:r>
        <w:t>sideways</w:t>
      </w:r>
      <w:proofErr w:type="gramEnd"/>
      <w:r>
        <w:t xml:space="preserve"> so it fits better on the page?</w:t>
      </w:r>
    </w:p>
  </w:comment>
  <w:comment w:id="16" w:author="Bush, Brian" w:date="2020-09-01T07:46:00Z" w:initials="BB">
    <w:p w14:paraId="78E5E9AA" w14:textId="77777777" w:rsidR="008A194A" w:rsidRDefault="008A194A" w:rsidP="008A194A">
      <w:pPr>
        <w:pStyle w:val="CommentText"/>
      </w:pPr>
      <w:r>
        <w:rPr>
          <w:rStyle w:val="CommentReference"/>
        </w:rPr>
        <w:annotationRef/>
      </w:r>
      <w:r>
        <w:rPr>
          <w:rStyle w:val="CommentReference"/>
        </w:rPr>
        <w:annotationRef/>
      </w:r>
      <w:r>
        <w:t>Redraw with the color scheme of the SA figures.</w:t>
      </w:r>
    </w:p>
    <w:p w14:paraId="27422050" w14:textId="77777777" w:rsidR="008A194A" w:rsidRDefault="008A194A" w:rsidP="008A194A">
      <w:pPr>
        <w:pStyle w:val="CommentText"/>
      </w:pPr>
    </w:p>
    <w:p w14:paraId="49A498DA" w14:textId="790E13F1" w:rsidR="008A194A" w:rsidRDefault="008A194A">
      <w:pPr>
        <w:pStyle w:val="CommentText"/>
      </w:pPr>
      <w:r>
        <w:t xml:space="preserve">Should we turn the figure </w:t>
      </w:r>
      <w:proofErr w:type="gramStart"/>
      <w:r>
        <w:t>sideways</w:t>
      </w:r>
      <w:proofErr w:type="gramEnd"/>
      <w:r>
        <w:t xml:space="preserve"> so it fits better on the page?</w:t>
      </w:r>
    </w:p>
  </w:comment>
  <w:comment w:id="20" w:author="Bush, Brian" w:date="2020-09-01T07:54:00Z" w:initials="BB">
    <w:p w14:paraId="0011ACD6" w14:textId="74C8EB78" w:rsidR="002F0D5D" w:rsidRDefault="002F0D5D">
      <w:pPr>
        <w:pStyle w:val="CommentText"/>
      </w:pPr>
      <w:r>
        <w:rPr>
          <w:rStyle w:val="CommentReference"/>
        </w:rPr>
        <w:annotationRef/>
      </w:r>
      <w:r>
        <w:t>What is the best way to summarize the myriad sensitivities (input vs output vs first/total) in the results?</w:t>
      </w:r>
    </w:p>
  </w:comment>
  <w:comment w:id="22" w:author="Bush, Brian" w:date="2020-09-01T07:46:00Z" w:initials="BB">
    <w:p w14:paraId="0ADA4607" w14:textId="77777777" w:rsidR="008A194A" w:rsidRDefault="008A194A">
      <w:pPr>
        <w:pStyle w:val="CommentText"/>
      </w:pPr>
      <w:r>
        <w:rPr>
          <w:rStyle w:val="CommentReference"/>
        </w:rPr>
        <w:annotationRef/>
      </w:r>
      <w:r>
        <w:t>Should we sort the rows and columns by sensitivity, as we did in the OA figures?</w:t>
      </w:r>
    </w:p>
    <w:p w14:paraId="5FE2F8BE" w14:textId="77777777" w:rsidR="008A194A" w:rsidRDefault="008A194A">
      <w:pPr>
        <w:pStyle w:val="CommentText"/>
      </w:pPr>
    </w:p>
    <w:p w14:paraId="6354D294" w14:textId="72BD368F" w:rsidR="008A194A" w:rsidRDefault="008A194A">
      <w:pPr>
        <w:pStyle w:val="CommentText"/>
      </w:pPr>
      <w:r>
        <w:t xml:space="preserve">Should we turn the figure </w:t>
      </w:r>
      <w:proofErr w:type="gramStart"/>
      <w:r>
        <w:t>sideways</w:t>
      </w:r>
      <w:proofErr w:type="gramEnd"/>
      <w:r>
        <w:t xml:space="preserve"> so it fits better on the page?</w:t>
      </w:r>
    </w:p>
  </w:comment>
  <w:comment w:id="24" w:author="Bush, Brian" w:date="2020-09-01T07:47:00Z" w:initials="BB">
    <w:p w14:paraId="68653EF4" w14:textId="77777777" w:rsidR="008A194A" w:rsidRDefault="008A194A" w:rsidP="008A194A">
      <w:pPr>
        <w:pStyle w:val="CommentText"/>
      </w:pPr>
      <w:r>
        <w:rPr>
          <w:rStyle w:val="CommentReference"/>
        </w:rPr>
        <w:annotationRef/>
      </w:r>
      <w:r>
        <w:rPr>
          <w:rStyle w:val="CommentReference"/>
        </w:rPr>
        <w:annotationRef/>
      </w:r>
      <w:r>
        <w:t>Should we sort the rows and columns by sensitivity, as we did in the OA figures?</w:t>
      </w:r>
    </w:p>
    <w:p w14:paraId="0F2D0191" w14:textId="77777777" w:rsidR="008A194A" w:rsidRDefault="008A194A" w:rsidP="008A194A">
      <w:pPr>
        <w:pStyle w:val="CommentText"/>
      </w:pPr>
    </w:p>
    <w:p w14:paraId="49873F58" w14:textId="2746743C" w:rsidR="008A194A" w:rsidRDefault="008A194A">
      <w:pPr>
        <w:pStyle w:val="CommentText"/>
      </w:pPr>
      <w:r>
        <w:t xml:space="preserve">Should we turn the figure </w:t>
      </w:r>
      <w:proofErr w:type="gramStart"/>
      <w:r>
        <w:t>sideways</w:t>
      </w:r>
      <w:proofErr w:type="gramEnd"/>
      <w:r>
        <w:t xml:space="preserve"> so it fits better on the page?</w:t>
      </w:r>
    </w:p>
  </w:comment>
  <w:comment w:id="26" w:author="Bush, Brian" w:date="2020-09-01T07:57:00Z" w:initials="BB">
    <w:p w14:paraId="78D97C77" w14:textId="77777777" w:rsidR="002F0D5D" w:rsidRDefault="002F0D5D">
      <w:pPr>
        <w:pStyle w:val="CommentText"/>
      </w:pPr>
      <w:r>
        <w:rPr>
          <w:rStyle w:val="CommentReference"/>
        </w:rPr>
        <w:annotationRef/>
      </w:r>
      <w:r>
        <w:t>Should we add a separate “Discussion” section before this?</w:t>
      </w:r>
    </w:p>
    <w:p w14:paraId="7CFB9692" w14:textId="77777777" w:rsidR="002F0D5D" w:rsidRDefault="002F0D5D">
      <w:pPr>
        <w:pStyle w:val="CommentText"/>
      </w:pPr>
    </w:p>
    <w:p w14:paraId="269B0E91" w14:textId="60DDFB62" w:rsidR="002F0D5D" w:rsidRDefault="002F0D5D">
      <w:pPr>
        <w:pStyle w:val="CommentText"/>
      </w:pPr>
      <w:r>
        <w:t>Maybe this would just summarize the findings in the results section</w:t>
      </w:r>
      <w:r w:rsidR="005A1B4B">
        <w:t>, succinctly organizing the list of key sensitivities and connecting them to the concept of the Valley of Death.</w:t>
      </w:r>
    </w:p>
  </w:comment>
  <w:comment w:id="27" w:author="Bush, Brian" w:date="2020-09-01T07:57:00Z" w:initials="BB">
    <w:p w14:paraId="65A86DB7" w14:textId="3B25C57E" w:rsidR="002F0D5D" w:rsidRDefault="002F0D5D">
      <w:pPr>
        <w:pStyle w:val="CommentText"/>
      </w:pPr>
      <w:r>
        <w:rPr>
          <w:rStyle w:val="CommentReference"/>
        </w:rPr>
        <w:annotationRef/>
      </w:r>
      <w:r>
        <w:t>Check the publications website to make sure we have the latest version of this language. Also, BETO used to have an extra paragraph they required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1FBC54" w15:done="0"/>
  <w15:commentEx w15:paraId="568908D1" w15:done="0"/>
  <w15:commentEx w15:paraId="27B1BEB0" w15:done="0"/>
  <w15:commentEx w15:paraId="585477A4" w15:done="0"/>
  <w15:commentEx w15:paraId="378F3C52" w15:done="0"/>
  <w15:commentEx w15:paraId="5F7F24D4" w15:done="0"/>
  <w15:commentEx w15:paraId="46FE8A7E" w15:done="0"/>
  <w15:commentEx w15:paraId="49A498DA" w15:done="0"/>
  <w15:commentEx w15:paraId="0011ACD6" w15:done="0"/>
  <w15:commentEx w15:paraId="6354D294" w15:done="0"/>
  <w15:commentEx w15:paraId="49873F58" w15:done="0"/>
  <w15:commentEx w15:paraId="269B0E91" w15:done="0"/>
  <w15:commentEx w15:paraId="65A86D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87702" w16cex:dateUtc="2020-09-01T13:30:00Z"/>
  <w16cex:commentExtensible w16cex:durableId="22F875C9" w16cex:dateUtc="2020-09-01T13:24:00Z"/>
  <w16cex:commentExtensible w16cex:durableId="22F875EA" w16cex:dateUtc="2020-09-01T13:25:00Z"/>
  <w16cex:commentExtensible w16cex:durableId="22F8769C" w16cex:dateUtc="2020-09-01T13:28:00Z"/>
  <w16cex:commentExtensible w16cex:durableId="22F878C4" w16cex:dateUtc="2020-09-01T13:37:00Z"/>
  <w16cex:commentExtensible w16cex:durableId="22F878E8" w16cex:dateUtc="2020-09-01T13:38:00Z"/>
  <w16cex:commentExtensible w16cex:durableId="22F87A14" w16cex:dateUtc="2020-09-01T13:43:00Z"/>
  <w16cex:commentExtensible w16cex:durableId="22F87ABB" w16cex:dateUtc="2020-09-01T13:46:00Z"/>
  <w16cex:commentExtensible w16cex:durableId="22F87CC8" w16cex:dateUtc="2020-09-01T13:54:00Z"/>
  <w16cex:commentExtensible w16cex:durableId="22F87AEF" w16cex:dateUtc="2020-09-01T13:46:00Z"/>
  <w16cex:commentExtensible w16cex:durableId="22F87B15" w16cex:dateUtc="2020-09-01T13:47:00Z"/>
  <w16cex:commentExtensible w16cex:durableId="22F87D60" w16cex:dateUtc="2020-09-01T13:57:00Z"/>
  <w16cex:commentExtensible w16cex:durableId="22F87D85" w16cex:dateUtc="2020-09-01T1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1FBC54" w16cid:durableId="22F87702"/>
  <w16cid:commentId w16cid:paraId="568908D1" w16cid:durableId="22F875C9"/>
  <w16cid:commentId w16cid:paraId="27B1BEB0" w16cid:durableId="22F875EA"/>
  <w16cid:commentId w16cid:paraId="585477A4" w16cid:durableId="22F8769C"/>
  <w16cid:commentId w16cid:paraId="378F3C52" w16cid:durableId="22F878C4"/>
  <w16cid:commentId w16cid:paraId="5F7F24D4" w16cid:durableId="22F878E8"/>
  <w16cid:commentId w16cid:paraId="46FE8A7E" w16cid:durableId="22F87A14"/>
  <w16cid:commentId w16cid:paraId="49A498DA" w16cid:durableId="22F87ABB"/>
  <w16cid:commentId w16cid:paraId="0011ACD6" w16cid:durableId="22F87CC8"/>
  <w16cid:commentId w16cid:paraId="6354D294" w16cid:durableId="22F87AEF"/>
  <w16cid:commentId w16cid:paraId="49873F58" w16cid:durableId="22F87B15"/>
  <w16cid:commentId w16cid:paraId="269B0E91" w16cid:durableId="22F87D60"/>
  <w16cid:commentId w16cid:paraId="65A86DB7" w16cid:durableId="22F87D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989E13" w14:textId="77777777" w:rsidR="00AA0520" w:rsidRDefault="00AA0520" w:rsidP="004F77D9">
      <w:pPr>
        <w:spacing w:after="0" w:line="240" w:lineRule="auto"/>
      </w:pPr>
      <w:r>
        <w:separator/>
      </w:r>
    </w:p>
  </w:endnote>
  <w:endnote w:type="continuationSeparator" w:id="0">
    <w:p w14:paraId="3F80BA29" w14:textId="77777777" w:rsidR="00AA0520" w:rsidRDefault="00AA0520" w:rsidP="004F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8E580" w14:textId="77777777" w:rsidR="003603C5" w:rsidRDefault="003603C5" w:rsidP="00FE12B8">
    <w:pPr>
      <w:pStyle w:val="Footer"/>
      <w:jc w:val="center"/>
    </w:pPr>
    <w:r>
      <w:t>DRAFT DO NOT CITE OR DISTRIBUTE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B3A42" w14:textId="64242D43" w:rsidR="003603C5" w:rsidRDefault="003603C5" w:rsidP="00FE12B8">
    <w:pPr>
      <w:pStyle w:val="Footer"/>
      <w:jc w:val="center"/>
    </w:pPr>
    <w:r>
      <w:t>DRAFT DO NOT CITE OR DISTRIBUTE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4FB1AD" w14:textId="77777777" w:rsidR="00AA0520" w:rsidRDefault="00AA0520" w:rsidP="004F77D9">
      <w:pPr>
        <w:spacing w:after="0" w:line="240" w:lineRule="auto"/>
      </w:pPr>
      <w:r>
        <w:separator/>
      </w:r>
    </w:p>
  </w:footnote>
  <w:footnote w:type="continuationSeparator" w:id="0">
    <w:p w14:paraId="1CA6442E" w14:textId="77777777" w:rsidR="00AA0520" w:rsidRDefault="00AA0520" w:rsidP="004F77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5B732" w14:textId="77777777" w:rsidR="003603C5" w:rsidRDefault="003603C5" w:rsidP="00FE12B8">
    <w:pPr>
      <w:pStyle w:val="Header"/>
      <w:jc w:val="center"/>
    </w:pPr>
    <w:r>
      <w:t>DRAFT DO NOT CITE OR DISTRIBUTE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19CE7" w14:textId="42971DCD" w:rsidR="003603C5" w:rsidRDefault="003603C5" w:rsidP="00FE12B8">
    <w:pPr>
      <w:pStyle w:val="Header"/>
      <w:jc w:val="center"/>
    </w:pPr>
    <w:r>
      <w:t>DRAFT DO NOT CITE OR DISTRIBUTE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0BA044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A701622"/>
    <w:multiLevelType w:val="hybridMultilevel"/>
    <w:tmpl w:val="AB06A22A"/>
    <w:lvl w:ilvl="0" w:tplc="9CC4756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3A14"/>
    <w:multiLevelType w:val="hybridMultilevel"/>
    <w:tmpl w:val="1A36E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B0934"/>
    <w:multiLevelType w:val="hybridMultilevel"/>
    <w:tmpl w:val="73A2A582"/>
    <w:lvl w:ilvl="0" w:tplc="08367E04">
      <w:start w:val="1"/>
      <w:numFmt w:val="decimal"/>
      <w:lvlText w:val="%1."/>
      <w:lvlJc w:val="left"/>
      <w:pPr>
        <w:ind w:left="720" w:hanging="360"/>
      </w:pPr>
    </w:lvl>
    <w:lvl w:ilvl="1" w:tplc="BE542F70">
      <w:start w:val="1"/>
      <w:numFmt w:val="lowerLetter"/>
      <w:lvlText w:val="%2."/>
      <w:lvlJc w:val="left"/>
      <w:pPr>
        <w:ind w:left="1440" w:hanging="360"/>
      </w:pPr>
    </w:lvl>
    <w:lvl w:ilvl="2" w:tplc="3C62E9A6">
      <w:start w:val="1"/>
      <w:numFmt w:val="lowerRoman"/>
      <w:lvlText w:val="%3."/>
      <w:lvlJc w:val="right"/>
      <w:pPr>
        <w:ind w:left="2160" w:hanging="180"/>
      </w:pPr>
    </w:lvl>
    <w:lvl w:ilvl="3" w:tplc="066CB5B0">
      <w:start w:val="1"/>
      <w:numFmt w:val="decimal"/>
      <w:lvlText w:val="%4."/>
      <w:lvlJc w:val="left"/>
      <w:pPr>
        <w:ind w:left="2880" w:hanging="360"/>
      </w:pPr>
    </w:lvl>
    <w:lvl w:ilvl="4" w:tplc="BD527E16">
      <w:start w:val="1"/>
      <w:numFmt w:val="lowerLetter"/>
      <w:lvlText w:val="%5."/>
      <w:lvlJc w:val="left"/>
      <w:pPr>
        <w:ind w:left="3600" w:hanging="360"/>
      </w:pPr>
    </w:lvl>
    <w:lvl w:ilvl="5" w:tplc="7C4CE5BA">
      <w:start w:val="1"/>
      <w:numFmt w:val="lowerRoman"/>
      <w:lvlText w:val="%6."/>
      <w:lvlJc w:val="right"/>
      <w:pPr>
        <w:ind w:left="4320" w:hanging="180"/>
      </w:pPr>
    </w:lvl>
    <w:lvl w:ilvl="6" w:tplc="BF44275A">
      <w:start w:val="1"/>
      <w:numFmt w:val="decimal"/>
      <w:lvlText w:val="%7."/>
      <w:lvlJc w:val="left"/>
      <w:pPr>
        <w:ind w:left="5040" w:hanging="360"/>
      </w:pPr>
    </w:lvl>
    <w:lvl w:ilvl="7" w:tplc="F46C9256">
      <w:start w:val="1"/>
      <w:numFmt w:val="lowerLetter"/>
      <w:lvlText w:val="%8."/>
      <w:lvlJc w:val="left"/>
      <w:pPr>
        <w:ind w:left="5760" w:hanging="360"/>
      </w:pPr>
    </w:lvl>
    <w:lvl w:ilvl="8" w:tplc="908CAF30">
      <w:start w:val="1"/>
      <w:numFmt w:val="lowerRoman"/>
      <w:lvlText w:val="%9."/>
      <w:lvlJc w:val="right"/>
      <w:pPr>
        <w:ind w:left="6480" w:hanging="180"/>
      </w:pPr>
    </w:lvl>
  </w:abstractNum>
  <w:abstractNum w:abstractNumId="4" w15:restartNumberingAfterBreak="0">
    <w:nsid w:val="183A298E"/>
    <w:multiLevelType w:val="hybridMultilevel"/>
    <w:tmpl w:val="C504BBE6"/>
    <w:lvl w:ilvl="0" w:tplc="FCA8420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F3ED5"/>
    <w:multiLevelType w:val="hybridMultilevel"/>
    <w:tmpl w:val="5A62E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76E18"/>
    <w:multiLevelType w:val="hybridMultilevel"/>
    <w:tmpl w:val="D1589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C14A4"/>
    <w:multiLevelType w:val="hybridMultilevel"/>
    <w:tmpl w:val="16A6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A3293"/>
    <w:multiLevelType w:val="hybridMultilevel"/>
    <w:tmpl w:val="F0347FCC"/>
    <w:lvl w:ilvl="0" w:tplc="9CC4756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0A263D"/>
    <w:multiLevelType w:val="hybridMultilevel"/>
    <w:tmpl w:val="608E7B2C"/>
    <w:lvl w:ilvl="0" w:tplc="D85619CE">
      <w:start w:val="1"/>
      <w:numFmt w:val="bullet"/>
      <w:lvlText w:val=""/>
      <w:lvlJc w:val="left"/>
      <w:pPr>
        <w:ind w:left="720" w:hanging="360"/>
      </w:pPr>
      <w:rPr>
        <w:rFonts w:ascii="Symbol" w:hAnsi="Symbol" w:hint="default"/>
      </w:rPr>
    </w:lvl>
    <w:lvl w:ilvl="1" w:tplc="36D011EC">
      <w:start w:val="1"/>
      <w:numFmt w:val="bullet"/>
      <w:lvlText w:val="o"/>
      <w:lvlJc w:val="left"/>
      <w:pPr>
        <w:ind w:left="1440" w:hanging="360"/>
      </w:pPr>
      <w:rPr>
        <w:rFonts w:ascii="Courier New" w:hAnsi="Courier New" w:hint="default"/>
      </w:rPr>
    </w:lvl>
    <w:lvl w:ilvl="2" w:tplc="FB464420">
      <w:start w:val="1"/>
      <w:numFmt w:val="bullet"/>
      <w:lvlText w:val=""/>
      <w:lvlJc w:val="left"/>
      <w:pPr>
        <w:ind w:left="2160" w:hanging="360"/>
      </w:pPr>
      <w:rPr>
        <w:rFonts w:ascii="Wingdings" w:hAnsi="Wingdings" w:hint="default"/>
      </w:rPr>
    </w:lvl>
    <w:lvl w:ilvl="3" w:tplc="ED242F84">
      <w:start w:val="1"/>
      <w:numFmt w:val="bullet"/>
      <w:lvlText w:val=""/>
      <w:lvlJc w:val="left"/>
      <w:pPr>
        <w:ind w:left="2880" w:hanging="360"/>
      </w:pPr>
      <w:rPr>
        <w:rFonts w:ascii="Symbol" w:hAnsi="Symbol" w:hint="default"/>
      </w:rPr>
    </w:lvl>
    <w:lvl w:ilvl="4" w:tplc="5288AC7C">
      <w:start w:val="1"/>
      <w:numFmt w:val="bullet"/>
      <w:lvlText w:val="o"/>
      <w:lvlJc w:val="left"/>
      <w:pPr>
        <w:ind w:left="3600" w:hanging="360"/>
      </w:pPr>
      <w:rPr>
        <w:rFonts w:ascii="Courier New" w:hAnsi="Courier New" w:hint="default"/>
      </w:rPr>
    </w:lvl>
    <w:lvl w:ilvl="5" w:tplc="AF6EB946">
      <w:start w:val="1"/>
      <w:numFmt w:val="bullet"/>
      <w:lvlText w:val=""/>
      <w:lvlJc w:val="left"/>
      <w:pPr>
        <w:ind w:left="4320" w:hanging="360"/>
      </w:pPr>
      <w:rPr>
        <w:rFonts w:ascii="Wingdings" w:hAnsi="Wingdings" w:hint="default"/>
      </w:rPr>
    </w:lvl>
    <w:lvl w:ilvl="6" w:tplc="41C222FA">
      <w:start w:val="1"/>
      <w:numFmt w:val="bullet"/>
      <w:lvlText w:val=""/>
      <w:lvlJc w:val="left"/>
      <w:pPr>
        <w:ind w:left="5040" w:hanging="360"/>
      </w:pPr>
      <w:rPr>
        <w:rFonts w:ascii="Symbol" w:hAnsi="Symbol" w:hint="default"/>
      </w:rPr>
    </w:lvl>
    <w:lvl w:ilvl="7" w:tplc="11986F68">
      <w:start w:val="1"/>
      <w:numFmt w:val="bullet"/>
      <w:lvlText w:val="o"/>
      <w:lvlJc w:val="left"/>
      <w:pPr>
        <w:ind w:left="5760" w:hanging="360"/>
      </w:pPr>
      <w:rPr>
        <w:rFonts w:ascii="Courier New" w:hAnsi="Courier New" w:hint="default"/>
      </w:rPr>
    </w:lvl>
    <w:lvl w:ilvl="8" w:tplc="4CD85530">
      <w:start w:val="1"/>
      <w:numFmt w:val="bullet"/>
      <w:lvlText w:val=""/>
      <w:lvlJc w:val="left"/>
      <w:pPr>
        <w:ind w:left="6480" w:hanging="360"/>
      </w:pPr>
      <w:rPr>
        <w:rFonts w:ascii="Wingdings" w:hAnsi="Wingdings" w:hint="default"/>
      </w:rPr>
    </w:lvl>
  </w:abstractNum>
  <w:abstractNum w:abstractNumId="10" w15:restartNumberingAfterBreak="0">
    <w:nsid w:val="47B82C48"/>
    <w:multiLevelType w:val="hybridMultilevel"/>
    <w:tmpl w:val="EFF8AF70"/>
    <w:lvl w:ilvl="0" w:tplc="9CC4756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51B69"/>
    <w:multiLevelType w:val="hybridMultilevel"/>
    <w:tmpl w:val="CC68571A"/>
    <w:lvl w:ilvl="0" w:tplc="FCA8420A">
      <w:start w:val="1"/>
      <w:numFmt w:val="bullet"/>
      <w:lvlText w:val="•"/>
      <w:lvlJc w:val="left"/>
      <w:pPr>
        <w:tabs>
          <w:tab w:val="num" w:pos="720"/>
        </w:tabs>
        <w:ind w:left="720" w:hanging="360"/>
      </w:pPr>
      <w:rPr>
        <w:rFonts w:ascii="Arial" w:hAnsi="Arial" w:hint="default"/>
      </w:rPr>
    </w:lvl>
    <w:lvl w:ilvl="1" w:tplc="C7022A0A">
      <w:start w:val="1"/>
      <w:numFmt w:val="bullet"/>
      <w:lvlText w:val="•"/>
      <w:lvlJc w:val="left"/>
      <w:pPr>
        <w:tabs>
          <w:tab w:val="num" w:pos="1440"/>
        </w:tabs>
        <w:ind w:left="1440" w:hanging="360"/>
      </w:pPr>
      <w:rPr>
        <w:rFonts w:ascii="Arial" w:hAnsi="Arial" w:hint="default"/>
      </w:rPr>
    </w:lvl>
    <w:lvl w:ilvl="2" w:tplc="0EA2A9F6" w:tentative="1">
      <w:start w:val="1"/>
      <w:numFmt w:val="bullet"/>
      <w:lvlText w:val="•"/>
      <w:lvlJc w:val="left"/>
      <w:pPr>
        <w:tabs>
          <w:tab w:val="num" w:pos="2160"/>
        </w:tabs>
        <w:ind w:left="2160" w:hanging="360"/>
      </w:pPr>
      <w:rPr>
        <w:rFonts w:ascii="Arial" w:hAnsi="Arial" w:hint="default"/>
      </w:rPr>
    </w:lvl>
    <w:lvl w:ilvl="3" w:tplc="E7EE1278" w:tentative="1">
      <w:start w:val="1"/>
      <w:numFmt w:val="bullet"/>
      <w:lvlText w:val="•"/>
      <w:lvlJc w:val="left"/>
      <w:pPr>
        <w:tabs>
          <w:tab w:val="num" w:pos="2880"/>
        </w:tabs>
        <w:ind w:left="2880" w:hanging="360"/>
      </w:pPr>
      <w:rPr>
        <w:rFonts w:ascii="Arial" w:hAnsi="Arial" w:hint="default"/>
      </w:rPr>
    </w:lvl>
    <w:lvl w:ilvl="4" w:tplc="CE4CF108" w:tentative="1">
      <w:start w:val="1"/>
      <w:numFmt w:val="bullet"/>
      <w:lvlText w:val="•"/>
      <w:lvlJc w:val="left"/>
      <w:pPr>
        <w:tabs>
          <w:tab w:val="num" w:pos="3600"/>
        </w:tabs>
        <w:ind w:left="3600" w:hanging="360"/>
      </w:pPr>
      <w:rPr>
        <w:rFonts w:ascii="Arial" w:hAnsi="Arial" w:hint="default"/>
      </w:rPr>
    </w:lvl>
    <w:lvl w:ilvl="5" w:tplc="849AA7E2" w:tentative="1">
      <w:start w:val="1"/>
      <w:numFmt w:val="bullet"/>
      <w:lvlText w:val="•"/>
      <w:lvlJc w:val="left"/>
      <w:pPr>
        <w:tabs>
          <w:tab w:val="num" w:pos="4320"/>
        </w:tabs>
        <w:ind w:left="4320" w:hanging="360"/>
      </w:pPr>
      <w:rPr>
        <w:rFonts w:ascii="Arial" w:hAnsi="Arial" w:hint="default"/>
      </w:rPr>
    </w:lvl>
    <w:lvl w:ilvl="6" w:tplc="01A091D6" w:tentative="1">
      <w:start w:val="1"/>
      <w:numFmt w:val="bullet"/>
      <w:lvlText w:val="•"/>
      <w:lvlJc w:val="left"/>
      <w:pPr>
        <w:tabs>
          <w:tab w:val="num" w:pos="5040"/>
        </w:tabs>
        <w:ind w:left="5040" w:hanging="360"/>
      </w:pPr>
      <w:rPr>
        <w:rFonts w:ascii="Arial" w:hAnsi="Arial" w:hint="default"/>
      </w:rPr>
    </w:lvl>
    <w:lvl w:ilvl="7" w:tplc="2C3A1EFC" w:tentative="1">
      <w:start w:val="1"/>
      <w:numFmt w:val="bullet"/>
      <w:lvlText w:val="•"/>
      <w:lvlJc w:val="left"/>
      <w:pPr>
        <w:tabs>
          <w:tab w:val="num" w:pos="5760"/>
        </w:tabs>
        <w:ind w:left="5760" w:hanging="360"/>
      </w:pPr>
      <w:rPr>
        <w:rFonts w:ascii="Arial" w:hAnsi="Arial" w:hint="default"/>
      </w:rPr>
    </w:lvl>
    <w:lvl w:ilvl="8" w:tplc="348423E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AD4FCC"/>
    <w:multiLevelType w:val="hybridMultilevel"/>
    <w:tmpl w:val="368E5CEC"/>
    <w:lvl w:ilvl="0" w:tplc="9CC4756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6A06CE"/>
    <w:multiLevelType w:val="hybridMultilevel"/>
    <w:tmpl w:val="5E84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A31562"/>
    <w:multiLevelType w:val="hybridMultilevel"/>
    <w:tmpl w:val="2962FB0C"/>
    <w:lvl w:ilvl="0" w:tplc="9CC4756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15DCA"/>
    <w:multiLevelType w:val="multilevel"/>
    <w:tmpl w:val="358A66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72877CED"/>
    <w:multiLevelType w:val="hybridMultilevel"/>
    <w:tmpl w:val="A8FC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7313DC"/>
    <w:multiLevelType w:val="hybridMultilevel"/>
    <w:tmpl w:val="162CF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A04D4"/>
    <w:multiLevelType w:val="hybridMultilevel"/>
    <w:tmpl w:val="CBF03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11"/>
  </w:num>
  <w:num w:numId="5">
    <w:abstractNumId w:val="17"/>
  </w:num>
  <w:num w:numId="6">
    <w:abstractNumId w:val="5"/>
  </w:num>
  <w:num w:numId="7">
    <w:abstractNumId w:val="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15"/>
  </w:num>
  <w:num w:numId="11">
    <w:abstractNumId w:val="1"/>
  </w:num>
  <w:num w:numId="12">
    <w:abstractNumId w:val="8"/>
  </w:num>
  <w:num w:numId="13">
    <w:abstractNumId w:val="12"/>
  </w:num>
  <w:num w:numId="14">
    <w:abstractNumId w:val="14"/>
  </w:num>
  <w:num w:numId="15">
    <w:abstractNumId w:val="10"/>
  </w:num>
  <w:num w:numId="16">
    <w:abstractNumId w:val="7"/>
  </w:num>
  <w:num w:numId="17">
    <w:abstractNumId w:val="2"/>
  </w:num>
  <w:num w:numId="18">
    <w:abstractNumId w:val="16"/>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sh, Brian">
    <w15:presenceInfo w15:providerId="AD" w15:userId="S::bbush@nrel.gov::f001c593-dda4-41c7-ac41-1981f39ef5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93C"/>
    <w:rsid w:val="000B4161"/>
    <w:rsid w:val="000B490C"/>
    <w:rsid w:val="000C5AEE"/>
    <w:rsid w:val="000E509B"/>
    <w:rsid w:val="000F103B"/>
    <w:rsid w:val="000F19D2"/>
    <w:rsid w:val="00111A3E"/>
    <w:rsid w:val="0012205D"/>
    <w:rsid w:val="00123BD9"/>
    <w:rsid w:val="001271B8"/>
    <w:rsid w:val="001A10CC"/>
    <w:rsid w:val="002002DC"/>
    <w:rsid w:val="00254016"/>
    <w:rsid w:val="00286BC6"/>
    <w:rsid w:val="00293D9D"/>
    <w:rsid w:val="002A34AF"/>
    <w:rsid w:val="002A60B7"/>
    <w:rsid w:val="002F0D5D"/>
    <w:rsid w:val="003252D6"/>
    <w:rsid w:val="003446B4"/>
    <w:rsid w:val="00345F78"/>
    <w:rsid w:val="00351B10"/>
    <w:rsid w:val="003542D5"/>
    <w:rsid w:val="003603C5"/>
    <w:rsid w:val="00383F93"/>
    <w:rsid w:val="00386E1A"/>
    <w:rsid w:val="003B6873"/>
    <w:rsid w:val="003C5BA1"/>
    <w:rsid w:val="003F1C97"/>
    <w:rsid w:val="003F2CB1"/>
    <w:rsid w:val="003F40B8"/>
    <w:rsid w:val="004108A6"/>
    <w:rsid w:val="004405FC"/>
    <w:rsid w:val="004434A6"/>
    <w:rsid w:val="00454509"/>
    <w:rsid w:val="00467EDA"/>
    <w:rsid w:val="0047632D"/>
    <w:rsid w:val="00483420"/>
    <w:rsid w:val="004916BB"/>
    <w:rsid w:val="004A4C7C"/>
    <w:rsid w:val="004B3773"/>
    <w:rsid w:val="004E2685"/>
    <w:rsid w:val="004F1EBD"/>
    <w:rsid w:val="004F77D9"/>
    <w:rsid w:val="00504386"/>
    <w:rsid w:val="005121B4"/>
    <w:rsid w:val="00540DEF"/>
    <w:rsid w:val="005A1B4B"/>
    <w:rsid w:val="005A2A9D"/>
    <w:rsid w:val="00602BFC"/>
    <w:rsid w:val="00604922"/>
    <w:rsid w:val="00605394"/>
    <w:rsid w:val="00623234"/>
    <w:rsid w:val="00624750"/>
    <w:rsid w:val="0064366B"/>
    <w:rsid w:val="006602CC"/>
    <w:rsid w:val="00684B33"/>
    <w:rsid w:val="006903C9"/>
    <w:rsid w:val="006A5DE7"/>
    <w:rsid w:val="006B50AB"/>
    <w:rsid w:val="007051DF"/>
    <w:rsid w:val="007167F1"/>
    <w:rsid w:val="007367E5"/>
    <w:rsid w:val="00740CD5"/>
    <w:rsid w:val="00744B9B"/>
    <w:rsid w:val="00751E50"/>
    <w:rsid w:val="0079710B"/>
    <w:rsid w:val="007A2861"/>
    <w:rsid w:val="007B4C3B"/>
    <w:rsid w:val="007C3C85"/>
    <w:rsid w:val="007E58FA"/>
    <w:rsid w:val="00816D18"/>
    <w:rsid w:val="008359BE"/>
    <w:rsid w:val="0085739D"/>
    <w:rsid w:val="008A194A"/>
    <w:rsid w:val="008D46BF"/>
    <w:rsid w:val="00936F31"/>
    <w:rsid w:val="00975339"/>
    <w:rsid w:val="009A7EF7"/>
    <w:rsid w:val="009D2EB8"/>
    <w:rsid w:val="009D550D"/>
    <w:rsid w:val="009E4F8A"/>
    <w:rsid w:val="009F1344"/>
    <w:rsid w:val="00A138FC"/>
    <w:rsid w:val="00A17B1F"/>
    <w:rsid w:val="00A37A9E"/>
    <w:rsid w:val="00A6080A"/>
    <w:rsid w:val="00A83FE4"/>
    <w:rsid w:val="00AA0520"/>
    <w:rsid w:val="00AB5926"/>
    <w:rsid w:val="00AC1A8B"/>
    <w:rsid w:val="00AE368C"/>
    <w:rsid w:val="00B07C06"/>
    <w:rsid w:val="00B234E3"/>
    <w:rsid w:val="00B33646"/>
    <w:rsid w:val="00B55824"/>
    <w:rsid w:val="00B77E95"/>
    <w:rsid w:val="00B828F2"/>
    <w:rsid w:val="00B85C8D"/>
    <w:rsid w:val="00BA59AA"/>
    <w:rsid w:val="00C046C1"/>
    <w:rsid w:val="00C11DFF"/>
    <w:rsid w:val="00C12F65"/>
    <w:rsid w:val="00C13E96"/>
    <w:rsid w:val="00C70391"/>
    <w:rsid w:val="00CE1620"/>
    <w:rsid w:val="00CE4BF2"/>
    <w:rsid w:val="00CE5101"/>
    <w:rsid w:val="00D27EBF"/>
    <w:rsid w:val="00D317A6"/>
    <w:rsid w:val="00D43C2C"/>
    <w:rsid w:val="00D66829"/>
    <w:rsid w:val="00D871B9"/>
    <w:rsid w:val="00D913AA"/>
    <w:rsid w:val="00DB557C"/>
    <w:rsid w:val="00DC2EB8"/>
    <w:rsid w:val="00DC5CD5"/>
    <w:rsid w:val="00DD6642"/>
    <w:rsid w:val="00DD693C"/>
    <w:rsid w:val="00DD7D6E"/>
    <w:rsid w:val="00DF46C7"/>
    <w:rsid w:val="00E0498E"/>
    <w:rsid w:val="00E24412"/>
    <w:rsid w:val="00E24EED"/>
    <w:rsid w:val="00E446C1"/>
    <w:rsid w:val="00E50842"/>
    <w:rsid w:val="00E7314C"/>
    <w:rsid w:val="00E748C1"/>
    <w:rsid w:val="00E90191"/>
    <w:rsid w:val="00EA5150"/>
    <w:rsid w:val="00EE2C5F"/>
    <w:rsid w:val="00EE47E9"/>
    <w:rsid w:val="00EF09DF"/>
    <w:rsid w:val="00F5294C"/>
    <w:rsid w:val="00F61292"/>
    <w:rsid w:val="00F61BDD"/>
    <w:rsid w:val="00F645EA"/>
    <w:rsid w:val="00F92AFD"/>
    <w:rsid w:val="00F95057"/>
    <w:rsid w:val="00FA53D1"/>
    <w:rsid w:val="00FC11F0"/>
    <w:rsid w:val="00FC325A"/>
    <w:rsid w:val="00FE12B8"/>
    <w:rsid w:val="00FF5BA8"/>
    <w:rsid w:val="289C3F61"/>
    <w:rsid w:val="2ED5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2389"/>
  <w15:chartTrackingRefBased/>
  <w15:docId w15:val="{8E827E4F-6762-4C9F-8CA7-CD3735644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32D"/>
    <w:rPr>
      <w:rFonts w:ascii="Times New Roman" w:hAnsi="Times New Roman"/>
      <w:sz w:val="24"/>
    </w:rPr>
  </w:style>
  <w:style w:type="paragraph" w:styleId="Heading1">
    <w:name w:val="heading 1"/>
    <w:basedOn w:val="Normal"/>
    <w:next w:val="Normal"/>
    <w:link w:val="Heading1Char"/>
    <w:uiPriority w:val="9"/>
    <w:qFormat/>
    <w:rsid w:val="00DD693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693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D2EB8"/>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7632D"/>
    <w:pPr>
      <w:spacing w:line="240" w:lineRule="auto"/>
    </w:pPr>
    <w:rPr>
      <w:bCs/>
      <w:sz w:val="20"/>
      <w:szCs w:val="18"/>
    </w:rPr>
  </w:style>
  <w:style w:type="paragraph" w:styleId="Title">
    <w:name w:val="Title"/>
    <w:basedOn w:val="Normal"/>
    <w:next w:val="Normal"/>
    <w:link w:val="TitleChar"/>
    <w:uiPriority w:val="10"/>
    <w:qFormat/>
    <w:rsid w:val="00DD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9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93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D693C"/>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link w:val="ListParagraphChar"/>
    <w:uiPriority w:val="34"/>
    <w:qFormat/>
    <w:rsid w:val="004F77D9"/>
    <w:pPr>
      <w:spacing w:after="0" w:line="240" w:lineRule="auto"/>
      <w:ind w:left="720"/>
      <w:contextualSpacing/>
    </w:pPr>
    <w:rPr>
      <w:rFonts w:eastAsia="Times New Roman" w:cs="Times New Roman"/>
      <w:szCs w:val="24"/>
    </w:rPr>
  </w:style>
  <w:style w:type="character" w:customStyle="1" w:styleId="ListParagraphChar">
    <w:name w:val="List Paragraph Char"/>
    <w:basedOn w:val="DefaultParagraphFont"/>
    <w:link w:val="ListParagraph"/>
    <w:uiPriority w:val="34"/>
    <w:locked/>
    <w:rsid w:val="004F77D9"/>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4F77D9"/>
    <w:pPr>
      <w:widowControl w:val="0"/>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4F77D9"/>
    <w:rPr>
      <w:sz w:val="20"/>
      <w:szCs w:val="20"/>
    </w:rPr>
  </w:style>
  <w:style w:type="character" w:styleId="FootnoteReference">
    <w:name w:val="footnote reference"/>
    <w:basedOn w:val="DefaultParagraphFont"/>
    <w:uiPriority w:val="99"/>
    <w:semiHidden/>
    <w:unhideWhenUsed/>
    <w:rsid w:val="004F77D9"/>
    <w:rPr>
      <w:vertAlign w:val="superscript"/>
    </w:rPr>
  </w:style>
  <w:style w:type="character" w:styleId="Hyperlink">
    <w:name w:val="Hyperlink"/>
    <w:basedOn w:val="DefaultParagraphFont"/>
    <w:uiPriority w:val="99"/>
    <w:unhideWhenUsed/>
    <w:rsid w:val="004F77D9"/>
    <w:rPr>
      <w:color w:val="0000FF" w:themeColor="hyperlink"/>
      <w:u w:val="single"/>
    </w:rPr>
  </w:style>
  <w:style w:type="character" w:styleId="FollowedHyperlink">
    <w:name w:val="FollowedHyperlink"/>
    <w:basedOn w:val="DefaultParagraphFont"/>
    <w:uiPriority w:val="99"/>
    <w:semiHidden/>
    <w:unhideWhenUsed/>
    <w:rsid w:val="004F77D9"/>
    <w:rPr>
      <w:color w:val="800080" w:themeColor="followedHyperlink"/>
      <w:u w:val="single"/>
    </w:rPr>
  </w:style>
  <w:style w:type="paragraph" w:styleId="Bibliography">
    <w:name w:val="Bibliography"/>
    <w:basedOn w:val="Normal"/>
    <w:next w:val="Normal"/>
    <w:uiPriority w:val="37"/>
    <w:unhideWhenUsed/>
    <w:rsid w:val="00D913AA"/>
    <w:pPr>
      <w:tabs>
        <w:tab w:val="left" w:pos="384"/>
      </w:tabs>
      <w:spacing w:after="240" w:line="240" w:lineRule="auto"/>
      <w:ind w:left="384" w:hanging="384"/>
    </w:pPr>
  </w:style>
  <w:style w:type="paragraph" w:styleId="NoSpacing">
    <w:name w:val="No Spacing"/>
    <w:uiPriority w:val="1"/>
    <w:qFormat/>
    <w:rsid w:val="00A83FE4"/>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A138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8FC"/>
    <w:rPr>
      <w:rFonts w:ascii="Segoe UI" w:hAnsi="Segoe UI" w:cs="Segoe UI"/>
      <w:sz w:val="18"/>
      <w:szCs w:val="18"/>
    </w:rPr>
  </w:style>
  <w:style w:type="character" w:styleId="CommentReference">
    <w:name w:val="annotation reference"/>
    <w:basedOn w:val="DefaultParagraphFont"/>
    <w:uiPriority w:val="99"/>
    <w:semiHidden/>
    <w:unhideWhenUsed/>
    <w:rsid w:val="00A138FC"/>
    <w:rPr>
      <w:sz w:val="16"/>
      <w:szCs w:val="16"/>
    </w:rPr>
  </w:style>
  <w:style w:type="paragraph" w:styleId="CommentText">
    <w:name w:val="annotation text"/>
    <w:basedOn w:val="Normal"/>
    <w:link w:val="CommentTextChar"/>
    <w:uiPriority w:val="99"/>
    <w:semiHidden/>
    <w:unhideWhenUsed/>
    <w:rsid w:val="00A138F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A138FC"/>
    <w:rPr>
      <w:sz w:val="20"/>
      <w:szCs w:val="20"/>
    </w:rPr>
  </w:style>
  <w:style w:type="character" w:customStyle="1" w:styleId="Heading3Char">
    <w:name w:val="Heading 3 Char"/>
    <w:basedOn w:val="DefaultParagraphFont"/>
    <w:link w:val="Heading3"/>
    <w:uiPriority w:val="9"/>
    <w:rsid w:val="009D2EB8"/>
    <w:rPr>
      <w:rFonts w:asciiTheme="majorHAnsi" w:eastAsiaTheme="majorEastAsia" w:hAnsiTheme="majorHAnsi" w:cstheme="majorBidi"/>
      <w:color w:val="243F60" w:themeColor="accent1" w:themeShade="7F"/>
      <w:sz w:val="24"/>
      <w:szCs w:val="24"/>
    </w:rPr>
  </w:style>
  <w:style w:type="paragraph" w:customStyle="1" w:styleId="Compact">
    <w:name w:val="Compact"/>
    <w:basedOn w:val="BodyText"/>
    <w:qFormat/>
    <w:rsid w:val="009D2EB8"/>
    <w:pPr>
      <w:spacing w:before="36" w:after="36" w:line="240" w:lineRule="auto"/>
    </w:pPr>
    <w:rPr>
      <w:rFonts w:asciiTheme="minorHAnsi" w:hAnsiTheme="minorHAnsi"/>
      <w:szCs w:val="24"/>
    </w:rPr>
  </w:style>
  <w:style w:type="table" w:customStyle="1" w:styleId="Table">
    <w:name w:val="Table"/>
    <w:semiHidden/>
    <w:unhideWhenUsed/>
    <w:qFormat/>
    <w:rsid w:val="009D2EB8"/>
    <w:pPr>
      <w:spacing w:line="240" w:lineRule="auto"/>
    </w:pPr>
    <w:rPr>
      <w:sz w:val="24"/>
      <w:szCs w:val="24"/>
    </w:rPr>
    <w:tblPr>
      <w:tblInd w:w="0" w:type="dxa"/>
      <w:tblCellMar>
        <w:top w:w="0" w:type="dxa"/>
        <w:left w:w="108" w:type="dxa"/>
        <w:bottom w:w="0" w:type="dxa"/>
        <w:right w:w="108" w:type="dxa"/>
      </w:tblCellMar>
    </w:tblPr>
  </w:style>
  <w:style w:type="paragraph" w:customStyle="1" w:styleId="TableCaption">
    <w:name w:val="Table Caption"/>
    <w:basedOn w:val="Caption"/>
    <w:rsid w:val="009D2EB8"/>
    <w:pPr>
      <w:keepNext/>
      <w:spacing w:after="120"/>
    </w:pPr>
    <w:rPr>
      <w:rFonts w:asciiTheme="minorHAnsi" w:hAnsiTheme="minorHAnsi"/>
      <w:bCs w:val="0"/>
      <w:i/>
      <w:sz w:val="24"/>
      <w:szCs w:val="24"/>
    </w:rPr>
  </w:style>
  <w:style w:type="paragraph" w:styleId="BodyText">
    <w:name w:val="Body Text"/>
    <w:basedOn w:val="Normal"/>
    <w:link w:val="BodyTextChar"/>
    <w:uiPriority w:val="99"/>
    <w:semiHidden/>
    <w:unhideWhenUsed/>
    <w:rsid w:val="009D2EB8"/>
    <w:pPr>
      <w:spacing w:after="120"/>
    </w:pPr>
  </w:style>
  <w:style w:type="character" w:customStyle="1" w:styleId="BodyTextChar">
    <w:name w:val="Body Text Char"/>
    <w:basedOn w:val="DefaultParagraphFont"/>
    <w:link w:val="BodyText"/>
    <w:uiPriority w:val="99"/>
    <w:semiHidden/>
    <w:rsid w:val="009D2EB8"/>
    <w:rPr>
      <w:rFonts w:ascii="Times New Roman" w:hAnsi="Times New Roman"/>
      <w:sz w:val="24"/>
    </w:rPr>
  </w:style>
  <w:style w:type="character" w:customStyle="1" w:styleId="VerbatimChar">
    <w:name w:val="Verbatim Char"/>
    <w:basedOn w:val="DefaultParagraphFont"/>
    <w:link w:val="SourceCode"/>
    <w:rsid w:val="009D2EB8"/>
    <w:rPr>
      <w:rFonts w:ascii="Consolas" w:hAnsi="Consolas"/>
    </w:rPr>
  </w:style>
  <w:style w:type="paragraph" w:customStyle="1" w:styleId="SourceCode">
    <w:name w:val="Source Code"/>
    <w:basedOn w:val="Normal"/>
    <w:link w:val="VerbatimChar"/>
    <w:rsid w:val="009D2EB8"/>
    <w:pPr>
      <w:wordWrap w:val="0"/>
      <w:spacing w:line="240" w:lineRule="auto"/>
    </w:pPr>
    <w:rPr>
      <w:rFonts w:ascii="Consolas" w:hAnsi="Consolas"/>
      <w:sz w:val="22"/>
    </w:rPr>
  </w:style>
  <w:style w:type="paragraph" w:styleId="Header">
    <w:name w:val="header"/>
    <w:basedOn w:val="Normal"/>
    <w:link w:val="HeaderChar"/>
    <w:uiPriority w:val="99"/>
    <w:unhideWhenUsed/>
    <w:rsid w:val="00FE1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2B8"/>
    <w:rPr>
      <w:rFonts w:ascii="Times New Roman" w:hAnsi="Times New Roman"/>
      <w:sz w:val="24"/>
    </w:rPr>
  </w:style>
  <w:style w:type="paragraph" w:styleId="Footer">
    <w:name w:val="footer"/>
    <w:basedOn w:val="Normal"/>
    <w:link w:val="FooterChar"/>
    <w:uiPriority w:val="99"/>
    <w:unhideWhenUsed/>
    <w:rsid w:val="00FE1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2B8"/>
    <w:rPr>
      <w:rFonts w:ascii="Times New Roman" w:hAnsi="Times New Roman"/>
      <w:sz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1Light">
    <w:name w:val="List Table 1 Light"/>
    <w:basedOn w:val="Table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C11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Subject">
    <w:name w:val="annotation subject"/>
    <w:basedOn w:val="CommentText"/>
    <w:next w:val="CommentText"/>
    <w:link w:val="CommentSubjectChar"/>
    <w:uiPriority w:val="99"/>
    <w:semiHidden/>
    <w:unhideWhenUsed/>
    <w:rsid w:val="003603C5"/>
    <w:pPr>
      <w:spacing w:after="200"/>
    </w:pPr>
    <w:rPr>
      <w:rFonts w:ascii="Times New Roman" w:hAnsi="Times New Roman"/>
      <w:b/>
      <w:bCs/>
    </w:rPr>
  </w:style>
  <w:style w:type="character" w:customStyle="1" w:styleId="CommentSubjectChar">
    <w:name w:val="Comment Subject Char"/>
    <w:basedOn w:val="CommentTextChar"/>
    <w:link w:val="CommentSubject"/>
    <w:uiPriority w:val="99"/>
    <w:semiHidden/>
    <w:rsid w:val="003603C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096511">
      <w:bodyDiv w:val="1"/>
      <w:marLeft w:val="0"/>
      <w:marRight w:val="0"/>
      <w:marTop w:val="0"/>
      <w:marBottom w:val="0"/>
      <w:divBdr>
        <w:top w:val="none" w:sz="0" w:space="0" w:color="auto"/>
        <w:left w:val="none" w:sz="0" w:space="0" w:color="auto"/>
        <w:bottom w:val="none" w:sz="0" w:space="0" w:color="auto"/>
        <w:right w:val="none" w:sz="0" w:space="0" w:color="auto"/>
      </w:divBdr>
    </w:div>
    <w:div w:id="1658025426">
      <w:bodyDiv w:val="1"/>
      <w:marLeft w:val="0"/>
      <w:marRight w:val="0"/>
      <w:marTop w:val="0"/>
      <w:marBottom w:val="0"/>
      <w:divBdr>
        <w:top w:val="none" w:sz="0" w:space="0" w:color="auto"/>
        <w:left w:val="none" w:sz="0" w:space="0" w:color="auto"/>
        <w:bottom w:val="none" w:sz="0" w:space="0" w:color="auto"/>
        <w:right w:val="none" w:sz="0" w:space="0" w:color="auto"/>
      </w:divBdr>
    </w:div>
    <w:div w:id="1659572285">
      <w:bodyDiv w:val="1"/>
      <w:marLeft w:val="0"/>
      <w:marRight w:val="0"/>
      <w:marTop w:val="0"/>
      <w:marBottom w:val="0"/>
      <w:divBdr>
        <w:top w:val="none" w:sz="0" w:space="0" w:color="auto"/>
        <w:left w:val="none" w:sz="0" w:space="0" w:color="auto"/>
        <w:bottom w:val="none" w:sz="0" w:space="0" w:color="auto"/>
        <w:right w:val="none" w:sz="0" w:space="0" w:color="auto"/>
      </w:divBdr>
    </w:div>
    <w:div w:id="16600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microsoft.com/office/2016/09/relationships/commentsIds" Target="commentsIds.xml"/><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microsoft.com/office/2011/relationships/commentsExtended" Target="commentsExtended.xml"/><Relationship Id="rId25" Type="http://schemas.openxmlformats.org/officeDocument/2006/relationships/image" Target="media/image10.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1.xm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emf"/><Relationship Id="rId19" Type="http://schemas.microsoft.com/office/2018/08/relationships/commentsExtensible" Target="commentsExtensible.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gi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Sal04</b:Tag>
    <b:SourceType>Book</b:SourceType>
    <b:Guid>{83D27863-8840-4E95-ACB8-A6BCE64F7B33}</b:Guid>
    <b:Title>Sensitivity Analysis in Practice</b:Title>
    <b:Year>2004</b:Year>
    <b:Publisher>John Wiley &amp; Sons</b:Publisher>
    <b:Author>
      <b:Author>
        <b:NameList>
          <b:Person>
            <b:Last>Saltelli</b:Last>
            <b:First>Andrea</b:First>
          </b:Person>
          <b:Person>
            <b:Last>Tarantola</b:Last>
            <b:First>Stefano</b:First>
          </b:Person>
          <b:Person>
            <b:Last>Campolongo</b:Last>
            <b:First>Francesca</b:First>
          </b:Person>
          <b:Person>
            <b:Last>Ratto</b:Last>
            <b:First>Marco</b:First>
          </b:Person>
        </b:NameList>
      </b:Author>
    </b:Author>
    <b:RefOrder>1</b:RefOrder>
  </b:Source>
  <b:Source>
    <b:Tag>Sal10</b:Tag>
    <b:SourceType>JournalArticle</b:SourceType>
    <b:Guid>{BC57327A-0597-420D-8C1B-B20C06A7F14A}</b:Guid>
    <b:Title>Variance based sensitivity analysis of model output: Design and estimator for the total sensitivity index</b:Title>
    <b:Year>2010</b:Year>
    <b:Author>
      <b:Author>
        <b:NameList>
          <b:Person>
            <b:Last>Saltelli</b:Last>
            <b:First>Andrea</b:First>
          </b:Person>
          <b:Person>
            <b:Last>Annoni</b:Last>
            <b:First>Paolo</b:First>
          </b:Person>
          <b:Person>
            <b:Last>Azzini</b:Last>
            <b:First>Ivano</b:First>
          </b:Person>
          <b:Person>
            <b:Last>Campolongo</b:Last>
            <b:First>Francesca</b:First>
          </b:Person>
          <b:Person>
            <b:Last>Ratto</b:Last>
            <b:First>Marco</b:First>
          </b:Person>
          <b:Person>
            <b:Last>Tarantola</b:Last>
            <b:First>Stefano</b:First>
          </b:Person>
        </b:NameList>
      </b:Author>
    </b:Author>
    <b:JournalName>Computer Physics Communications</b:JournalName>
    <b:Pages>259-270</b:Pages>
    <b:Volume>181</b:Volume>
    <b:RefOrder>2</b:RefOrder>
  </b:Source>
</b:Sources>
</file>

<file path=customXml/itemProps1.xml><?xml version="1.0" encoding="utf-8"?>
<ds:datastoreItem xmlns:ds="http://schemas.openxmlformats.org/officeDocument/2006/customXml" ds:itemID="{3DF3478F-B960-4D73-8234-0D713816C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25</Pages>
  <Words>13528</Words>
  <Characters>77112</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Hanes, Rebecca</dc:creator>
  <cp:keywords/>
  <dc:description/>
  <cp:lastModifiedBy>Bush, Brian</cp:lastModifiedBy>
  <cp:revision>8</cp:revision>
  <dcterms:created xsi:type="dcterms:W3CDTF">2020-06-26T20:05:00Z</dcterms:created>
  <dcterms:modified xsi:type="dcterms:W3CDTF">2020-09-01T14:03:00Z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id="XtQCkuaC"/&gt;&lt;style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