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77777777" w:rsidR="002507CE" w:rsidRDefault="00BF2DDA" w:rsidP="00A761F6">
      <w:pPr>
        <w:pStyle w:val="Title"/>
      </w:pPr>
      <w:r>
        <w:t xml:space="preserve">ComStock </w:t>
      </w:r>
      <w:r w:rsidR="002507CE">
        <w:t>Change</w:t>
      </w:r>
    </w:p>
    <w:p w14:paraId="435BEF72" w14:textId="206DB9E1" w:rsidR="00717F96" w:rsidRDefault="00A7198F" w:rsidP="00A761F6">
      <w:pPr>
        <w:pStyle w:val="Subtitle"/>
      </w:pPr>
      <w:r>
        <w:t>NIST Infiltration Update</w:t>
      </w:r>
    </w:p>
    <w:p w14:paraId="10B60449" w14:textId="4FB8E181" w:rsidR="00870931" w:rsidRPr="00A761F6" w:rsidRDefault="00870931" w:rsidP="00A761F6">
      <w:pPr>
        <w:rPr>
          <w:b/>
          <w:bCs/>
        </w:rPr>
      </w:pPr>
      <w:r w:rsidRPr="00A761F6">
        <w:rPr>
          <w:b/>
          <w:bCs/>
        </w:rPr>
        <w:t xml:space="preserve">Implementer: </w:t>
      </w:r>
      <w:r w:rsidR="00A35ABC">
        <w:rPr>
          <w:b/>
          <w:bCs/>
        </w:rPr>
        <w:t>Matthew Dahlhausen</w:t>
      </w:r>
    </w:p>
    <w:p w14:paraId="31CF1E97" w14:textId="3163C740" w:rsidR="00870931" w:rsidRPr="00A761F6" w:rsidRDefault="00870931" w:rsidP="00A761F6">
      <w:pPr>
        <w:rPr>
          <w:b/>
          <w:bCs/>
        </w:rPr>
      </w:pPr>
      <w:r w:rsidRPr="00A761F6">
        <w:rPr>
          <w:b/>
          <w:bCs/>
        </w:rPr>
        <w:t xml:space="preserve">Change Document Author: </w:t>
      </w:r>
      <w:r w:rsidR="00A35ABC">
        <w:rPr>
          <w:b/>
          <w:bCs/>
        </w:rPr>
        <w:t>Matthew Dahlhausen</w:t>
      </w:r>
    </w:p>
    <w:p w14:paraId="71D557ED" w14:textId="63EA52AA" w:rsidR="00870931" w:rsidRPr="00A761F6" w:rsidRDefault="00870931" w:rsidP="00A761F6">
      <w:pPr>
        <w:rPr>
          <w:b/>
          <w:bCs/>
        </w:rPr>
      </w:pPr>
      <w:r w:rsidRPr="00A761F6">
        <w:rPr>
          <w:b/>
          <w:bCs/>
        </w:rPr>
        <w:t xml:space="preserve">Reviewer: </w:t>
      </w:r>
      <w:r w:rsidR="00A35ABC">
        <w:rPr>
          <w:b/>
          <w:bCs/>
        </w:rPr>
        <w:t>Andrew Parker</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4BBB6739" w14:textId="32A65F18" w:rsidR="00870931" w:rsidRPr="00A761F6" w:rsidRDefault="00870931" w:rsidP="00A761F6">
      <w:r>
        <w:t xml:space="preserve">This </w:t>
      </w:r>
      <w:r w:rsidR="417BEC04">
        <w:t xml:space="preserve">changes the infiltration in ComStock from a fixed value across models with only a wind term coefficient to instead use airtightness ratings from </w:t>
      </w:r>
      <w:r w:rsidR="5C138CAA">
        <w:t>the NIST airtightness database and coefficient from NIST’s CONTAM modeling of the DOE prototype building models.</w:t>
      </w:r>
    </w:p>
    <w:p w14:paraId="7AD77D05" w14:textId="29A09117" w:rsidR="5C138CAA" w:rsidRDefault="5C138CAA" w:rsidP="154D2ED2">
      <w:pPr>
        <w:pStyle w:val="Heading1"/>
      </w:pPr>
      <w:r w:rsidRPr="154D2ED2">
        <w:rPr>
          <w:rFonts w:eastAsia="Calibri"/>
        </w:rPr>
        <w:t>Infiltration</w:t>
      </w:r>
    </w:p>
    <w:p w14:paraId="53041510" w14:textId="7C7DE534" w:rsidR="1796B432" w:rsidRDefault="1796B432" w:rsidP="154D2ED2">
      <w:r>
        <w:t>Infiltration in ComStock models is calculated with this equation:</w:t>
      </w:r>
    </w:p>
    <w:p w14:paraId="2D75D2E0" w14:textId="49FD6B3D" w:rsidR="1796B432" w:rsidRDefault="1796B432" w:rsidP="154D2ED2">
      <w:r>
        <w:rPr>
          <w:noProof/>
        </w:rPr>
        <w:drawing>
          <wp:inline distT="0" distB="0" distL="0" distR="0" wp14:anchorId="7EDF3C1C" wp14:editId="0D19EDB9">
            <wp:extent cx="4572000" cy="447675"/>
            <wp:effectExtent l="0" t="0" r="0" b="0"/>
            <wp:docPr id="1095040763" name="Picture 109504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447675"/>
                    </a:xfrm>
                    <a:prstGeom prst="rect">
                      <a:avLst/>
                    </a:prstGeom>
                  </pic:spPr>
                </pic:pic>
              </a:graphicData>
            </a:graphic>
          </wp:inline>
        </w:drawing>
      </w:r>
    </w:p>
    <w:p w14:paraId="297A8156" w14:textId="164BB0D9" w:rsidR="1796B432" w:rsidRDefault="1796B432" w:rsidP="154D2ED2">
      <w:proofErr w:type="spellStart"/>
      <w:r>
        <w:t>I_design</w:t>
      </w:r>
      <w:proofErr w:type="spellEnd"/>
      <w:r>
        <w:t xml:space="preserve"> is the design infiltration flow rate</w:t>
      </w:r>
    </w:p>
    <w:p w14:paraId="6E3B6E1E" w14:textId="1CC34C2A" w:rsidR="1796B432" w:rsidRDefault="1796B432" w:rsidP="154D2ED2">
      <w:proofErr w:type="spellStart"/>
      <w:r>
        <w:t>F_schedule</w:t>
      </w:r>
      <w:proofErr w:type="spellEnd"/>
      <w:r>
        <w:t xml:space="preserve"> is a 0-1 factor schedule</w:t>
      </w:r>
    </w:p>
    <w:p w14:paraId="704513FD" w14:textId="47D4A72D" w:rsidR="1796B432" w:rsidRDefault="1796B432" w:rsidP="154D2ED2">
      <w:r>
        <w:t>A is a constant term</w:t>
      </w:r>
    </w:p>
    <w:p w14:paraId="6BB0318F" w14:textId="0C33C3DC" w:rsidR="1796B432" w:rsidRDefault="1796B432" w:rsidP="154D2ED2">
      <w:r>
        <w:t>B is a temperature dependent term based on the zone to outside air temperature difference</w:t>
      </w:r>
    </w:p>
    <w:p w14:paraId="0802F766" w14:textId="0D3B139B" w:rsidR="1796B432" w:rsidRDefault="1796B432" w:rsidP="154D2ED2">
      <w:r>
        <w:t>C is a wind speed term</w:t>
      </w:r>
    </w:p>
    <w:p w14:paraId="7974EC80" w14:textId="46E163EC" w:rsidR="1796B432" w:rsidRDefault="1796B432" w:rsidP="154D2ED2">
      <w:r>
        <w:t>D is a wind speed squared term</w:t>
      </w:r>
    </w:p>
    <w:p w14:paraId="20237EAB" w14:textId="09B04A0C" w:rsidR="00085B6F" w:rsidRDefault="004826D7" w:rsidP="00A761F6">
      <w:pPr>
        <w:pStyle w:val="Heading2"/>
        <w:rPr>
          <w:rFonts w:eastAsia="Calibri"/>
        </w:rPr>
      </w:pPr>
      <w:r w:rsidRPr="154D2ED2">
        <w:rPr>
          <w:rFonts w:eastAsia="Calibri"/>
        </w:rPr>
        <w:t>Existing Method</w:t>
      </w:r>
    </w:p>
    <w:p w14:paraId="368053C8" w14:textId="7E9D0F68" w:rsidR="55711DE3" w:rsidRDefault="55711DE3" w:rsidP="154D2ED2">
      <w:r>
        <w:t xml:space="preserve">Existing infiltration assumptions in ComStock come from the </w:t>
      </w:r>
      <w:proofErr w:type="spellStart"/>
      <w:r>
        <w:t>PNNl</w:t>
      </w:r>
      <w:proofErr w:type="spellEnd"/>
      <w:r>
        <w:t xml:space="preserve"> DOE Prototype buildings and are described in Gowri, Krishnan, Winiarski, David W, and Jarnagin, Ronald E. Infiltration modeling guidelines for commercial building energy analysis. United States: N. p., 2009. Web. doi:10.2172/968203.</w:t>
      </w:r>
    </w:p>
    <w:p w14:paraId="32F56C44" w14:textId="0970B488" w:rsidR="28841383" w:rsidRDefault="28841383" w:rsidP="154D2ED2">
      <w:pPr>
        <w:pStyle w:val="Heading3"/>
      </w:pPr>
      <w:r>
        <w:t>Existing Infiltration Rates</w:t>
      </w:r>
    </w:p>
    <w:p w14:paraId="4BF4EFF9" w14:textId="71FFE41D" w:rsidR="56BEE3BA" w:rsidRDefault="56BEE3BA" w:rsidP="154D2ED2">
      <w:r>
        <w:t>The infiltration rates</w:t>
      </w:r>
      <w:r w:rsidR="1563C8EC">
        <w:t xml:space="preserve"> </w:t>
      </w:r>
      <w:r>
        <w:t xml:space="preserve">are hard-coded in </w:t>
      </w:r>
      <w:proofErr w:type="spellStart"/>
      <w:r>
        <w:t>openstudio</w:t>
      </w:r>
      <w:proofErr w:type="spellEnd"/>
      <w:r>
        <w:t>-standards per standard, and ComStock doesn’t override them.  The values are 5-sided infiltration rates at 75 Pa.</w:t>
      </w:r>
      <w:r w:rsidR="768CDF87">
        <w:t xml:space="preserve"> </w:t>
      </w:r>
    </w:p>
    <w:p w14:paraId="137DCFAD" w14:textId="33EDE71F" w:rsidR="6BCE93F0" w:rsidRDefault="6BCE93F0" w:rsidP="42C534A9">
      <w:pPr>
        <w:jc w:val="center"/>
      </w:pPr>
      <w:r>
        <w:rPr>
          <w:noProof/>
        </w:rPr>
        <w:lastRenderedPageBreak/>
        <w:drawing>
          <wp:inline distT="0" distB="0" distL="0" distR="0" wp14:anchorId="6E14D2D0" wp14:editId="0C682DE5">
            <wp:extent cx="3448050" cy="2990850"/>
            <wp:effectExtent l="0" t="0" r="0" b="0"/>
            <wp:docPr id="1608345815" name="Picture 160834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345815"/>
                    <pic:cNvPicPr/>
                  </pic:nvPicPr>
                  <pic:blipFill>
                    <a:blip r:embed="rId9">
                      <a:extLst>
                        <a:ext uri="{28A0092B-C50C-407E-A947-70E740481C1C}">
                          <a14:useLocalDpi xmlns:a14="http://schemas.microsoft.com/office/drawing/2010/main" val="0"/>
                        </a:ext>
                      </a:extLst>
                    </a:blip>
                    <a:stretch>
                      <a:fillRect/>
                    </a:stretch>
                  </pic:blipFill>
                  <pic:spPr>
                    <a:xfrm>
                      <a:off x="0" y="0"/>
                      <a:ext cx="3448050" cy="2990850"/>
                    </a:xfrm>
                    <a:prstGeom prst="rect">
                      <a:avLst/>
                    </a:prstGeom>
                  </pic:spPr>
                </pic:pic>
              </a:graphicData>
            </a:graphic>
          </wp:inline>
        </w:drawing>
      </w:r>
    </w:p>
    <w:p w14:paraId="33262AB0" w14:textId="557FC56A" w:rsidR="4DA217B9" w:rsidRDefault="4DA217B9" w:rsidP="154D2ED2">
      <w:r>
        <w:t xml:space="preserve">Note that for comparison to the NIST data, 1.0 cfm/ft^2 = 18.23 m^3/hr-m^2.  The NIST data shows </w:t>
      </w:r>
      <w:r w:rsidRPr="154D2ED2">
        <w:rPr>
          <w:b/>
          <w:bCs/>
        </w:rPr>
        <w:t>6-sided</w:t>
      </w:r>
      <w:r>
        <w:t xml:space="preserve"> </w:t>
      </w:r>
      <w:r w:rsidR="45867F9E">
        <w:t xml:space="preserve">infiltration, while the PNNL numbers are for </w:t>
      </w:r>
      <w:r w:rsidR="45867F9E" w:rsidRPr="154D2ED2">
        <w:rPr>
          <w:b/>
          <w:bCs/>
        </w:rPr>
        <w:t>5-sided</w:t>
      </w:r>
      <w:r w:rsidR="45867F9E">
        <w:t xml:space="preserve"> infiltration.</w:t>
      </w:r>
    </w:p>
    <w:p w14:paraId="1EF96117" w14:textId="201C1A28" w:rsidR="169D91A2" w:rsidRDefault="169D91A2" w:rsidP="154D2ED2">
      <w:r>
        <w:t xml:space="preserve">The PNNL values also assume a </w:t>
      </w:r>
      <w:r w:rsidR="611CA8CF">
        <w:t xml:space="preserve">natural </w:t>
      </w:r>
      <w:r>
        <w:t>pressure of 1.906 Pa</w:t>
      </w:r>
      <w:r w:rsidR="25A3F243">
        <w:t xml:space="preserve"> for the design infiltration rate.</w:t>
      </w:r>
    </w:p>
    <w:p w14:paraId="3F2DF64A" w14:textId="5E928DEC" w:rsidR="7A82E99E" w:rsidRDefault="7A82E99E" w:rsidP="154D2ED2">
      <w:pPr>
        <w:rPr>
          <w:i/>
          <w:iCs/>
        </w:rPr>
      </w:pPr>
      <w:r w:rsidRPr="154D2ED2">
        <w:rPr>
          <w:i/>
          <w:iCs/>
        </w:rPr>
        <w:t xml:space="preserve">Ultimately, the </w:t>
      </w:r>
      <w:r w:rsidR="0069479D">
        <w:rPr>
          <w:i/>
          <w:iCs/>
        </w:rPr>
        <w:t>natural pressure value is</w:t>
      </w:r>
      <w:r w:rsidR="2A22664E" w:rsidRPr="154D2ED2">
        <w:rPr>
          <w:i/>
          <w:iCs/>
        </w:rPr>
        <w:t xml:space="preserve"> arbitrary – and will change depending on a range of circumstances.  What matters is </w:t>
      </w:r>
      <w:r w:rsidR="00337DEB">
        <w:rPr>
          <w:i/>
          <w:iCs/>
        </w:rPr>
        <w:t xml:space="preserve">that </w:t>
      </w:r>
      <w:r w:rsidR="2A22664E" w:rsidRPr="154D2ED2">
        <w:rPr>
          <w:i/>
          <w:iCs/>
        </w:rPr>
        <w:t>the design pressure and coefficients</w:t>
      </w:r>
      <w:r w:rsidR="7F140099" w:rsidRPr="154D2ED2">
        <w:rPr>
          <w:i/>
          <w:iCs/>
        </w:rPr>
        <w:t xml:space="preserve"> were calculated together and are dependent on each other.  As an imperfect </w:t>
      </w:r>
      <w:r w:rsidR="000A7E7E">
        <w:rPr>
          <w:i/>
          <w:iCs/>
        </w:rPr>
        <w:t>similar input</w:t>
      </w:r>
      <w:r w:rsidR="7F140099" w:rsidRPr="154D2ED2">
        <w:rPr>
          <w:i/>
          <w:iCs/>
        </w:rPr>
        <w:t>, we c</w:t>
      </w:r>
      <w:r w:rsidR="1D0B5864" w:rsidRPr="154D2ED2">
        <w:rPr>
          <w:i/>
          <w:iCs/>
        </w:rPr>
        <w:t>ould</w:t>
      </w:r>
      <w:r w:rsidR="7F140099" w:rsidRPr="154D2ED2">
        <w:rPr>
          <w:i/>
          <w:iCs/>
        </w:rPr>
        <w:t xml:space="preserve"> assume all our models have </w:t>
      </w:r>
      <w:r w:rsidR="0A5BC75A" w:rsidRPr="154D2ED2">
        <w:rPr>
          <w:i/>
          <w:iCs/>
        </w:rPr>
        <w:t>50</w:t>
      </w:r>
      <w:r w:rsidR="7F140099" w:rsidRPr="154D2ED2">
        <w:rPr>
          <w:i/>
          <w:iCs/>
        </w:rPr>
        <w:t xml:space="preserve"> W/ft^2 of equipment load, </w:t>
      </w:r>
      <w:proofErr w:type="gramStart"/>
      <w:r w:rsidR="7F140099" w:rsidRPr="154D2ED2">
        <w:rPr>
          <w:i/>
          <w:iCs/>
        </w:rPr>
        <w:t>as long as</w:t>
      </w:r>
      <w:proofErr w:type="gramEnd"/>
      <w:r w:rsidR="7F140099" w:rsidRPr="154D2ED2">
        <w:rPr>
          <w:i/>
          <w:iCs/>
        </w:rPr>
        <w:t xml:space="preserve"> </w:t>
      </w:r>
      <w:r w:rsidR="4900AC8B" w:rsidRPr="154D2ED2">
        <w:rPr>
          <w:i/>
          <w:iCs/>
        </w:rPr>
        <w:t xml:space="preserve">they are only used with </w:t>
      </w:r>
      <w:r w:rsidR="4732EB96" w:rsidRPr="154D2ED2">
        <w:rPr>
          <w:i/>
          <w:iCs/>
        </w:rPr>
        <w:t xml:space="preserve">design and annual </w:t>
      </w:r>
      <w:r w:rsidR="0902BAB9" w:rsidRPr="154D2ED2">
        <w:rPr>
          <w:i/>
          <w:iCs/>
        </w:rPr>
        <w:t xml:space="preserve">schedules </w:t>
      </w:r>
      <w:r w:rsidR="3EEC8D47" w:rsidRPr="154D2ED2">
        <w:rPr>
          <w:i/>
          <w:iCs/>
        </w:rPr>
        <w:t xml:space="preserve">fractional schedules </w:t>
      </w:r>
      <w:r w:rsidR="0E087CA8" w:rsidRPr="154D2ED2">
        <w:rPr>
          <w:i/>
          <w:iCs/>
        </w:rPr>
        <w:t xml:space="preserve">that </w:t>
      </w:r>
      <w:r w:rsidR="3EEC8D47" w:rsidRPr="154D2ED2">
        <w:rPr>
          <w:i/>
          <w:iCs/>
        </w:rPr>
        <w:t>peak out around 0.01</w:t>
      </w:r>
      <w:r w:rsidR="0902BAB9" w:rsidRPr="154D2ED2">
        <w:rPr>
          <w:i/>
          <w:iCs/>
        </w:rPr>
        <w:t>.</w:t>
      </w:r>
      <w:r w:rsidR="2A22664E" w:rsidRPr="154D2ED2">
        <w:rPr>
          <w:i/>
          <w:iCs/>
        </w:rPr>
        <w:t xml:space="preserve"> </w:t>
      </w:r>
    </w:p>
    <w:p w14:paraId="4DF94A24" w14:textId="7B9FF74C" w:rsidR="28841383" w:rsidRDefault="28841383" w:rsidP="154D2ED2">
      <w:pPr>
        <w:pStyle w:val="Heading3"/>
      </w:pPr>
      <w:r>
        <w:t>Existing Infiltration Coefficients</w:t>
      </w:r>
    </w:p>
    <w:p w14:paraId="38C71A67" w14:textId="4B1DC1AE" w:rsidR="5309CE59" w:rsidRDefault="5309CE59" w:rsidP="154D2ED2">
      <w:r>
        <w:t>Existing ComStock models us</w:t>
      </w:r>
      <w:r w:rsidR="1ED97666">
        <w:t>e</w:t>
      </w:r>
      <w:r>
        <w:t xml:space="preserve"> </w:t>
      </w:r>
      <w:r w:rsidR="5BC1BC0F">
        <w:t xml:space="preserve">only </w:t>
      </w:r>
      <w:r w:rsidR="000A7E7E">
        <w:t xml:space="preserve">the </w:t>
      </w:r>
      <w:r w:rsidR="5BC1BC0F">
        <w:t>‘C=0.224’ term for wind driven infiltration</w:t>
      </w:r>
      <w:r w:rsidR="41AC96F1">
        <w:t xml:space="preserve"> with A=B=D=0</w:t>
      </w:r>
      <w:r w:rsidR="5BC1BC0F">
        <w:t xml:space="preserve">.  </w:t>
      </w:r>
      <w:r w:rsidR="69EBA1BB">
        <w:t xml:space="preserve">Why? </w:t>
      </w:r>
      <w:proofErr w:type="gramStart"/>
      <w:r w:rsidR="69EBA1BB">
        <w:t>Well</w:t>
      </w:r>
      <w:proofErr w:type="gramEnd"/>
      <w:r w:rsidR="69EBA1BB">
        <w:t xml:space="preserve"> that’s what DOE-2 uses. No idea</w:t>
      </w:r>
      <w:r w:rsidR="5BC1BC0F">
        <w:t xml:space="preserve"> </w:t>
      </w:r>
      <w:r w:rsidR="6752DD06">
        <w:t>why PNNL chose to stick with it – maybe it was easiest to make the regressions for?</w:t>
      </w:r>
    </w:p>
    <w:p w14:paraId="4A199FED" w14:textId="7DEA05DC" w:rsidR="5BB03D95" w:rsidRDefault="5BB03D95" w:rsidP="154D2ED2">
      <w:r>
        <w:t>The coefficients matter more – without a temperature term, there is no stack driven infiltration.</w:t>
      </w:r>
    </w:p>
    <w:p w14:paraId="0EEF3806" w14:textId="77777777" w:rsidR="007A4971" w:rsidRDefault="004826D7" w:rsidP="007A4971">
      <w:pPr>
        <w:pStyle w:val="Heading2"/>
        <w:rPr>
          <w:rFonts w:eastAsia="Calibri"/>
        </w:rPr>
      </w:pPr>
      <w:r w:rsidRPr="154D2ED2">
        <w:rPr>
          <w:rFonts w:eastAsia="Calibri"/>
        </w:rPr>
        <w:t>New Method</w:t>
      </w:r>
    </w:p>
    <w:p w14:paraId="46FDE962" w14:textId="6EB6CAAF" w:rsidR="46C06FF6" w:rsidRDefault="46C06FF6" w:rsidP="154D2ED2">
      <w:r>
        <w:t xml:space="preserve">The new method is implemented by adding a step to the workflow </w:t>
      </w:r>
      <w:proofErr w:type="spellStart"/>
      <w:r>
        <w:t>set_nist_infiltration_correlations</w:t>
      </w:r>
      <w:proofErr w:type="spellEnd"/>
      <w:r>
        <w:t xml:space="preserve"> after new wall construction types are applied.  The measure is separately posted on the model articulation gem repo as a replacement to NIST’s previous measure on BCL, which no longer works</w:t>
      </w:r>
      <w:r w:rsidR="450B6E3F">
        <w:t xml:space="preserve"> in recent OpenStudio versions. The measure is stand-alone and the measure description covers much of the explanation below.</w:t>
      </w:r>
    </w:p>
    <w:p w14:paraId="6C176632" w14:textId="22180C27" w:rsidR="1D10FC1A" w:rsidRDefault="1D10FC1A" w:rsidP="154D2ED2">
      <w:pPr>
        <w:pStyle w:val="Heading3"/>
      </w:pPr>
      <w:r>
        <w:t>Changes to Infiltration Rates</w:t>
      </w:r>
    </w:p>
    <w:p w14:paraId="7FB7A1FC" w14:textId="233C0BFD" w:rsidR="1D10FC1A" w:rsidRDefault="1D10FC1A" w:rsidP="154D2ED2">
      <w:pPr>
        <w:rPr>
          <w:rFonts w:cs="Calibri"/>
        </w:rPr>
      </w:pPr>
      <w:r>
        <w:t xml:space="preserve">The model no longer uses a direct design infiltration rate.  Instead, the design infiltration rate is calculated from airtightness data from </w:t>
      </w:r>
      <w:r w:rsidRPr="42C534A9">
        <w:rPr>
          <w:rFonts w:cs="Calibri"/>
        </w:rPr>
        <w:t xml:space="preserve">Steven J Emmerich &amp; Andrew K Persily (2014) Analysis of U.S. </w:t>
      </w:r>
      <w:r w:rsidRPr="42C534A9">
        <w:rPr>
          <w:rFonts w:cs="Calibri"/>
        </w:rPr>
        <w:lastRenderedPageBreak/>
        <w:t xml:space="preserve">Commercial Building Envelope Air Leakage Database to Support Sustainable Building Design, International Journal of Ventilation, 12:4, 331-344, DOI: </w:t>
      </w:r>
      <w:hyperlink r:id="rId10">
        <w:r w:rsidRPr="42C534A9">
          <w:rPr>
            <w:rStyle w:val="Hyperlink"/>
            <w:rFonts w:cs="Calibri"/>
          </w:rPr>
          <w:t>10.1080/14733315.2014.11684027</w:t>
        </w:r>
      </w:hyperlink>
      <w:r w:rsidRPr="42C534A9">
        <w:rPr>
          <w:rFonts w:cs="Calibri"/>
        </w:rPr>
        <w:t>.  The most significant variation is by wall construction type, shown in Figure 6 in th</w:t>
      </w:r>
      <w:r w:rsidR="5BB5E14B" w:rsidRPr="42C534A9">
        <w:rPr>
          <w:rFonts w:cs="Calibri"/>
        </w:rPr>
        <w:t>e NIST</w:t>
      </w:r>
      <w:r w:rsidRPr="42C534A9">
        <w:rPr>
          <w:rFonts w:cs="Calibri"/>
        </w:rPr>
        <w:t xml:space="preserve"> article</w:t>
      </w:r>
      <w:r w:rsidR="4C6EC9DF" w:rsidRPr="42C534A9">
        <w:rPr>
          <w:rFonts w:cs="Calibri"/>
        </w:rPr>
        <w:t xml:space="preserve">.  </w:t>
      </w:r>
      <w:r w:rsidR="008E1F99" w:rsidRPr="42C534A9">
        <w:rPr>
          <w:rFonts w:cs="Calibri"/>
        </w:rPr>
        <w:t>Building</w:t>
      </w:r>
      <w:r w:rsidR="4C6EC9DF" w:rsidRPr="42C534A9">
        <w:rPr>
          <w:rFonts w:cs="Calibri"/>
        </w:rPr>
        <w:t xml:space="preserve"> type and vintage are not predictive.  Size is</w:t>
      </w:r>
      <w:r w:rsidR="4158F78C" w:rsidRPr="42C534A9">
        <w:rPr>
          <w:rFonts w:cs="Calibri"/>
        </w:rPr>
        <w:t xml:space="preserve"> predictive</w:t>
      </w:r>
      <w:r w:rsidR="4C6EC9DF" w:rsidRPr="42C534A9">
        <w:rPr>
          <w:rFonts w:cs="Calibri"/>
        </w:rPr>
        <w:t xml:space="preserve">, but this is </w:t>
      </w:r>
      <w:r w:rsidR="7BBF5FEC" w:rsidRPr="42C534A9">
        <w:rPr>
          <w:rFonts w:cs="Calibri"/>
        </w:rPr>
        <w:t xml:space="preserve">a function of </w:t>
      </w:r>
      <w:r w:rsidR="4C6EC9DF" w:rsidRPr="42C534A9">
        <w:rPr>
          <w:rFonts w:cs="Calibri"/>
        </w:rPr>
        <w:t xml:space="preserve">larger buildings having a smaller surface area to volume ratio. Whether the building has an air barrier or not is predictive, but there is no way of </w:t>
      </w:r>
      <w:r w:rsidR="0006578E" w:rsidRPr="42C534A9">
        <w:rPr>
          <w:rFonts w:cs="Calibri"/>
        </w:rPr>
        <w:t>knowing</w:t>
      </w:r>
      <w:r w:rsidR="4DB7E4EE" w:rsidRPr="42C534A9">
        <w:rPr>
          <w:rFonts w:cs="Calibri"/>
        </w:rPr>
        <w:t xml:space="preserve"> that in advance. Lisa Ng at NIST recommended using wall construction </w:t>
      </w:r>
      <w:r w:rsidR="0006578E" w:rsidRPr="42C534A9">
        <w:rPr>
          <w:rFonts w:cs="Calibri"/>
        </w:rPr>
        <w:t>alone and</w:t>
      </w:r>
      <w:r w:rsidR="4DB7E4EE" w:rsidRPr="42C534A9">
        <w:rPr>
          <w:rFonts w:cs="Calibri"/>
        </w:rPr>
        <w:t xml:space="preserve"> going with the 6-sided airtightness data from Figure 6 in the 2014 paper.  NIST has since collected a lot more airtightness </w:t>
      </w:r>
      <w:r w:rsidR="0006578E" w:rsidRPr="42C534A9">
        <w:rPr>
          <w:rFonts w:cs="Calibri"/>
        </w:rPr>
        <w:t>data but</w:t>
      </w:r>
      <w:r w:rsidR="4DB7E4EE" w:rsidRPr="42C534A9">
        <w:rPr>
          <w:rFonts w:cs="Calibri"/>
        </w:rPr>
        <w:t xml:space="preserve"> isn’t able to share it </w:t>
      </w:r>
      <w:r w:rsidR="05F633BC" w:rsidRPr="42C534A9">
        <w:rPr>
          <w:rFonts w:cs="Calibri"/>
        </w:rPr>
        <w:t>yet.</w:t>
      </w:r>
      <w:r w:rsidRPr="42C534A9">
        <w:rPr>
          <w:rFonts w:cs="Calibri"/>
        </w:rPr>
        <w:t xml:space="preserve">  In the meantime, it’s assumed that the airtightness distributions follow a lognormal distribution</w:t>
      </w:r>
      <w:r w:rsidR="0006578E" w:rsidRPr="42C534A9">
        <w:rPr>
          <w:rFonts w:cs="Calibri"/>
        </w:rPr>
        <w:t xml:space="preserve"> with means from </w:t>
      </w:r>
      <w:r w:rsidR="00F10E43" w:rsidRPr="42C534A9">
        <w:rPr>
          <w:rFonts w:cs="Calibri"/>
        </w:rPr>
        <w:t xml:space="preserve">Figure 6 in </w:t>
      </w:r>
      <w:r w:rsidR="0006578E" w:rsidRPr="42C534A9">
        <w:rPr>
          <w:rFonts w:cs="Calibri"/>
        </w:rPr>
        <w:t>the 2014 paper</w:t>
      </w:r>
      <w:r w:rsidRPr="42C534A9">
        <w:rPr>
          <w:rFonts w:cs="Calibri"/>
        </w:rPr>
        <w:t xml:space="preserve">, </w:t>
      </w:r>
      <w:r w:rsidR="37DC6FCB" w:rsidRPr="42C534A9">
        <w:rPr>
          <w:rFonts w:cs="Calibri"/>
        </w:rPr>
        <w:t xml:space="preserve">as shown in </w:t>
      </w:r>
      <w:r w:rsidR="00A77BFC">
        <w:rPr>
          <w:rFonts w:cs="Calibri"/>
        </w:rPr>
        <w:fldChar w:fldCharType="begin"/>
      </w:r>
      <w:r w:rsidR="00A77BFC">
        <w:rPr>
          <w:rFonts w:cs="Calibri"/>
        </w:rPr>
        <w:instrText xml:space="preserve"> REF _Ref132776140 \h </w:instrText>
      </w:r>
      <w:r w:rsidR="00A77BFC">
        <w:rPr>
          <w:rFonts w:cs="Calibri"/>
        </w:rPr>
      </w:r>
      <w:r w:rsidR="00A77BFC">
        <w:rPr>
          <w:rFonts w:cs="Calibri"/>
        </w:rPr>
        <w:fldChar w:fldCharType="separate"/>
      </w:r>
      <w:r w:rsidR="00A77BFC">
        <w:t xml:space="preserve">Figure </w:t>
      </w:r>
      <w:r w:rsidR="00A77BFC">
        <w:rPr>
          <w:noProof/>
        </w:rPr>
        <w:t>1</w:t>
      </w:r>
      <w:r w:rsidR="00A77BFC">
        <w:rPr>
          <w:rFonts w:cs="Calibri"/>
        </w:rPr>
        <w:fldChar w:fldCharType="end"/>
      </w:r>
      <w:r w:rsidR="00A77BFC">
        <w:rPr>
          <w:rFonts w:cs="Calibri"/>
        </w:rPr>
        <w:t xml:space="preserve"> </w:t>
      </w:r>
      <w:r w:rsidR="37DC6FCB" w:rsidRPr="42C534A9">
        <w:rPr>
          <w:rFonts w:cs="Calibri"/>
        </w:rPr>
        <w:t xml:space="preserve">below, and as </w:t>
      </w:r>
      <w:r w:rsidRPr="42C534A9">
        <w:rPr>
          <w:rFonts w:cs="Calibri"/>
        </w:rPr>
        <w:t xml:space="preserve">calculated </w:t>
      </w:r>
      <w:r w:rsidR="56397B67" w:rsidRPr="42C534A9">
        <w:rPr>
          <w:rFonts w:cs="Calibri"/>
        </w:rPr>
        <w:t>using</w:t>
      </w:r>
      <w:r w:rsidRPr="42C534A9">
        <w:rPr>
          <w:rFonts w:cs="Calibri"/>
        </w:rPr>
        <w:t xml:space="preserve"> this spreadsheet: </w:t>
      </w:r>
      <w:hyperlink r:id="rId11">
        <w:r w:rsidRPr="42C534A9">
          <w:rPr>
            <w:rStyle w:val="Hyperlink"/>
            <w:rFonts w:cs="Calibri"/>
          </w:rPr>
          <w:t>https://nrel.sharepoint.com/:x:/r/sites/comstock/Shared%20Documents/ComStock%20Filing%20Cabinet/Efforts/ComStock%20Core/Infiltration/comstock_infiltration_distributions.xlsx?d=w6b42e16e5fc24dadbd4e2a7698d58a1b&amp;csf=1&amp;web=1&amp;e=tLehS7</w:t>
        </w:r>
      </w:hyperlink>
    </w:p>
    <w:p w14:paraId="2B7CD3E9" w14:textId="47FC34B0" w:rsidR="0DD7F6D1" w:rsidRDefault="0DD7F6D1" w:rsidP="00A77BFC">
      <w:pPr>
        <w:jc w:val="center"/>
      </w:pPr>
      <w:r>
        <w:rPr>
          <w:noProof/>
        </w:rPr>
        <w:drawing>
          <wp:inline distT="0" distB="0" distL="0" distR="0" wp14:anchorId="0770B214" wp14:editId="1AC8BD65">
            <wp:extent cx="4572000" cy="2609850"/>
            <wp:effectExtent l="0" t="0" r="0" b="0"/>
            <wp:docPr id="1431391980" name="Picture 143139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2609850"/>
                    </a:xfrm>
                    <a:prstGeom prst="rect">
                      <a:avLst/>
                    </a:prstGeom>
                  </pic:spPr>
                </pic:pic>
              </a:graphicData>
            </a:graphic>
          </wp:inline>
        </w:drawing>
      </w:r>
    </w:p>
    <w:p w14:paraId="60D9805E" w14:textId="579A3DDE" w:rsidR="00A77BFC" w:rsidRDefault="00A77BFC" w:rsidP="00A77BFC">
      <w:pPr>
        <w:pStyle w:val="Caption"/>
        <w:jc w:val="center"/>
      </w:pPr>
      <w:bookmarkStart w:id="0" w:name="_Ref132776140"/>
      <w:r>
        <w:t xml:space="preserve">Figure </w:t>
      </w:r>
      <w:r>
        <w:fldChar w:fldCharType="begin"/>
      </w:r>
      <w:r>
        <w:instrText>SEQ Figure \* ARABIC</w:instrText>
      </w:r>
      <w:r>
        <w:fldChar w:fldCharType="separate"/>
      </w:r>
      <w:r w:rsidR="00D7581E">
        <w:rPr>
          <w:noProof/>
        </w:rPr>
        <w:t>1</w:t>
      </w:r>
      <w:r>
        <w:fldChar w:fldCharType="end"/>
      </w:r>
      <w:bookmarkEnd w:id="0"/>
      <w:r>
        <w:t>. Distributions of Airtightness by Construction Type</w:t>
      </w:r>
    </w:p>
    <w:p w14:paraId="73527D6F" w14:textId="7971829F" w:rsidR="0C5CCA20" w:rsidRDefault="0C5CCA20" w:rsidP="154D2ED2">
      <w:pPr>
        <w:rPr>
          <w:rFonts w:cs="Calibri"/>
        </w:rPr>
      </w:pPr>
      <w:r w:rsidRPr="154D2ED2">
        <w:rPr>
          <w:rFonts w:cs="Calibri"/>
        </w:rPr>
        <w:t>The design infiltration rate is calculated as:</w:t>
      </w:r>
    </w:p>
    <w:p w14:paraId="5B4251CB" w14:textId="2645FC9A" w:rsidR="0C5CCA20" w:rsidRDefault="0C5CCA20">
      <w:r w:rsidRPr="42C534A9">
        <w:rPr>
          <w:rFonts w:cs="Calibri"/>
        </w:rPr>
        <w:t>airtightness_value_</w:t>
      </w:r>
      <w:r w:rsidR="60E1EA18" w:rsidRPr="42C534A9">
        <w:rPr>
          <w:rFonts w:cs="Calibri"/>
        </w:rPr>
        <w:t>m3_per_hr_per_m2_at_</w:t>
      </w:r>
      <w:r w:rsidRPr="42C534A9">
        <w:rPr>
          <w:rFonts w:cs="Calibri"/>
        </w:rPr>
        <w:t xml:space="preserve">4pa = </w:t>
      </w:r>
      <w:proofErr w:type="spellStart"/>
      <w:r w:rsidRPr="42C534A9">
        <w:rPr>
          <w:rFonts w:cs="Calibri"/>
        </w:rPr>
        <w:t>airtightness_</w:t>
      </w:r>
      <w:proofErr w:type="gramStart"/>
      <w:r w:rsidRPr="42C534A9">
        <w:rPr>
          <w:rFonts w:cs="Calibri"/>
        </w:rPr>
        <w:t>value</w:t>
      </w:r>
      <w:proofErr w:type="spellEnd"/>
      <w:r w:rsidRPr="42C534A9">
        <w:rPr>
          <w:rFonts w:cs="Calibri"/>
        </w:rPr>
        <w:t xml:space="preserve"> * (</w:t>
      </w:r>
      <w:proofErr w:type="gramEnd"/>
      <w:r w:rsidRPr="42C534A9">
        <w:rPr>
          <w:rFonts w:cs="Calibri"/>
        </w:rPr>
        <w:t xml:space="preserve">(4.0 / </w:t>
      </w:r>
      <w:proofErr w:type="gramStart"/>
      <w:r w:rsidRPr="42C534A9">
        <w:rPr>
          <w:rFonts w:cs="Calibri"/>
        </w:rPr>
        <w:t>75.0)*</w:t>
      </w:r>
      <w:proofErr w:type="gramEnd"/>
      <w:r w:rsidRPr="42C534A9">
        <w:rPr>
          <w:rFonts w:cs="Calibri"/>
        </w:rPr>
        <w:t>*0.65)</w:t>
      </w:r>
    </w:p>
    <w:p w14:paraId="2F12D4F2" w14:textId="5722E652" w:rsidR="0C5CCA20" w:rsidRDefault="0C5CCA20" w:rsidP="154D2ED2">
      <w:r>
        <w:t xml:space="preserve">Where the </w:t>
      </w:r>
      <w:proofErr w:type="spellStart"/>
      <w:r>
        <w:t>airtightness_value</w:t>
      </w:r>
      <w:proofErr w:type="spellEnd"/>
      <w:r>
        <w:t xml:space="preserve"> is the 6-sided air leakage rate at 75 Pa.</w:t>
      </w:r>
    </w:p>
    <w:p w14:paraId="01BFECB2" w14:textId="43686104" w:rsidR="0C5CCA20" w:rsidRDefault="0C5CCA20" w:rsidP="154D2ED2">
      <w:r>
        <w:t>The design infiltration rate is further adjusted to translate it to a 5-sided infiltration rate in m^3/s-m^2</w:t>
      </w:r>
      <w:r w:rsidR="2A5421EA">
        <w:t xml:space="preserve"> required by EnergyPlus.  EnergyPlus does not treat ground conditions as exterior for the purposes of calculated in the infiltration rate by exterior area, thus the need to do the surface area adjustment. The calculation is commented extensively in the measure.</w:t>
      </w:r>
    </w:p>
    <w:p w14:paraId="670894B3" w14:textId="5E204D2B" w:rsidR="00A77BFC" w:rsidRDefault="00A77BFC" w:rsidP="00A77BFC">
      <w:r>
        <w:t xml:space="preserve">Looking at the distribution of airtightness values in the final models on a weighted floor area basis </w:t>
      </w:r>
      <w:r>
        <w:fldChar w:fldCharType="begin"/>
      </w:r>
      <w:r>
        <w:instrText xml:space="preserve"> REF _Ref132776044 \h </w:instrText>
      </w:r>
      <w:r>
        <w:fldChar w:fldCharType="separate"/>
      </w:r>
      <w:r>
        <w:fldChar w:fldCharType="end"/>
      </w:r>
      <w:r>
        <w:fldChar w:fldCharType="begin"/>
      </w:r>
      <w:r>
        <w:instrText xml:space="preserve"> REF _Ref132776049 \h </w:instrText>
      </w:r>
      <w:r>
        <w:fldChar w:fldCharType="separate"/>
      </w:r>
      <w:r>
        <w:t xml:space="preserve">Figure </w:t>
      </w:r>
      <w:r>
        <w:rPr>
          <w:noProof/>
        </w:rPr>
        <w:t>5</w:t>
      </w:r>
      <w:r>
        <w:fldChar w:fldCharType="end"/>
      </w:r>
      <w:r>
        <w:t xml:space="preserve"> shows that </w:t>
      </w:r>
      <w:r w:rsidR="00E674A6">
        <w:t>the distributions match the input probability distributions as expected.</w:t>
      </w:r>
    </w:p>
    <w:p w14:paraId="660BA011" w14:textId="77777777" w:rsidR="00A77BFC" w:rsidRDefault="00A77BFC" w:rsidP="154D2ED2"/>
    <w:p w14:paraId="47DBC4D9" w14:textId="77777777" w:rsidR="00A77BFC" w:rsidRDefault="00A77BFC" w:rsidP="00A77BFC">
      <w:pPr>
        <w:keepNext/>
      </w:pPr>
      <w:r>
        <w:rPr>
          <w:noProof/>
        </w:rPr>
        <w:lastRenderedPageBreak/>
        <w:drawing>
          <wp:inline distT="0" distB="0" distL="0" distR="0" wp14:anchorId="1C163655" wp14:editId="1B2F2AFB">
            <wp:extent cx="5875529" cy="6005080"/>
            <wp:effectExtent l="0" t="0" r="0" b="0"/>
            <wp:docPr id="1" name="Picture 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waterfall chart&#10;&#10;Description automatically generated"/>
                    <pic:cNvPicPr/>
                  </pic:nvPicPr>
                  <pic:blipFill>
                    <a:blip r:embed="rId13"/>
                    <a:stretch>
                      <a:fillRect/>
                    </a:stretch>
                  </pic:blipFill>
                  <pic:spPr>
                    <a:xfrm>
                      <a:off x="0" y="0"/>
                      <a:ext cx="5875529" cy="6005080"/>
                    </a:xfrm>
                    <a:prstGeom prst="rect">
                      <a:avLst/>
                    </a:prstGeom>
                  </pic:spPr>
                </pic:pic>
              </a:graphicData>
            </a:graphic>
          </wp:inline>
        </w:drawing>
      </w:r>
    </w:p>
    <w:p w14:paraId="551B86FB" w14:textId="3CB69BBC" w:rsidR="00A77BFC" w:rsidRPr="00970031" w:rsidRDefault="00A77BFC" w:rsidP="00A77BFC">
      <w:pPr>
        <w:pStyle w:val="Caption"/>
        <w:jc w:val="center"/>
      </w:pPr>
      <w:bookmarkStart w:id="1" w:name="_Ref132776049"/>
      <w:bookmarkStart w:id="2" w:name="_Ref132776044"/>
      <w:r>
        <w:t xml:space="preserve">Figure </w:t>
      </w:r>
      <w:fldSimple w:instr=" SEQ Figure \* ARABIC ">
        <w:r w:rsidR="00D7581E">
          <w:rPr>
            <w:noProof/>
          </w:rPr>
          <w:t>2</w:t>
        </w:r>
      </w:fldSimple>
      <w:bookmarkEnd w:id="1"/>
      <w:r>
        <w:t>. Distribution of Airtightness in Models</w:t>
      </w:r>
      <w:bookmarkEnd w:id="2"/>
    </w:p>
    <w:p w14:paraId="649B3FBF" w14:textId="77777777" w:rsidR="00A77BFC" w:rsidRDefault="00A77BFC" w:rsidP="154D2ED2"/>
    <w:p w14:paraId="40F6670A" w14:textId="77777777" w:rsidR="00A77BFC" w:rsidRDefault="00A77BFC" w:rsidP="154D2ED2"/>
    <w:p w14:paraId="65CD7100" w14:textId="7FE00176" w:rsidR="2A5421EA" w:rsidRDefault="2A5421EA" w:rsidP="154D2ED2">
      <w:pPr>
        <w:pStyle w:val="Heading4"/>
        <w:rPr>
          <w:i w:val="0"/>
          <w:iCs w:val="0"/>
        </w:rPr>
      </w:pPr>
      <w:r w:rsidRPr="154D2ED2">
        <w:rPr>
          <w:i w:val="0"/>
          <w:iCs w:val="0"/>
        </w:rPr>
        <w:t>Changes to Infiltration Coefficients</w:t>
      </w:r>
      <w:r w:rsidR="0C5CCA20" w:rsidRPr="154D2ED2">
        <w:rPr>
          <w:i w:val="0"/>
          <w:iCs w:val="0"/>
        </w:rPr>
        <w:t xml:space="preserve"> </w:t>
      </w:r>
    </w:p>
    <w:p w14:paraId="63830936" w14:textId="41AD9491" w:rsidR="6CDA6897" w:rsidRDefault="5A6279D9">
      <w:r>
        <w:t xml:space="preserve">ComStock has been changed to use the </w:t>
      </w:r>
      <w:r w:rsidR="6CDA6897">
        <w:t xml:space="preserve">NIST derived coefficients by </w:t>
      </w:r>
      <w:r w:rsidR="5EDC6C3A">
        <w:t xml:space="preserve">building CONTAM models of all of the DOE prototype buildings, </w:t>
      </w:r>
      <w:r w:rsidR="4DFAF176">
        <w:t xml:space="preserve">presented in Table 2 </w:t>
      </w:r>
      <w:r w:rsidR="47A6FD04">
        <w:t>in this article</w:t>
      </w:r>
      <w:r w:rsidR="5EDC6C3A">
        <w:t xml:space="preserve">: </w:t>
      </w:r>
      <w:r w:rsidR="4A7DD4FC" w:rsidRPr="42C534A9">
        <w:rPr>
          <w:rFonts w:cs="Calibri"/>
        </w:rPr>
        <w:t xml:space="preserve">Ng, L. , Dols, W. and Emmerich, S. (2021), Evaluating Potential Benefits of Air Barriers in Commercial Buildings using NIST Infiltration Correlations in EnergyPlus, Building and Environment, [online], </w:t>
      </w:r>
      <w:r w:rsidR="4A7DD4FC" w:rsidRPr="42C534A9">
        <w:rPr>
          <w:rFonts w:cs="Calibri"/>
        </w:rPr>
        <w:lastRenderedPageBreak/>
        <w:t xml:space="preserve">https://doi.org/10.1016/j.buildenv.2021.107783, </w:t>
      </w:r>
      <w:hyperlink r:id="rId14">
        <w:r w:rsidR="4A7DD4FC" w:rsidRPr="42C534A9">
          <w:rPr>
            <w:rStyle w:val="Hyperlink"/>
            <w:rFonts w:cs="Calibri"/>
          </w:rPr>
          <w:t>https://tsapps.nist.gov/publication/get_pdf.cfm?pub_id=931112</w:t>
        </w:r>
      </w:hyperlink>
      <w:r w:rsidR="6993395D" w:rsidRPr="42C534A9">
        <w:rPr>
          <w:rFonts w:cs="Calibri"/>
        </w:rPr>
        <w:t>.  The table included here:</w:t>
      </w:r>
    </w:p>
    <w:p w14:paraId="1B1E51C9" w14:textId="4E19D365" w:rsidR="433F2FF3" w:rsidRDefault="33426A43" w:rsidP="42C534A9">
      <w:pPr>
        <w:jc w:val="center"/>
        <w:rPr>
          <w:rFonts w:cs="Calibri"/>
        </w:rPr>
      </w:pPr>
      <w:r>
        <w:rPr>
          <w:noProof/>
        </w:rPr>
        <w:drawing>
          <wp:inline distT="0" distB="0" distL="0" distR="0" wp14:anchorId="68BCF1AB" wp14:editId="6ED5B726">
            <wp:extent cx="6134100" cy="1456849"/>
            <wp:effectExtent l="0" t="0" r="0" b="0"/>
            <wp:docPr id="1276985804" name="Picture 127698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34100" cy="1456849"/>
                    </a:xfrm>
                    <a:prstGeom prst="rect">
                      <a:avLst/>
                    </a:prstGeom>
                  </pic:spPr>
                </pic:pic>
              </a:graphicData>
            </a:graphic>
          </wp:inline>
        </w:drawing>
      </w:r>
      <w:r w:rsidR="433F2FF3" w:rsidRPr="42C534A9">
        <w:rPr>
          <w:rFonts w:cs="Calibri"/>
        </w:rPr>
        <w:t>The coefficients are calibrated such that with the effective leakage scaled to 75 Pa, the infiltration would match the average value from their s</w:t>
      </w:r>
      <w:r w:rsidR="113856C6" w:rsidRPr="42C534A9">
        <w:rPr>
          <w:rFonts w:cs="Calibri"/>
        </w:rPr>
        <w:t>tudies.</w:t>
      </w:r>
    </w:p>
    <w:p w14:paraId="53C39C9F" w14:textId="2740FA84" w:rsidR="113856C6" w:rsidRDefault="113856C6" w:rsidP="154D2ED2">
      <w:pPr>
        <w:rPr>
          <w:rFonts w:cs="Calibri"/>
        </w:rPr>
      </w:pPr>
      <w:r w:rsidRPr="154D2ED2">
        <w:rPr>
          <w:rFonts w:cs="Calibri"/>
        </w:rPr>
        <w:t xml:space="preserve">The coefficients are A, B, and D terms (C is 0) by building type, with separate coefficients for whether the HVAC system is on or off, </w:t>
      </w:r>
      <w:proofErr w:type="gramStart"/>
      <w:r w:rsidRPr="154D2ED2">
        <w:rPr>
          <w:rFonts w:cs="Calibri"/>
        </w:rPr>
        <w:t>and also</w:t>
      </w:r>
      <w:proofErr w:type="gramEnd"/>
      <w:r w:rsidRPr="154D2ED2">
        <w:rPr>
          <w:rFonts w:cs="Calibri"/>
        </w:rPr>
        <w:t xml:space="preserve"> separate coefficients for whether the building has an air barrier.  The new ComStock baseline does not use the air barrier coefficients, but it’d be easy to </w:t>
      </w:r>
      <w:r w:rsidR="76F15FC2" w:rsidRPr="154D2ED2">
        <w:rPr>
          <w:rFonts w:cs="Calibri"/>
        </w:rPr>
        <w:t>switch to those as part of future ComStock energy efficiency measure.</w:t>
      </w:r>
    </w:p>
    <w:p w14:paraId="38BC3931" w14:textId="5E14F29A" w:rsidR="76F15FC2" w:rsidRDefault="76F15FC2" w:rsidP="154D2ED2">
      <w:pPr>
        <w:rPr>
          <w:rFonts w:cs="Calibri"/>
        </w:rPr>
      </w:pPr>
      <w:r w:rsidRPr="42C534A9">
        <w:rPr>
          <w:rFonts w:cs="Calibri"/>
        </w:rPr>
        <w:t>NIST did not model all DOE prototype buildings. Matt made some executive decisions to map the missing building types to ones NIST did model, including for DEER building types.  The mappi</w:t>
      </w:r>
      <w:r w:rsidR="1ACB1BCF" w:rsidRPr="42C534A9">
        <w:rPr>
          <w:rFonts w:cs="Calibri"/>
        </w:rPr>
        <w:t>ng is hardcoded in the measure</w:t>
      </w:r>
      <w:r w:rsidR="783FACBE" w:rsidRPr="42C534A9">
        <w:rPr>
          <w:rFonts w:cs="Calibri"/>
        </w:rPr>
        <w:t xml:space="preserve"> and shown in the table below.</w:t>
      </w:r>
    </w:p>
    <w:tbl>
      <w:tblPr>
        <w:tblStyle w:val="TableGrid"/>
        <w:tblW w:w="0" w:type="auto"/>
        <w:tblLayout w:type="fixed"/>
        <w:tblLook w:val="06A0" w:firstRow="1" w:lastRow="0" w:firstColumn="1" w:lastColumn="0" w:noHBand="1" w:noVBand="1"/>
      </w:tblPr>
      <w:tblGrid>
        <w:gridCol w:w="4680"/>
        <w:gridCol w:w="4680"/>
      </w:tblGrid>
      <w:tr w:rsidR="42C534A9" w14:paraId="37D3EC30" w14:textId="77777777" w:rsidTr="42C534A9">
        <w:trPr>
          <w:trHeight w:val="300"/>
        </w:trPr>
        <w:tc>
          <w:tcPr>
            <w:tcW w:w="4680" w:type="dxa"/>
          </w:tcPr>
          <w:p w14:paraId="3BCC5B19" w14:textId="4FA906FF" w:rsidR="783FACBE" w:rsidRDefault="783FACBE" w:rsidP="42C534A9">
            <w:pPr>
              <w:rPr>
                <w:rFonts w:cs="Calibri"/>
              </w:rPr>
            </w:pPr>
            <w:r w:rsidRPr="42C534A9">
              <w:rPr>
                <w:rFonts w:cs="Calibri"/>
              </w:rPr>
              <w:t>ComStock Building Type</w:t>
            </w:r>
          </w:p>
        </w:tc>
        <w:tc>
          <w:tcPr>
            <w:tcW w:w="4680" w:type="dxa"/>
          </w:tcPr>
          <w:p w14:paraId="6543D8DE" w14:textId="3C151321" w:rsidR="783FACBE" w:rsidRDefault="783FACBE" w:rsidP="42C534A9">
            <w:pPr>
              <w:rPr>
                <w:rFonts w:cs="Calibri"/>
              </w:rPr>
            </w:pPr>
            <w:r w:rsidRPr="42C534A9">
              <w:rPr>
                <w:rFonts w:cs="Calibri"/>
              </w:rPr>
              <w:t>NIST Building Type</w:t>
            </w:r>
          </w:p>
        </w:tc>
      </w:tr>
      <w:tr w:rsidR="42C534A9" w14:paraId="4C24984B" w14:textId="77777777" w:rsidTr="42C534A9">
        <w:trPr>
          <w:trHeight w:val="300"/>
        </w:trPr>
        <w:tc>
          <w:tcPr>
            <w:tcW w:w="4680" w:type="dxa"/>
          </w:tcPr>
          <w:p w14:paraId="3669A42D" w14:textId="6C3C56D3" w:rsidR="783FACBE" w:rsidRDefault="783FACBE" w:rsidP="42C534A9">
            <w:pPr>
              <w:rPr>
                <w:rFonts w:cs="Calibri"/>
              </w:rPr>
            </w:pPr>
            <w:r w:rsidRPr="42C534A9">
              <w:rPr>
                <w:rFonts w:cs="Calibri"/>
              </w:rPr>
              <w:t>Office</w:t>
            </w:r>
          </w:p>
        </w:tc>
        <w:tc>
          <w:tcPr>
            <w:tcW w:w="4680" w:type="dxa"/>
          </w:tcPr>
          <w:p w14:paraId="63EB3134" w14:textId="60253D2B" w:rsidR="783FACBE" w:rsidRDefault="783FACBE" w:rsidP="42C534A9">
            <w:pPr>
              <w:rPr>
                <w:rFonts w:cs="Calibri"/>
              </w:rPr>
            </w:pPr>
            <w:proofErr w:type="spellStart"/>
            <w:r w:rsidRPr="42C534A9">
              <w:rPr>
                <w:rFonts w:cs="Calibri"/>
              </w:rPr>
              <w:t>SmallOffice</w:t>
            </w:r>
            <w:proofErr w:type="spellEnd"/>
            <w:r w:rsidRPr="42C534A9">
              <w:rPr>
                <w:rFonts w:cs="Calibri"/>
              </w:rPr>
              <w:t xml:space="preserve"> (&lt;2750 ft2) / </w:t>
            </w:r>
            <w:proofErr w:type="spellStart"/>
            <w:r w:rsidRPr="42C534A9">
              <w:rPr>
                <w:rFonts w:cs="Calibri"/>
              </w:rPr>
              <w:t>MediumOffice</w:t>
            </w:r>
            <w:proofErr w:type="spellEnd"/>
          </w:p>
        </w:tc>
      </w:tr>
      <w:tr w:rsidR="42C534A9" w14:paraId="5B5E47FE" w14:textId="77777777" w:rsidTr="42C534A9">
        <w:trPr>
          <w:trHeight w:val="300"/>
        </w:trPr>
        <w:tc>
          <w:tcPr>
            <w:tcW w:w="4680" w:type="dxa"/>
          </w:tcPr>
          <w:p w14:paraId="17592886" w14:textId="0D6708CF" w:rsidR="783FACBE" w:rsidRDefault="783FACBE" w:rsidP="42C534A9">
            <w:pPr>
              <w:rPr>
                <w:rFonts w:cs="Calibri"/>
              </w:rPr>
            </w:pPr>
            <w:r w:rsidRPr="42C534A9">
              <w:rPr>
                <w:rFonts w:cs="Calibri"/>
              </w:rPr>
              <w:t>Retail</w:t>
            </w:r>
          </w:p>
        </w:tc>
        <w:tc>
          <w:tcPr>
            <w:tcW w:w="4680" w:type="dxa"/>
          </w:tcPr>
          <w:p w14:paraId="5A2FAEA1" w14:textId="7D63E55E" w:rsidR="783FACBE" w:rsidRDefault="783FACBE" w:rsidP="42C534A9">
            <w:pPr>
              <w:rPr>
                <w:rFonts w:cs="Calibri"/>
              </w:rPr>
            </w:pPr>
            <w:proofErr w:type="spellStart"/>
            <w:r w:rsidRPr="42C534A9">
              <w:rPr>
                <w:rFonts w:cs="Calibri"/>
              </w:rPr>
              <w:t>RetailStandalone</w:t>
            </w:r>
            <w:proofErr w:type="spellEnd"/>
          </w:p>
        </w:tc>
      </w:tr>
      <w:tr w:rsidR="42C534A9" w14:paraId="283B8F62" w14:textId="77777777" w:rsidTr="42C534A9">
        <w:trPr>
          <w:trHeight w:val="300"/>
        </w:trPr>
        <w:tc>
          <w:tcPr>
            <w:tcW w:w="4680" w:type="dxa"/>
          </w:tcPr>
          <w:p w14:paraId="2DBBE6AB" w14:textId="20D02AD9" w:rsidR="783FACBE" w:rsidRDefault="783FACBE" w:rsidP="42C534A9">
            <w:pPr>
              <w:rPr>
                <w:rFonts w:cs="Calibri"/>
              </w:rPr>
            </w:pPr>
            <w:r w:rsidRPr="42C534A9">
              <w:rPr>
                <w:rFonts w:cs="Calibri"/>
              </w:rPr>
              <w:t>Retail – Strip Mall</w:t>
            </w:r>
          </w:p>
        </w:tc>
        <w:tc>
          <w:tcPr>
            <w:tcW w:w="4680" w:type="dxa"/>
          </w:tcPr>
          <w:p w14:paraId="24C2B07E" w14:textId="45BF2595" w:rsidR="783FACBE" w:rsidRDefault="783FACBE" w:rsidP="42C534A9">
            <w:pPr>
              <w:rPr>
                <w:rFonts w:cs="Calibri"/>
              </w:rPr>
            </w:pPr>
            <w:proofErr w:type="spellStart"/>
            <w:r w:rsidRPr="42C534A9">
              <w:rPr>
                <w:rFonts w:cs="Calibri"/>
              </w:rPr>
              <w:t>RetailStripmall</w:t>
            </w:r>
            <w:proofErr w:type="spellEnd"/>
          </w:p>
        </w:tc>
      </w:tr>
      <w:tr w:rsidR="42C534A9" w14:paraId="4D444F6C" w14:textId="77777777" w:rsidTr="42C534A9">
        <w:trPr>
          <w:trHeight w:val="300"/>
        </w:trPr>
        <w:tc>
          <w:tcPr>
            <w:tcW w:w="4680" w:type="dxa"/>
          </w:tcPr>
          <w:p w14:paraId="6CCBD2E1" w14:textId="5D64A3CB" w:rsidR="783FACBE" w:rsidRDefault="783FACBE" w:rsidP="42C534A9">
            <w:pPr>
              <w:rPr>
                <w:rFonts w:cs="Calibri"/>
              </w:rPr>
            </w:pPr>
            <w:r w:rsidRPr="42C534A9">
              <w:rPr>
                <w:rFonts w:cs="Calibri"/>
              </w:rPr>
              <w:t>Warehouse</w:t>
            </w:r>
          </w:p>
        </w:tc>
        <w:tc>
          <w:tcPr>
            <w:tcW w:w="4680" w:type="dxa"/>
          </w:tcPr>
          <w:p w14:paraId="05DCDD67" w14:textId="4CB96E60" w:rsidR="783FACBE" w:rsidRDefault="783FACBE" w:rsidP="42C534A9">
            <w:pPr>
              <w:rPr>
                <w:rFonts w:cs="Calibri"/>
              </w:rPr>
            </w:pPr>
            <w:proofErr w:type="spellStart"/>
            <w:r w:rsidRPr="42C534A9">
              <w:rPr>
                <w:rFonts w:cs="Calibri"/>
              </w:rPr>
              <w:t>RetailStripmall</w:t>
            </w:r>
            <w:proofErr w:type="spellEnd"/>
          </w:p>
        </w:tc>
      </w:tr>
      <w:tr w:rsidR="42C534A9" w14:paraId="54963969" w14:textId="77777777" w:rsidTr="42C534A9">
        <w:trPr>
          <w:trHeight w:val="300"/>
        </w:trPr>
        <w:tc>
          <w:tcPr>
            <w:tcW w:w="4680" w:type="dxa"/>
          </w:tcPr>
          <w:p w14:paraId="289A19F8" w14:textId="5CDFFF78" w:rsidR="783FACBE" w:rsidRDefault="783FACBE" w:rsidP="42C534A9">
            <w:pPr>
              <w:rPr>
                <w:rFonts w:cs="Calibri"/>
              </w:rPr>
            </w:pPr>
            <w:proofErr w:type="spellStart"/>
            <w:r w:rsidRPr="42C534A9">
              <w:rPr>
                <w:rFonts w:cs="Calibri"/>
              </w:rPr>
              <w:t>QuickServiceRestaurant</w:t>
            </w:r>
            <w:proofErr w:type="spellEnd"/>
          </w:p>
        </w:tc>
        <w:tc>
          <w:tcPr>
            <w:tcW w:w="4680" w:type="dxa"/>
          </w:tcPr>
          <w:p w14:paraId="1EB1FBDF" w14:textId="04507B0F" w:rsidR="783FACBE" w:rsidRDefault="783FACBE" w:rsidP="42C534A9">
            <w:pPr>
              <w:rPr>
                <w:rFonts w:cs="Calibri"/>
              </w:rPr>
            </w:pPr>
            <w:proofErr w:type="spellStart"/>
            <w:r w:rsidRPr="42C534A9">
              <w:rPr>
                <w:rFonts w:cs="Calibri"/>
              </w:rPr>
              <w:t>RetailStripmall</w:t>
            </w:r>
            <w:proofErr w:type="spellEnd"/>
          </w:p>
        </w:tc>
      </w:tr>
      <w:tr w:rsidR="42C534A9" w14:paraId="3088BCC8" w14:textId="77777777" w:rsidTr="42C534A9">
        <w:trPr>
          <w:trHeight w:val="300"/>
        </w:trPr>
        <w:tc>
          <w:tcPr>
            <w:tcW w:w="4680" w:type="dxa"/>
          </w:tcPr>
          <w:p w14:paraId="7A5752AE" w14:textId="55A9BE27" w:rsidR="783FACBE" w:rsidRDefault="783FACBE" w:rsidP="42C534A9">
            <w:pPr>
              <w:rPr>
                <w:rFonts w:cs="Calibri"/>
              </w:rPr>
            </w:pPr>
            <w:proofErr w:type="spellStart"/>
            <w:r w:rsidRPr="42C534A9">
              <w:rPr>
                <w:rFonts w:cs="Calibri"/>
              </w:rPr>
              <w:t>FullServiceRestaurant</w:t>
            </w:r>
            <w:proofErr w:type="spellEnd"/>
          </w:p>
        </w:tc>
        <w:tc>
          <w:tcPr>
            <w:tcW w:w="4680" w:type="dxa"/>
          </w:tcPr>
          <w:p w14:paraId="49553067" w14:textId="6AFD957D" w:rsidR="783FACBE" w:rsidRDefault="783FACBE" w:rsidP="42C534A9">
            <w:pPr>
              <w:rPr>
                <w:rFonts w:cs="Calibri"/>
              </w:rPr>
            </w:pPr>
            <w:proofErr w:type="spellStart"/>
            <w:r w:rsidRPr="42C534A9">
              <w:rPr>
                <w:rFonts w:cs="Calibri"/>
              </w:rPr>
              <w:t>RetailStripmall</w:t>
            </w:r>
            <w:proofErr w:type="spellEnd"/>
          </w:p>
        </w:tc>
      </w:tr>
      <w:tr w:rsidR="42C534A9" w14:paraId="06F61984" w14:textId="77777777" w:rsidTr="42C534A9">
        <w:trPr>
          <w:trHeight w:val="300"/>
        </w:trPr>
        <w:tc>
          <w:tcPr>
            <w:tcW w:w="4680" w:type="dxa"/>
          </w:tcPr>
          <w:p w14:paraId="04EA871C" w14:textId="33F56C4E" w:rsidR="783FACBE" w:rsidRDefault="783FACBE" w:rsidP="42C534A9">
            <w:pPr>
              <w:rPr>
                <w:rFonts w:cs="Calibri"/>
              </w:rPr>
            </w:pPr>
            <w:r w:rsidRPr="42C534A9">
              <w:rPr>
                <w:rFonts w:cs="Calibri"/>
              </w:rPr>
              <w:t>Outpatient</w:t>
            </w:r>
          </w:p>
        </w:tc>
        <w:tc>
          <w:tcPr>
            <w:tcW w:w="4680" w:type="dxa"/>
          </w:tcPr>
          <w:p w14:paraId="188D2EF1" w14:textId="2BBF6CF1" w:rsidR="783FACBE" w:rsidRDefault="783FACBE" w:rsidP="42C534A9">
            <w:pPr>
              <w:rPr>
                <w:rFonts w:cs="Calibri"/>
              </w:rPr>
            </w:pPr>
            <w:proofErr w:type="spellStart"/>
            <w:r w:rsidRPr="42C534A9">
              <w:rPr>
                <w:rFonts w:cs="Calibri"/>
              </w:rPr>
              <w:t>MediumOffice</w:t>
            </w:r>
            <w:proofErr w:type="spellEnd"/>
          </w:p>
        </w:tc>
      </w:tr>
      <w:tr w:rsidR="42C534A9" w14:paraId="394DEBE6" w14:textId="77777777" w:rsidTr="42C534A9">
        <w:trPr>
          <w:trHeight w:val="300"/>
        </w:trPr>
        <w:tc>
          <w:tcPr>
            <w:tcW w:w="4680" w:type="dxa"/>
          </w:tcPr>
          <w:p w14:paraId="0A110899" w14:textId="3D0968F0" w:rsidR="783FACBE" w:rsidRDefault="783FACBE" w:rsidP="42C534A9">
            <w:pPr>
              <w:rPr>
                <w:rFonts w:cs="Calibri"/>
              </w:rPr>
            </w:pPr>
            <w:r w:rsidRPr="42C534A9">
              <w:rPr>
                <w:rFonts w:cs="Calibri"/>
              </w:rPr>
              <w:t>Supermarket</w:t>
            </w:r>
          </w:p>
        </w:tc>
        <w:tc>
          <w:tcPr>
            <w:tcW w:w="4680" w:type="dxa"/>
          </w:tcPr>
          <w:p w14:paraId="10A8EBA9" w14:textId="21D15397" w:rsidR="783FACBE" w:rsidRDefault="783FACBE" w:rsidP="42C534A9">
            <w:pPr>
              <w:rPr>
                <w:rFonts w:cs="Calibri"/>
              </w:rPr>
            </w:pPr>
            <w:proofErr w:type="spellStart"/>
            <w:r w:rsidRPr="42C534A9">
              <w:rPr>
                <w:rFonts w:cs="Calibri"/>
              </w:rPr>
              <w:t>RetailStandalone</w:t>
            </w:r>
            <w:proofErr w:type="spellEnd"/>
          </w:p>
        </w:tc>
      </w:tr>
      <w:tr w:rsidR="42C534A9" w14:paraId="62161DA4" w14:textId="77777777" w:rsidTr="42C534A9">
        <w:trPr>
          <w:trHeight w:val="300"/>
        </w:trPr>
        <w:tc>
          <w:tcPr>
            <w:tcW w:w="4680" w:type="dxa"/>
          </w:tcPr>
          <w:p w14:paraId="1FA234D6" w14:textId="2FA8AFE9" w:rsidR="783FACBE" w:rsidRDefault="783FACBE" w:rsidP="42C534A9">
            <w:pPr>
              <w:rPr>
                <w:rFonts w:cs="Calibri"/>
              </w:rPr>
            </w:pPr>
            <w:proofErr w:type="spellStart"/>
            <w:r w:rsidRPr="42C534A9">
              <w:rPr>
                <w:rFonts w:cs="Calibri"/>
              </w:rPr>
              <w:t>EPr</w:t>
            </w:r>
            <w:proofErr w:type="spellEnd"/>
          </w:p>
        </w:tc>
        <w:tc>
          <w:tcPr>
            <w:tcW w:w="4680" w:type="dxa"/>
          </w:tcPr>
          <w:p w14:paraId="0D80AC31" w14:textId="5715F313" w:rsidR="783FACBE" w:rsidRDefault="783FACBE" w:rsidP="42C534A9">
            <w:pPr>
              <w:rPr>
                <w:rFonts w:cs="Calibri"/>
              </w:rPr>
            </w:pPr>
            <w:proofErr w:type="spellStart"/>
            <w:r w:rsidRPr="42C534A9">
              <w:rPr>
                <w:rFonts w:cs="Calibri"/>
              </w:rPr>
              <w:t>PrimarySchool</w:t>
            </w:r>
            <w:proofErr w:type="spellEnd"/>
          </w:p>
        </w:tc>
      </w:tr>
      <w:tr w:rsidR="42C534A9" w14:paraId="2674D60A" w14:textId="77777777" w:rsidTr="42C534A9">
        <w:trPr>
          <w:trHeight w:val="300"/>
        </w:trPr>
        <w:tc>
          <w:tcPr>
            <w:tcW w:w="4680" w:type="dxa"/>
          </w:tcPr>
          <w:p w14:paraId="36FED13C" w14:textId="4C9B5AE1" w:rsidR="783FACBE" w:rsidRDefault="783FACBE" w:rsidP="42C534A9">
            <w:pPr>
              <w:rPr>
                <w:rFonts w:cs="Calibri"/>
              </w:rPr>
            </w:pPr>
            <w:proofErr w:type="spellStart"/>
            <w:r w:rsidRPr="42C534A9">
              <w:rPr>
                <w:rFonts w:cs="Calibri"/>
              </w:rPr>
              <w:t>ESe</w:t>
            </w:r>
            <w:proofErr w:type="spellEnd"/>
          </w:p>
        </w:tc>
        <w:tc>
          <w:tcPr>
            <w:tcW w:w="4680" w:type="dxa"/>
          </w:tcPr>
          <w:p w14:paraId="7E54B060" w14:textId="5CEBE0A6" w:rsidR="783FACBE" w:rsidRDefault="783FACBE" w:rsidP="42C534A9">
            <w:pPr>
              <w:rPr>
                <w:rFonts w:cs="Calibri"/>
              </w:rPr>
            </w:pPr>
            <w:proofErr w:type="spellStart"/>
            <w:r w:rsidRPr="42C534A9">
              <w:rPr>
                <w:rFonts w:cs="Calibri"/>
              </w:rPr>
              <w:t>SecondarySchool</w:t>
            </w:r>
            <w:proofErr w:type="spellEnd"/>
          </w:p>
        </w:tc>
      </w:tr>
      <w:tr w:rsidR="42C534A9" w14:paraId="3ABE4683" w14:textId="77777777" w:rsidTr="42C534A9">
        <w:trPr>
          <w:trHeight w:val="300"/>
        </w:trPr>
        <w:tc>
          <w:tcPr>
            <w:tcW w:w="4680" w:type="dxa"/>
          </w:tcPr>
          <w:p w14:paraId="10579023" w14:textId="4A006FD7" w:rsidR="783FACBE" w:rsidRDefault="783FACBE" w:rsidP="42C534A9">
            <w:pPr>
              <w:rPr>
                <w:rFonts w:cs="Calibri"/>
              </w:rPr>
            </w:pPr>
            <w:proofErr w:type="spellStart"/>
            <w:r w:rsidRPr="42C534A9">
              <w:rPr>
                <w:rFonts w:cs="Calibri"/>
              </w:rPr>
              <w:t>RtL</w:t>
            </w:r>
            <w:proofErr w:type="spellEnd"/>
          </w:p>
        </w:tc>
        <w:tc>
          <w:tcPr>
            <w:tcW w:w="4680" w:type="dxa"/>
          </w:tcPr>
          <w:p w14:paraId="249B9B46" w14:textId="765003C1" w:rsidR="783FACBE" w:rsidRDefault="783FACBE" w:rsidP="42C534A9">
            <w:pPr>
              <w:rPr>
                <w:rFonts w:cs="Calibri"/>
              </w:rPr>
            </w:pPr>
            <w:proofErr w:type="spellStart"/>
            <w:r w:rsidRPr="42C534A9">
              <w:rPr>
                <w:rFonts w:cs="Calibri"/>
              </w:rPr>
              <w:t>RetailStandalone</w:t>
            </w:r>
            <w:proofErr w:type="spellEnd"/>
          </w:p>
        </w:tc>
      </w:tr>
      <w:tr w:rsidR="42C534A9" w14:paraId="77611CC9" w14:textId="77777777" w:rsidTr="42C534A9">
        <w:trPr>
          <w:trHeight w:val="300"/>
        </w:trPr>
        <w:tc>
          <w:tcPr>
            <w:tcW w:w="4680" w:type="dxa"/>
          </w:tcPr>
          <w:p w14:paraId="5341E65D" w14:textId="75710A36" w:rsidR="783FACBE" w:rsidRDefault="783FACBE" w:rsidP="42C534A9">
            <w:pPr>
              <w:rPr>
                <w:rFonts w:cs="Calibri"/>
              </w:rPr>
            </w:pPr>
            <w:proofErr w:type="spellStart"/>
            <w:r w:rsidRPr="42C534A9">
              <w:rPr>
                <w:rFonts w:cs="Calibri"/>
              </w:rPr>
              <w:t>RtS</w:t>
            </w:r>
            <w:proofErr w:type="spellEnd"/>
          </w:p>
        </w:tc>
        <w:tc>
          <w:tcPr>
            <w:tcW w:w="4680" w:type="dxa"/>
          </w:tcPr>
          <w:p w14:paraId="7EDED238" w14:textId="5F1D83FF" w:rsidR="783FACBE" w:rsidRDefault="783FACBE" w:rsidP="42C534A9">
            <w:pPr>
              <w:rPr>
                <w:rFonts w:cs="Calibri"/>
              </w:rPr>
            </w:pPr>
            <w:proofErr w:type="spellStart"/>
            <w:r w:rsidRPr="42C534A9">
              <w:rPr>
                <w:rFonts w:cs="Calibri"/>
              </w:rPr>
              <w:t>RetailStripmall</w:t>
            </w:r>
            <w:proofErr w:type="spellEnd"/>
          </w:p>
        </w:tc>
      </w:tr>
      <w:tr w:rsidR="42C534A9" w14:paraId="6A288864" w14:textId="77777777" w:rsidTr="42C534A9">
        <w:trPr>
          <w:trHeight w:val="300"/>
        </w:trPr>
        <w:tc>
          <w:tcPr>
            <w:tcW w:w="4680" w:type="dxa"/>
          </w:tcPr>
          <w:p w14:paraId="4BA6B245" w14:textId="18A0AFC6" w:rsidR="783FACBE" w:rsidRDefault="783FACBE" w:rsidP="42C534A9">
            <w:pPr>
              <w:spacing w:line="259" w:lineRule="auto"/>
            </w:pPr>
            <w:r w:rsidRPr="42C534A9">
              <w:rPr>
                <w:rFonts w:cs="Calibri"/>
              </w:rPr>
              <w:t>RSD</w:t>
            </w:r>
          </w:p>
        </w:tc>
        <w:tc>
          <w:tcPr>
            <w:tcW w:w="4680" w:type="dxa"/>
          </w:tcPr>
          <w:p w14:paraId="55A44008" w14:textId="0F4E07B4" w:rsidR="783FACBE" w:rsidRDefault="783FACBE" w:rsidP="42C534A9">
            <w:pPr>
              <w:rPr>
                <w:rFonts w:cs="Calibri"/>
              </w:rPr>
            </w:pPr>
            <w:proofErr w:type="spellStart"/>
            <w:r w:rsidRPr="42C534A9">
              <w:rPr>
                <w:rFonts w:cs="Calibri"/>
              </w:rPr>
              <w:t>RetailStripmall</w:t>
            </w:r>
            <w:proofErr w:type="spellEnd"/>
          </w:p>
        </w:tc>
      </w:tr>
      <w:tr w:rsidR="42C534A9" w14:paraId="0A3FD813" w14:textId="77777777" w:rsidTr="42C534A9">
        <w:trPr>
          <w:trHeight w:val="300"/>
        </w:trPr>
        <w:tc>
          <w:tcPr>
            <w:tcW w:w="4680" w:type="dxa"/>
          </w:tcPr>
          <w:p w14:paraId="7538FF89" w14:textId="72BA45EA" w:rsidR="783FACBE" w:rsidRDefault="783FACBE" w:rsidP="42C534A9">
            <w:pPr>
              <w:spacing w:line="259" w:lineRule="auto"/>
              <w:rPr>
                <w:rFonts w:cs="Calibri"/>
              </w:rPr>
            </w:pPr>
            <w:r w:rsidRPr="42C534A9">
              <w:rPr>
                <w:rFonts w:cs="Calibri"/>
              </w:rPr>
              <w:t>RFF</w:t>
            </w:r>
          </w:p>
        </w:tc>
        <w:tc>
          <w:tcPr>
            <w:tcW w:w="4680" w:type="dxa"/>
          </w:tcPr>
          <w:p w14:paraId="508B0F8C" w14:textId="7C119A1F" w:rsidR="783FACBE" w:rsidRDefault="783FACBE" w:rsidP="42C534A9">
            <w:pPr>
              <w:rPr>
                <w:rFonts w:cs="Calibri"/>
              </w:rPr>
            </w:pPr>
            <w:proofErr w:type="spellStart"/>
            <w:r w:rsidRPr="42C534A9">
              <w:rPr>
                <w:rFonts w:cs="Calibri"/>
              </w:rPr>
              <w:t>RetailStripmall</w:t>
            </w:r>
            <w:proofErr w:type="spellEnd"/>
          </w:p>
        </w:tc>
      </w:tr>
      <w:tr w:rsidR="42C534A9" w14:paraId="2FFDA85F" w14:textId="77777777" w:rsidTr="42C534A9">
        <w:trPr>
          <w:trHeight w:val="300"/>
        </w:trPr>
        <w:tc>
          <w:tcPr>
            <w:tcW w:w="4680" w:type="dxa"/>
          </w:tcPr>
          <w:p w14:paraId="587F4549" w14:textId="71F2E658" w:rsidR="783FACBE" w:rsidRDefault="783FACBE" w:rsidP="42C534A9">
            <w:pPr>
              <w:spacing w:line="259" w:lineRule="auto"/>
              <w:rPr>
                <w:rFonts w:cs="Calibri"/>
              </w:rPr>
            </w:pPr>
            <w:proofErr w:type="spellStart"/>
            <w:r w:rsidRPr="42C534A9">
              <w:rPr>
                <w:rFonts w:cs="Calibri"/>
              </w:rPr>
              <w:t>Mtl</w:t>
            </w:r>
            <w:proofErr w:type="spellEnd"/>
          </w:p>
        </w:tc>
        <w:tc>
          <w:tcPr>
            <w:tcW w:w="4680" w:type="dxa"/>
          </w:tcPr>
          <w:p w14:paraId="23C7AF6E" w14:textId="1265EF29" w:rsidR="783FACBE" w:rsidRDefault="783FACBE" w:rsidP="42C534A9">
            <w:pPr>
              <w:rPr>
                <w:rFonts w:cs="Calibri"/>
              </w:rPr>
            </w:pPr>
            <w:proofErr w:type="spellStart"/>
            <w:r w:rsidRPr="42C534A9">
              <w:rPr>
                <w:rFonts w:cs="Calibri"/>
              </w:rPr>
              <w:t>SmallHotel</w:t>
            </w:r>
            <w:proofErr w:type="spellEnd"/>
          </w:p>
        </w:tc>
      </w:tr>
      <w:tr w:rsidR="42C534A9" w14:paraId="5A70773C" w14:textId="77777777" w:rsidTr="42C534A9">
        <w:trPr>
          <w:trHeight w:val="300"/>
        </w:trPr>
        <w:tc>
          <w:tcPr>
            <w:tcW w:w="4680" w:type="dxa"/>
          </w:tcPr>
          <w:p w14:paraId="609F58D7" w14:textId="1A1ADCA1" w:rsidR="783FACBE" w:rsidRDefault="783FACBE" w:rsidP="42C534A9">
            <w:pPr>
              <w:spacing w:line="259" w:lineRule="auto"/>
              <w:rPr>
                <w:rFonts w:cs="Calibri"/>
              </w:rPr>
            </w:pPr>
            <w:proofErr w:type="spellStart"/>
            <w:r w:rsidRPr="42C534A9">
              <w:rPr>
                <w:rFonts w:cs="Calibri"/>
              </w:rPr>
              <w:t>Htl</w:t>
            </w:r>
            <w:proofErr w:type="spellEnd"/>
          </w:p>
        </w:tc>
        <w:tc>
          <w:tcPr>
            <w:tcW w:w="4680" w:type="dxa"/>
          </w:tcPr>
          <w:p w14:paraId="2CCE3581" w14:textId="5B9C4AA7" w:rsidR="783FACBE" w:rsidRDefault="783FACBE" w:rsidP="42C534A9">
            <w:pPr>
              <w:rPr>
                <w:rFonts w:cs="Calibri"/>
              </w:rPr>
            </w:pPr>
            <w:proofErr w:type="spellStart"/>
            <w:r w:rsidRPr="42C534A9">
              <w:rPr>
                <w:rFonts w:cs="Calibri"/>
              </w:rPr>
              <w:t>LargeHotel</w:t>
            </w:r>
            <w:proofErr w:type="spellEnd"/>
          </w:p>
        </w:tc>
      </w:tr>
      <w:tr w:rsidR="42C534A9" w14:paraId="3F3E92E7" w14:textId="77777777" w:rsidTr="42C534A9">
        <w:trPr>
          <w:trHeight w:val="300"/>
        </w:trPr>
        <w:tc>
          <w:tcPr>
            <w:tcW w:w="4680" w:type="dxa"/>
          </w:tcPr>
          <w:p w14:paraId="0522E8C8" w14:textId="0577C26F" w:rsidR="783FACBE" w:rsidRDefault="783FACBE" w:rsidP="42C534A9">
            <w:pPr>
              <w:spacing w:line="259" w:lineRule="auto"/>
              <w:rPr>
                <w:rFonts w:cs="Calibri"/>
              </w:rPr>
            </w:pPr>
            <w:proofErr w:type="spellStart"/>
            <w:r w:rsidRPr="42C534A9">
              <w:rPr>
                <w:rFonts w:cs="Calibri"/>
              </w:rPr>
              <w:lastRenderedPageBreak/>
              <w:t>Hsp</w:t>
            </w:r>
            <w:proofErr w:type="spellEnd"/>
          </w:p>
        </w:tc>
        <w:tc>
          <w:tcPr>
            <w:tcW w:w="4680" w:type="dxa"/>
          </w:tcPr>
          <w:p w14:paraId="2037BBFA" w14:textId="5F7BF7B1" w:rsidR="783FACBE" w:rsidRDefault="783FACBE" w:rsidP="42C534A9">
            <w:pPr>
              <w:rPr>
                <w:rFonts w:cs="Calibri"/>
              </w:rPr>
            </w:pPr>
            <w:r w:rsidRPr="42C534A9">
              <w:rPr>
                <w:rFonts w:cs="Calibri"/>
              </w:rPr>
              <w:t>Hospital</w:t>
            </w:r>
          </w:p>
        </w:tc>
      </w:tr>
      <w:tr w:rsidR="42C534A9" w14:paraId="1087EAA8" w14:textId="77777777" w:rsidTr="42C534A9">
        <w:trPr>
          <w:trHeight w:val="300"/>
        </w:trPr>
        <w:tc>
          <w:tcPr>
            <w:tcW w:w="4680" w:type="dxa"/>
          </w:tcPr>
          <w:p w14:paraId="3AC92ED8" w14:textId="65918D00" w:rsidR="783FACBE" w:rsidRDefault="783FACBE" w:rsidP="42C534A9">
            <w:pPr>
              <w:spacing w:line="259" w:lineRule="auto"/>
              <w:rPr>
                <w:rFonts w:cs="Calibri"/>
              </w:rPr>
            </w:pPr>
            <w:proofErr w:type="spellStart"/>
            <w:r w:rsidRPr="42C534A9">
              <w:rPr>
                <w:rFonts w:cs="Calibri"/>
              </w:rPr>
              <w:t>OfS</w:t>
            </w:r>
            <w:proofErr w:type="spellEnd"/>
          </w:p>
        </w:tc>
        <w:tc>
          <w:tcPr>
            <w:tcW w:w="4680" w:type="dxa"/>
          </w:tcPr>
          <w:p w14:paraId="501F9CB8" w14:textId="792D01C6" w:rsidR="783FACBE" w:rsidRDefault="783FACBE" w:rsidP="42C534A9">
            <w:pPr>
              <w:rPr>
                <w:rFonts w:cs="Calibri"/>
              </w:rPr>
            </w:pPr>
            <w:proofErr w:type="spellStart"/>
            <w:r w:rsidRPr="42C534A9">
              <w:rPr>
                <w:rFonts w:cs="Calibri"/>
              </w:rPr>
              <w:t>SmallOffice</w:t>
            </w:r>
            <w:proofErr w:type="spellEnd"/>
          </w:p>
        </w:tc>
      </w:tr>
      <w:tr w:rsidR="42C534A9" w14:paraId="16463019" w14:textId="77777777" w:rsidTr="42C534A9">
        <w:trPr>
          <w:trHeight w:val="300"/>
        </w:trPr>
        <w:tc>
          <w:tcPr>
            <w:tcW w:w="4680" w:type="dxa"/>
          </w:tcPr>
          <w:p w14:paraId="561F98A5" w14:textId="2AC4A9A2" w:rsidR="783FACBE" w:rsidRDefault="783FACBE" w:rsidP="42C534A9">
            <w:pPr>
              <w:spacing w:line="259" w:lineRule="auto"/>
              <w:rPr>
                <w:rFonts w:cs="Calibri"/>
              </w:rPr>
            </w:pPr>
            <w:proofErr w:type="spellStart"/>
            <w:r w:rsidRPr="42C534A9">
              <w:rPr>
                <w:rFonts w:cs="Calibri"/>
              </w:rPr>
              <w:t>OfL</w:t>
            </w:r>
            <w:proofErr w:type="spellEnd"/>
          </w:p>
        </w:tc>
        <w:tc>
          <w:tcPr>
            <w:tcW w:w="4680" w:type="dxa"/>
          </w:tcPr>
          <w:p w14:paraId="2B87AC5D" w14:textId="0CE49EF6" w:rsidR="783FACBE" w:rsidRDefault="783FACBE" w:rsidP="42C534A9">
            <w:pPr>
              <w:rPr>
                <w:rFonts w:cs="Calibri"/>
              </w:rPr>
            </w:pPr>
            <w:proofErr w:type="spellStart"/>
            <w:r w:rsidRPr="42C534A9">
              <w:rPr>
                <w:rFonts w:cs="Calibri"/>
              </w:rPr>
              <w:t>MediumOffice</w:t>
            </w:r>
            <w:proofErr w:type="spellEnd"/>
          </w:p>
        </w:tc>
      </w:tr>
      <w:tr w:rsidR="42C534A9" w14:paraId="783F9CEE" w14:textId="77777777" w:rsidTr="42C534A9">
        <w:trPr>
          <w:trHeight w:val="300"/>
        </w:trPr>
        <w:tc>
          <w:tcPr>
            <w:tcW w:w="4680" w:type="dxa"/>
          </w:tcPr>
          <w:p w14:paraId="0189AC66" w14:textId="410E6E6A" w:rsidR="783FACBE" w:rsidRDefault="783FACBE" w:rsidP="42C534A9">
            <w:pPr>
              <w:spacing w:line="259" w:lineRule="auto"/>
              <w:rPr>
                <w:rFonts w:cs="Calibri"/>
              </w:rPr>
            </w:pPr>
            <w:proofErr w:type="spellStart"/>
            <w:r w:rsidRPr="42C534A9">
              <w:rPr>
                <w:rFonts w:cs="Calibri"/>
              </w:rPr>
              <w:t>SCn</w:t>
            </w:r>
            <w:proofErr w:type="spellEnd"/>
          </w:p>
        </w:tc>
        <w:tc>
          <w:tcPr>
            <w:tcW w:w="4680" w:type="dxa"/>
          </w:tcPr>
          <w:p w14:paraId="6D8F8461" w14:textId="0C1FF88C" w:rsidR="783FACBE" w:rsidRDefault="783FACBE" w:rsidP="42C534A9">
            <w:pPr>
              <w:rPr>
                <w:rFonts w:cs="Calibri"/>
              </w:rPr>
            </w:pPr>
            <w:proofErr w:type="spellStart"/>
            <w:r w:rsidRPr="42C534A9">
              <w:rPr>
                <w:rFonts w:cs="Calibri"/>
              </w:rPr>
              <w:t>RetailStripmall</w:t>
            </w:r>
            <w:proofErr w:type="spellEnd"/>
          </w:p>
        </w:tc>
      </w:tr>
      <w:tr w:rsidR="42C534A9" w14:paraId="7977B333" w14:textId="77777777" w:rsidTr="42C534A9">
        <w:trPr>
          <w:trHeight w:val="300"/>
        </w:trPr>
        <w:tc>
          <w:tcPr>
            <w:tcW w:w="4680" w:type="dxa"/>
          </w:tcPr>
          <w:p w14:paraId="3AD0E6C8" w14:textId="1A45B60C" w:rsidR="783FACBE" w:rsidRDefault="783FACBE" w:rsidP="42C534A9">
            <w:pPr>
              <w:spacing w:line="259" w:lineRule="auto"/>
              <w:rPr>
                <w:rFonts w:cs="Calibri"/>
              </w:rPr>
            </w:pPr>
            <w:r w:rsidRPr="42C534A9">
              <w:rPr>
                <w:rFonts w:cs="Calibri"/>
              </w:rPr>
              <w:t>All Others Not Listed</w:t>
            </w:r>
          </w:p>
        </w:tc>
        <w:tc>
          <w:tcPr>
            <w:tcW w:w="4680" w:type="dxa"/>
          </w:tcPr>
          <w:p w14:paraId="2B6820FD" w14:textId="3086ABED" w:rsidR="783FACBE" w:rsidRDefault="783FACBE" w:rsidP="42C534A9">
            <w:pPr>
              <w:rPr>
                <w:rFonts w:cs="Calibri"/>
              </w:rPr>
            </w:pPr>
            <w:r w:rsidRPr="42C534A9">
              <w:rPr>
                <w:rFonts w:cs="Calibri"/>
              </w:rPr>
              <w:t>Same as ComStock Building Type</w:t>
            </w:r>
          </w:p>
        </w:tc>
      </w:tr>
    </w:tbl>
    <w:p w14:paraId="401B39D6" w14:textId="77777777" w:rsidR="007041C4" w:rsidRDefault="007041C4" w:rsidP="007041C4">
      <w:pPr>
        <w:pStyle w:val="Heading1"/>
      </w:pPr>
      <w:r>
        <w:t>Software Changes</w:t>
      </w:r>
    </w:p>
    <w:p w14:paraId="6C669AF2" w14:textId="2CBB3625" w:rsidR="00FC34B1" w:rsidRDefault="660DE259" w:rsidP="154D2ED2">
      <w:r>
        <w:t xml:space="preserve">There are two changes to ComStock. First, an airtightness </w:t>
      </w:r>
      <w:proofErr w:type="gramStart"/>
      <w:r>
        <w:t>distribution .tsv</w:t>
      </w:r>
      <w:proofErr w:type="gramEnd"/>
      <w:r>
        <w:t xml:space="preserve"> is added to generate a distribution of </w:t>
      </w:r>
      <w:r w:rsidR="0915B5EF">
        <w:t xml:space="preserve">6-sided </w:t>
      </w:r>
      <w:r>
        <w:t xml:space="preserve">airtightness </w:t>
      </w:r>
      <w:r w:rsidR="10D1E5C6">
        <w:t xml:space="preserve">values </w:t>
      </w:r>
      <w:r w:rsidR="505334FF">
        <w:t xml:space="preserve">based on the lognormal distributions explained above. Next, the </w:t>
      </w:r>
      <w:proofErr w:type="spellStart"/>
      <w:r w:rsidR="505334FF">
        <w:t>set_nist_infiltration_correlations</w:t>
      </w:r>
      <w:proofErr w:type="spellEnd"/>
      <w:r w:rsidR="505334FF">
        <w:t xml:space="preserve"> measure takes </w:t>
      </w:r>
      <w:r w:rsidR="423B7EEC">
        <w:t>the</w:t>
      </w:r>
      <w:r w:rsidR="505334FF">
        <w:t xml:space="preserve"> 6-sided airtightness value at 75 Pa</w:t>
      </w:r>
      <w:r w:rsidR="02AF1F8B">
        <w:t>, converts it to a model design infiltration value, and applies the appropriate coefficients.</w:t>
      </w:r>
    </w:p>
    <w:p w14:paraId="41745CE2" w14:textId="029469E3" w:rsidR="00FC34B1" w:rsidRDefault="00653FC2" w:rsidP="00653FC2">
      <w:pPr>
        <w:pStyle w:val="Heading1"/>
      </w:pPr>
      <w:r>
        <w:t>Impact of Change</w:t>
      </w:r>
    </w:p>
    <w:p w14:paraId="3FA7AADF" w14:textId="1DA72C4C" w:rsidR="00653FC2" w:rsidRDefault="00B37C5B" w:rsidP="00653FC2">
      <w:r>
        <w:t xml:space="preserve">These changes were tested using </w:t>
      </w:r>
      <w:r w:rsidR="00CF6082">
        <w:t>two</w:t>
      </w:r>
      <w:r>
        <w:t xml:space="preserve"> 10k sample run</w:t>
      </w:r>
      <w:r w:rsidR="00CF6082">
        <w:t>s with identical buildstock.csv files.</w:t>
      </w:r>
      <w:r w:rsidR="00ED0F7E">
        <w:t xml:space="preserve"> The original </w:t>
      </w:r>
      <w:r w:rsidR="007C1BF0">
        <w:t>run</w:t>
      </w:r>
      <w:r w:rsidR="00ED0F7E">
        <w:t>, where the</w:t>
      </w:r>
      <w:r w:rsidR="007C1BF0">
        <w:t xml:space="preserve"> final baseline models are </w:t>
      </w:r>
      <w:proofErr w:type="spellStart"/>
      <w:r w:rsidR="007C1BF0">
        <w:t>autosized</w:t>
      </w:r>
      <w:proofErr w:type="spellEnd"/>
      <w:r w:rsidR="007C1BF0">
        <w:t xml:space="preserve">, is called “autosz_10k,” and the new run, where the final baseline models are hard-sized, is called “hardsz_10k.” In addition to the baseline, </w:t>
      </w:r>
      <w:r w:rsidR="00362220">
        <w:t xml:space="preserve">both runs contained a single measure, Exterior Wall Insulation, which brings </w:t>
      </w:r>
      <w:r w:rsidR="00A97639">
        <w:t>the insulation level of walls up to the Zero Energy Small/Medium Office AEDG recommended levels by climate zone</w:t>
      </w:r>
      <w:r w:rsidR="00D4170B">
        <w:t>. A comparison of the savings for this measure is presented for both runs.</w:t>
      </w:r>
    </w:p>
    <w:p w14:paraId="78AB9E01" w14:textId="74B94A82" w:rsidR="00823065" w:rsidRDefault="00823065" w:rsidP="00823065">
      <w:pPr>
        <w:pStyle w:val="Heading2"/>
      </w:pPr>
      <w:r>
        <w:t>National Scale Impact</w:t>
      </w:r>
    </w:p>
    <w:p w14:paraId="1E10329A" w14:textId="45DBFEA1" w:rsidR="00E234B4" w:rsidRDefault="00943AF8" w:rsidP="00943AF8">
      <w:r>
        <w:t xml:space="preserve">As shown in </w:t>
      </w:r>
      <w:r w:rsidR="00531887">
        <w:fldChar w:fldCharType="begin"/>
      </w:r>
      <w:r w:rsidR="00531887">
        <w:instrText xml:space="preserve"> REF _Ref125609527 \h </w:instrText>
      </w:r>
      <w:r w:rsidR="00531887">
        <w:fldChar w:fldCharType="separate"/>
      </w:r>
      <w:r w:rsidR="00255EFE">
        <w:t xml:space="preserve">Figure </w:t>
      </w:r>
      <w:r w:rsidR="00255EFE">
        <w:rPr>
          <w:noProof/>
        </w:rPr>
        <w:t>1</w:t>
      </w:r>
      <w:r w:rsidR="00531887">
        <w:fldChar w:fldCharType="end"/>
      </w:r>
      <w:r w:rsidR="00531887">
        <w:t xml:space="preserve"> and </w:t>
      </w:r>
      <w:r w:rsidR="00531887">
        <w:fldChar w:fldCharType="begin"/>
      </w:r>
      <w:r w:rsidR="00531887">
        <w:instrText xml:space="preserve"> REF _Ref125609529 \h </w:instrText>
      </w:r>
      <w:r w:rsidR="00531887">
        <w:fldChar w:fldCharType="separate"/>
      </w:r>
      <w:r w:rsidR="00255EFE">
        <w:t xml:space="preserve">Figure </w:t>
      </w:r>
      <w:r w:rsidR="00255EFE">
        <w:rPr>
          <w:noProof/>
        </w:rPr>
        <w:t>2</w:t>
      </w:r>
      <w:r w:rsidR="00531887">
        <w:fldChar w:fldCharType="end"/>
      </w:r>
      <w:r>
        <w:t xml:space="preserve"> below,</w:t>
      </w:r>
      <w:r w:rsidR="00B57B3D">
        <w:t xml:space="preserve"> </w:t>
      </w:r>
      <w:r w:rsidR="00997A1C">
        <w:t>there is a modest increase in electricity use, and a significant increase in gas use at the</w:t>
      </w:r>
      <w:r w:rsidR="00F56781">
        <w:t xml:space="preserve"> stock level.</w:t>
      </w:r>
      <w:r w:rsidR="00050D28">
        <w:t xml:space="preserve"> Th</w:t>
      </w:r>
      <w:r w:rsidR="00717695">
        <w:t xml:space="preserve">e larger increase in heating consumption is expected, because </w:t>
      </w:r>
      <w:r w:rsidR="003C5698">
        <w:t>on a hot day</w:t>
      </w:r>
      <w:r w:rsidR="00933572">
        <w:t>, the difference between indoor air (~70F) and outdoor air (~100F) is ~30F, whereas on</w:t>
      </w:r>
      <w:r w:rsidR="003C5698">
        <w:t xml:space="preserve"> a cold day, the difference between indoor air (~70F) and outdoor air (~</w:t>
      </w:r>
      <w:r w:rsidR="004C0506">
        <w:t>20F</w:t>
      </w:r>
      <w:r w:rsidR="003C5698">
        <w:t xml:space="preserve">) </w:t>
      </w:r>
      <w:r w:rsidR="004C0506">
        <w:t>can be much higher</w:t>
      </w:r>
      <w:r w:rsidR="003C5698">
        <w:t xml:space="preserve"> ~</w:t>
      </w:r>
      <w:r w:rsidR="004C0506">
        <w:t>5</w:t>
      </w:r>
      <w:r w:rsidR="003C5698">
        <w:t>0F</w:t>
      </w:r>
      <w:r w:rsidR="004C0506">
        <w:t xml:space="preserve">. Since </w:t>
      </w:r>
      <w:r w:rsidR="00BB5A38">
        <w:t xml:space="preserve">heating is primarily done using gas, and cooling is primarily done using electricity, </w:t>
      </w:r>
      <w:r w:rsidR="000426B3">
        <w:t xml:space="preserve">the trends shown in the figures </w:t>
      </w:r>
      <w:proofErr w:type="gramStart"/>
      <w:r w:rsidR="000426B3">
        <w:t>is</w:t>
      </w:r>
      <w:proofErr w:type="gramEnd"/>
      <w:r w:rsidR="000426B3">
        <w:t xml:space="preserve"> expected.</w:t>
      </w:r>
    </w:p>
    <w:p w14:paraId="0A8D3644" w14:textId="0482DD19" w:rsidR="00531887" w:rsidRDefault="004F604F" w:rsidP="008A2AB4">
      <w:pPr>
        <w:jc w:val="center"/>
      </w:pPr>
      <w:r>
        <w:rPr>
          <w:noProof/>
        </w:rPr>
        <w:lastRenderedPageBreak/>
        <w:drawing>
          <wp:inline distT="0" distB="0" distL="0" distR="0" wp14:anchorId="1BE6C5CE" wp14:editId="7FF56724">
            <wp:extent cx="5943600" cy="3819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45BF8994" w14:textId="33FC304F" w:rsidR="00F56781" w:rsidRDefault="00531887" w:rsidP="00531887">
      <w:pPr>
        <w:pStyle w:val="Caption"/>
        <w:jc w:val="center"/>
      </w:pPr>
      <w:bookmarkStart w:id="3" w:name="_Ref125609527"/>
      <w:r>
        <w:t xml:space="preserve">Figure </w:t>
      </w:r>
      <w:r>
        <w:fldChar w:fldCharType="begin"/>
      </w:r>
      <w:r>
        <w:instrText>SEQ Figure \* ARABIC</w:instrText>
      </w:r>
      <w:r>
        <w:fldChar w:fldCharType="separate"/>
      </w:r>
      <w:r w:rsidR="00D7581E">
        <w:rPr>
          <w:noProof/>
        </w:rPr>
        <w:t>3</w:t>
      </w:r>
      <w:r>
        <w:fldChar w:fldCharType="end"/>
      </w:r>
      <w:bookmarkEnd w:id="3"/>
      <w:r>
        <w:t>. Total Building Stock Electricity Consumption</w:t>
      </w:r>
    </w:p>
    <w:p w14:paraId="7A4C2268" w14:textId="56FF31B1" w:rsidR="00531887" w:rsidRDefault="00DF27E1" w:rsidP="00531887">
      <w:pPr>
        <w:keepNext/>
        <w:jc w:val="center"/>
      </w:pPr>
      <w:r>
        <w:rPr>
          <w:noProof/>
        </w:rPr>
        <w:lastRenderedPageBreak/>
        <w:drawing>
          <wp:inline distT="0" distB="0" distL="0" distR="0" wp14:anchorId="033978BA" wp14:editId="3B16065F">
            <wp:extent cx="5943600" cy="3819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3593D85B" w14:textId="4A6C7B04" w:rsidR="00531887" w:rsidRDefault="00531887" w:rsidP="00531887">
      <w:pPr>
        <w:pStyle w:val="Caption"/>
        <w:jc w:val="center"/>
      </w:pPr>
      <w:bookmarkStart w:id="4" w:name="_Ref125609529"/>
      <w:r>
        <w:t xml:space="preserve">Figure </w:t>
      </w:r>
      <w:r>
        <w:fldChar w:fldCharType="begin"/>
      </w:r>
      <w:r>
        <w:instrText>SEQ Figure \* ARABIC</w:instrText>
      </w:r>
      <w:r>
        <w:fldChar w:fldCharType="separate"/>
      </w:r>
      <w:r w:rsidR="00D7581E">
        <w:rPr>
          <w:noProof/>
        </w:rPr>
        <w:t>4</w:t>
      </w:r>
      <w:r>
        <w:fldChar w:fldCharType="end"/>
      </w:r>
      <w:bookmarkEnd w:id="4"/>
      <w:r>
        <w:t xml:space="preserve">. </w:t>
      </w:r>
      <w:r w:rsidRPr="000870F9">
        <w:t xml:space="preserve">Total Building Stock </w:t>
      </w:r>
      <w:r>
        <w:t>Natural Gas</w:t>
      </w:r>
      <w:r w:rsidRPr="000870F9">
        <w:t xml:space="preserve"> Consumption</w:t>
      </w:r>
    </w:p>
    <w:p w14:paraId="7B16A3A8" w14:textId="20331508" w:rsidR="00F56781" w:rsidRDefault="00F56781" w:rsidP="00F56781">
      <w:r>
        <w:t>A</w:t>
      </w:r>
      <w:r w:rsidR="007D5D9F">
        <w:t>n investigation</w:t>
      </w:r>
      <w:r w:rsidR="00F97ECF">
        <w:t xml:space="preserve"> of electricity</w:t>
      </w:r>
      <w:r w:rsidR="007D5D9F">
        <w:t xml:space="preserve"> by building type </w:t>
      </w:r>
      <w:r w:rsidR="00271F8F">
        <w:t xml:space="preserve">in </w:t>
      </w:r>
      <w:r w:rsidR="00271F8F">
        <w:fldChar w:fldCharType="begin"/>
      </w:r>
      <w:r w:rsidR="00271F8F">
        <w:instrText xml:space="preserve"> REF _Ref125609651 \h </w:instrText>
      </w:r>
      <w:r w:rsidR="00271F8F">
        <w:fldChar w:fldCharType="separate"/>
      </w:r>
      <w:r w:rsidR="00255EFE">
        <w:t xml:space="preserve">Figure </w:t>
      </w:r>
      <w:r w:rsidR="00255EFE">
        <w:rPr>
          <w:noProof/>
        </w:rPr>
        <w:t>3</w:t>
      </w:r>
      <w:r w:rsidR="00271F8F">
        <w:fldChar w:fldCharType="end"/>
      </w:r>
      <w:r w:rsidR="00271F8F">
        <w:t xml:space="preserve"> shows</w:t>
      </w:r>
      <w:r w:rsidR="007D5D9F">
        <w:t xml:space="preserve"> that </w:t>
      </w:r>
      <w:r w:rsidR="003E6AB9">
        <w:t>for most building types</w:t>
      </w:r>
      <w:r w:rsidR="00271F8F">
        <w:t xml:space="preserve"> there was </w:t>
      </w:r>
      <w:r w:rsidR="008A2AB4">
        <w:t xml:space="preserve">little to </w:t>
      </w:r>
      <w:r w:rsidR="00271F8F">
        <w:t>no change in</w:t>
      </w:r>
      <w:r w:rsidR="003E6AB9">
        <w:t xml:space="preserve"> electricity consumption</w:t>
      </w:r>
      <w:r w:rsidR="00DC6105">
        <w:t xml:space="preserve">. </w:t>
      </w:r>
      <w:r w:rsidR="00D4725F">
        <w:t>Smaller buildings, including retail buildings, schools, small offices, and warehouses had the largest changes.</w:t>
      </w:r>
    </w:p>
    <w:p w14:paraId="548824B8" w14:textId="608A3338" w:rsidR="000A60FB" w:rsidRDefault="002E15EC" w:rsidP="001E54B0">
      <w:pPr>
        <w:keepNext/>
        <w:jc w:val="center"/>
      </w:pPr>
      <w:r>
        <w:rPr>
          <w:noProof/>
        </w:rPr>
        <w:drawing>
          <wp:inline distT="0" distB="0" distL="0" distR="0" wp14:anchorId="1F414A3B" wp14:editId="529606A8">
            <wp:extent cx="5943600" cy="2990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15E08B40" w14:textId="6E8A9349" w:rsidR="008E4232" w:rsidRDefault="000A60FB" w:rsidP="001E54B0">
      <w:pPr>
        <w:pStyle w:val="Caption"/>
        <w:jc w:val="center"/>
      </w:pPr>
      <w:bookmarkStart w:id="5" w:name="_Ref125609651"/>
      <w:r>
        <w:t xml:space="preserve">Figure </w:t>
      </w:r>
      <w:r>
        <w:fldChar w:fldCharType="begin"/>
      </w:r>
      <w:r>
        <w:instrText>SEQ Figure \* ARABIC</w:instrText>
      </w:r>
      <w:r>
        <w:fldChar w:fldCharType="separate"/>
      </w:r>
      <w:r w:rsidR="00D7581E">
        <w:rPr>
          <w:noProof/>
        </w:rPr>
        <w:t>5</w:t>
      </w:r>
      <w:r>
        <w:fldChar w:fldCharType="end"/>
      </w:r>
      <w:bookmarkEnd w:id="5"/>
      <w:r>
        <w:t>. Electricity Consumption by Building Type</w:t>
      </w:r>
    </w:p>
    <w:p w14:paraId="7F9A0760" w14:textId="77777777" w:rsidR="000A60FB" w:rsidRDefault="000A60FB" w:rsidP="00ED0F7E">
      <w:pPr>
        <w:jc w:val="center"/>
      </w:pPr>
    </w:p>
    <w:p w14:paraId="110DA25F" w14:textId="4AB9BB35" w:rsidR="00DC6105" w:rsidRDefault="00DC6105" w:rsidP="00DC6105">
      <w:r>
        <w:t xml:space="preserve">An investigation of natural gas by building type in </w:t>
      </w:r>
      <w:r>
        <w:fldChar w:fldCharType="begin"/>
      </w:r>
      <w:r>
        <w:instrText xml:space="preserve"> REF _Ref125609737 \h </w:instrText>
      </w:r>
      <w:r>
        <w:fldChar w:fldCharType="separate"/>
      </w:r>
      <w:r w:rsidR="00255EFE">
        <w:t xml:space="preserve">Figure </w:t>
      </w:r>
      <w:r w:rsidR="00255EFE">
        <w:rPr>
          <w:noProof/>
        </w:rPr>
        <w:t>4</w:t>
      </w:r>
      <w:r>
        <w:fldChar w:fldCharType="end"/>
      </w:r>
      <w:r>
        <w:t xml:space="preserve"> shows </w:t>
      </w:r>
      <w:r w:rsidR="001E54B0">
        <w:t xml:space="preserve">an increase in natural gas use for </w:t>
      </w:r>
      <w:r>
        <w:t>most building types.</w:t>
      </w:r>
    </w:p>
    <w:p w14:paraId="011C8E81" w14:textId="0DB0F496" w:rsidR="000A60FB" w:rsidRDefault="002E15EC" w:rsidP="000A60FB">
      <w:pPr>
        <w:keepNext/>
        <w:jc w:val="center"/>
      </w:pPr>
      <w:r>
        <w:rPr>
          <w:noProof/>
        </w:rPr>
        <w:drawing>
          <wp:inline distT="0" distB="0" distL="0" distR="0" wp14:anchorId="6DFCAFC9" wp14:editId="59B19BC0">
            <wp:extent cx="5943600" cy="2990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70010E6E" w14:textId="2B496BE0" w:rsidR="00823065" w:rsidRDefault="000A60FB" w:rsidP="000A60FB">
      <w:pPr>
        <w:pStyle w:val="Caption"/>
        <w:jc w:val="center"/>
      </w:pPr>
      <w:bookmarkStart w:id="6" w:name="_Ref125609737"/>
      <w:r>
        <w:t xml:space="preserve">Figure </w:t>
      </w:r>
      <w:r>
        <w:fldChar w:fldCharType="begin"/>
      </w:r>
      <w:r>
        <w:instrText>SEQ Figure \* ARABIC</w:instrText>
      </w:r>
      <w:r>
        <w:fldChar w:fldCharType="separate"/>
      </w:r>
      <w:r w:rsidR="00D7581E">
        <w:rPr>
          <w:noProof/>
        </w:rPr>
        <w:t>6</w:t>
      </w:r>
      <w:r>
        <w:fldChar w:fldCharType="end"/>
      </w:r>
      <w:bookmarkEnd w:id="6"/>
      <w:r>
        <w:t>. Natural Gas Consumption by Building Type</w:t>
      </w:r>
    </w:p>
    <w:p w14:paraId="197A3EB5" w14:textId="494F6CC1" w:rsidR="00AF6555" w:rsidRDefault="00AF6555" w:rsidP="00AF6555">
      <w:r>
        <w:t xml:space="preserve">Looking </w:t>
      </w:r>
      <w:r w:rsidR="00E641C0">
        <w:t>at the distribution of gas heating EUI vs. airtightness for two different building types</w:t>
      </w:r>
      <w:r w:rsidR="000D759C">
        <w:t xml:space="preserve"> in </w:t>
      </w:r>
      <w:r w:rsidR="000D759C">
        <w:fldChar w:fldCharType="begin"/>
      </w:r>
      <w:r w:rsidR="000D759C">
        <w:instrText xml:space="preserve"> REF _Ref132776634 \h </w:instrText>
      </w:r>
      <w:r w:rsidR="000D759C">
        <w:fldChar w:fldCharType="separate"/>
      </w:r>
      <w:r w:rsidR="000D759C">
        <w:t xml:space="preserve">Figure </w:t>
      </w:r>
      <w:r w:rsidR="000D759C">
        <w:rPr>
          <w:noProof/>
        </w:rPr>
        <w:t>7</w:t>
      </w:r>
      <w:r w:rsidR="000D759C">
        <w:fldChar w:fldCharType="end"/>
      </w:r>
      <w:r w:rsidR="000D759C">
        <w:t>, we can see that</w:t>
      </w:r>
      <w:r w:rsidR="00233D02">
        <w:t>, as expected,</w:t>
      </w:r>
      <w:r w:rsidR="000D759C">
        <w:t xml:space="preserve"> </w:t>
      </w:r>
      <w:r w:rsidR="00634678">
        <w:t>heating EUI generally increases as infiltration rates increase</w:t>
      </w:r>
      <w:r w:rsidR="00233D02">
        <w:t>. The trend is not perfect because this</w:t>
      </w:r>
      <w:r w:rsidR="00A66266">
        <w:t xml:space="preserve"> data is from the</w:t>
      </w:r>
      <w:r w:rsidR="00233D02">
        <w:t xml:space="preserve"> </w:t>
      </w:r>
      <w:proofErr w:type="gramStart"/>
      <w:r w:rsidR="00233D02">
        <w:t>10,000 model</w:t>
      </w:r>
      <w:proofErr w:type="gramEnd"/>
      <w:r w:rsidR="00233D02">
        <w:t xml:space="preserve"> test run, </w:t>
      </w:r>
      <w:r w:rsidR="00A66266">
        <w:t xml:space="preserve">so </w:t>
      </w:r>
      <w:r w:rsidR="00012C33">
        <w:t xml:space="preserve">other factors </w:t>
      </w:r>
      <w:r w:rsidR="001E03EB">
        <w:t xml:space="preserve">such as heating degree days </w:t>
      </w:r>
      <w:r w:rsidR="00012C33">
        <w:t>are not controlled for in the plot.</w:t>
      </w:r>
    </w:p>
    <w:p w14:paraId="5672DCB5" w14:textId="2DCC54D1" w:rsidR="00AF6555" w:rsidRDefault="00E641C0" w:rsidP="00E641C0">
      <w:pPr>
        <w:jc w:val="center"/>
      </w:pPr>
      <w:r>
        <w:rPr>
          <w:noProof/>
        </w:rPr>
        <w:drawing>
          <wp:inline distT="0" distB="0" distL="0" distR="0" wp14:anchorId="12DEB1DE" wp14:editId="46B47C41">
            <wp:extent cx="4105275" cy="2943873"/>
            <wp:effectExtent l="0" t="0" r="0" b="8890"/>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pic:nvPicPr>
                  <pic:blipFill>
                    <a:blip r:embed="rId20"/>
                    <a:stretch>
                      <a:fillRect/>
                    </a:stretch>
                  </pic:blipFill>
                  <pic:spPr>
                    <a:xfrm>
                      <a:off x="0" y="0"/>
                      <a:ext cx="4106434" cy="2944704"/>
                    </a:xfrm>
                    <a:prstGeom prst="rect">
                      <a:avLst/>
                    </a:prstGeom>
                  </pic:spPr>
                </pic:pic>
              </a:graphicData>
            </a:graphic>
          </wp:inline>
        </w:drawing>
      </w:r>
    </w:p>
    <w:p w14:paraId="7B7263DC" w14:textId="363B6509" w:rsidR="000D759C" w:rsidRDefault="000D759C" w:rsidP="000D759C">
      <w:pPr>
        <w:pStyle w:val="Caption"/>
        <w:jc w:val="center"/>
      </w:pPr>
      <w:bookmarkStart w:id="7" w:name="_Ref132776634"/>
      <w:r>
        <w:t xml:space="preserve">Figure </w:t>
      </w:r>
      <w:r>
        <w:fldChar w:fldCharType="begin"/>
      </w:r>
      <w:r>
        <w:instrText>SEQ Figure \* ARABIC</w:instrText>
      </w:r>
      <w:r>
        <w:fldChar w:fldCharType="separate"/>
      </w:r>
      <w:r w:rsidR="00D7581E">
        <w:rPr>
          <w:noProof/>
        </w:rPr>
        <w:t>7</w:t>
      </w:r>
      <w:r>
        <w:fldChar w:fldCharType="end"/>
      </w:r>
      <w:bookmarkEnd w:id="7"/>
      <w:r>
        <w:t xml:space="preserve">. Distribution of Natural Gas Heating EUI </w:t>
      </w:r>
      <w:r>
        <w:rPr>
          <w:noProof/>
        </w:rPr>
        <w:t>by Airtightness</w:t>
      </w:r>
    </w:p>
    <w:p w14:paraId="717CF0E8" w14:textId="3009A8C4" w:rsidR="000D759C" w:rsidRDefault="00B64BFC" w:rsidP="00BE1672">
      <w:pPr>
        <w:jc w:val="center"/>
      </w:pPr>
      <w:r>
        <w:rPr>
          <w:noProof/>
        </w:rPr>
        <w:lastRenderedPageBreak/>
        <w:drawing>
          <wp:inline distT="0" distB="0" distL="0" distR="0" wp14:anchorId="7D9C2AB6" wp14:editId="6B1F7B34">
            <wp:extent cx="5707875" cy="6020322"/>
            <wp:effectExtent l="0" t="0" r="762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21"/>
                    <a:stretch>
                      <a:fillRect/>
                    </a:stretch>
                  </pic:blipFill>
                  <pic:spPr>
                    <a:xfrm>
                      <a:off x="0" y="0"/>
                      <a:ext cx="5707875" cy="6020322"/>
                    </a:xfrm>
                    <a:prstGeom prst="rect">
                      <a:avLst/>
                    </a:prstGeom>
                  </pic:spPr>
                </pic:pic>
              </a:graphicData>
            </a:graphic>
          </wp:inline>
        </w:drawing>
      </w:r>
    </w:p>
    <w:p w14:paraId="64BF9CAE" w14:textId="31C1C8D0" w:rsidR="00AF6555" w:rsidRDefault="00BE1672" w:rsidP="00BE1672">
      <w:pPr>
        <w:pStyle w:val="Caption"/>
        <w:jc w:val="center"/>
        <w:rPr>
          <w:noProof/>
        </w:rPr>
      </w:pPr>
      <w:bookmarkStart w:id="8" w:name="_Ref132777900"/>
      <w:r>
        <w:t xml:space="preserve">Figure </w:t>
      </w:r>
      <w:r>
        <w:fldChar w:fldCharType="begin"/>
      </w:r>
      <w:r>
        <w:instrText>SEQ Figure \* ARABIC</w:instrText>
      </w:r>
      <w:r>
        <w:fldChar w:fldCharType="separate"/>
      </w:r>
      <w:r w:rsidR="00D7581E">
        <w:rPr>
          <w:noProof/>
        </w:rPr>
        <w:t>8</w:t>
      </w:r>
      <w:r>
        <w:fldChar w:fldCharType="end"/>
      </w:r>
      <w:bookmarkEnd w:id="8"/>
      <w:r>
        <w:t>. Natural Gas Heating EUI</w:t>
      </w:r>
      <w:r>
        <w:rPr>
          <w:noProof/>
        </w:rPr>
        <w:t xml:space="preserve"> Change by Building Type and Heating Degree Days</w:t>
      </w:r>
    </w:p>
    <w:p w14:paraId="2EA44D6A" w14:textId="65BEB4FA" w:rsidR="00BE1672" w:rsidRDefault="005F1B39" w:rsidP="00BE1672">
      <w:r>
        <w:t xml:space="preserve">As shown in </w:t>
      </w:r>
      <w:r>
        <w:fldChar w:fldCharType="begin"/>
      </w:r>
      <w:r>
        <w:instrText xml:space="preserve"> REF _Ref132777900 \h </w:instrText>
      </w:r>
      <w:r>
        <w:fldChar w:fldCharType="separate"/>
      </w:r>
      <w:r>
        <w:t xml:space="preserve">Figure </w:t>
      </w:r>
      <w:r>
        <w:rPr>
          <w:noProof/>
        </w:rPr>
        <w:t>8</w:t>
      </w:r>
      <w:r>
        <w:fldChar w:fldCharType="end"/>
      </w:r>
      <w:r>
        <w:t xml:space="preserve">, </w:t>
      </w:r>
      <w:r w:rsidR="008177AF">
        <w:t xml:space="preserve">as expected, </w:t>
      </w:r>
      <w:r>
        <w:t>the gas heating EUI</w:t>
      </w:r>
      <w:r w:rsidR="00B64BFC">
        <w:t xml:space="preserve"> </w:t>
      </w:r>
      <w:r w:rsidR="007E30C9">
        <w:t xml:space="preserve">increases more dramatically in </w:t>
      </w:r>
      <w:r w:rsidR="00415C7A">
        <w:t>locations with more heating degree days.</w:t>
      </w:r>
    </w:p>
    <w:p w14:paraId="1B6C8087" w14:textId="1D4D608A" w:rsidR="00D7581E" w:rsidRDefault="00D7581E" w:rsidP="00D7581E">
      <w:pPr>
        <w:jc w:val="center"/>
      </w:pPr>
      <w:r>
        <w:rPr>
          <w:noProof/>
        </w:rPr>
        <w:lastRenderedPageBreak/>
        <w:drawing>
          <wp:inline distT="0" distB="0" distL="0" distR="0" wp14:anchorId="3C7D5E3B" wp14:editId="3094DDF1">
            <wp:extent cx="5867908" cy="6020322"/>
            <wp:effectExtent l="0" t="0" r="0" b="0"/>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22"/>
                    <a:stretch>
                      <a:fillRect/>
                    </a:stretch>
                  </pic:blipFill>
                  <pic:spPr>
                    <a:xfrm>
                      <a:off x="0" y="0"/>
                      <a:ext cx="5867908" cy="6020322"/>
                    </a:xfrm>
                    <a:prstGeom prst="rect">
                      <a:avLst/>
                    </a:prstGeom>
                  </pic:spPr>
                </pic:pic>
              </a:graphicData>
            </a:graphic>
          </wp:inline>
        </w:drawing>
      </w:r>
    </w:p>
    <w:p w14:paraId="2F55111B" w14:textId="71917C9E" w:rsidR="00D7581E" w:rsidRDefault="00D7581E" w:rsidP="001B2F40">
      <w:pPr>
        <w:pStyle w:val="Caption"/>
        <w:jc w:val="center"/>
      </w:pPr>
      <w:bookmarkStart w:id="9" w:name="_Ref132778385"/>
      <w:r>
        <w:t xml:space="preserve">Figure </w:t>
      </w:r>
      <w:r>
        <w:fldChar w:fldCharType="begin"/>
      </w:r>
      <w:r>
        <w:instrText>SEQ Figure \* ARABIC</w:instrText>
      </w:r>
      <w:r>
        <w:fldChar w:fldCharType="separate"/>
      </w:r>
      <w:r>
        <w:rPr>
          <w:noProof/>
        </w:rPr>
        <w:t>9</w:t>
      </w:r>
      <w:r>
        <w:fldChar w:fldCharType="end"/>
      </w:r>
      <w:bookmarkEnd w:id="9"/>
      <w:r>
        <w:t>. Electric Cooling EUI Change by Building Type and Cooling Degree Days</w:t>
      </w:r>
    </w:p>
    <w:p w14:paraId="5FCD449B" w14:textId="5A83AEBB" w:rsidR="001B2F40" w:rsidRPr="001B2F40" w:rsidRDefault="001B2F40" w:rsidP="001B2F40">
      <w:r>
        <w:t xml:space="preserve">As shown in </w:t>
      </w:r>
      <w:r>
        <w:fldChar w:fldCharType="begin"/>
      </w:r>
      <w:r>
        <w:instrText xml:space="preserve"> REF _Ref132778385 \h </w:instrText>
      </w:r>
      <w:r>
        <w:fldChar w:fldCharType="separate"/>
      </w:r>
      <w:r>
        <w:t xml:space="preserve">Figure </w:t>
      </w:r>
      <w:r>
        <w:rPr>
          <w:noProof/>
        </w:rPr>
        <w:t>9</w:t>
      </w:r>
      <w:r>
        <w:fldChar w:fldCharType="end"/>
      </w:r>
      <w:r>
        <w:t xml:space="preserve">, as expected, </w:t>
      </w:r>
      <w:r w:rsidR="00AE2850">
        <w:t xml:space="preserve">cooling electricity consumption increases more in areas with higher cooling degree </w:t>
      </w:r>
      <w:r w:rsidR="00183517">
        <w:t>days and</w:t>
      </w:r>
      <w:r w:rsidR="00AE2850">
        <w:t xml:space="preserve"> stays almost unchanged </w:t>
      </w:r>
      <w:r w:rsidR="004E07B6">
        <w:t>in milder climates. Th</w:t>
      </w:r>
      <w:r w:rsidR="00183517">
        <w:t xml:space="preserve">e changes in electricity consumption are smaller than those for </w:t>
      </w:r>
      <w:r w:rsidR="00050D28">
        <w:t xml:space="preserve">natural gas consumption, matching the national scale impacts shown in </w:t>
      </w:r>
      <w:r w:rsidR="00050D28">
        <w:fldChar w:fldCharType="begin"/>
      </w:r>
      <w:r w:rsidR="00050D28">
        <w:instrText xml:space="preserve"> REF _Ref125609527 \h </w:instrText>
      </w:r>
      <w:r w:rsidR="00050D28">
        <w:fldChar w:fldCharType="separate"/>
      </w:r>
      <w:r w:rsidR="00050D28">
        <w:t xml:space="preserve">Figure </w:t>
      </w:r>
      <w:r w:rsidR="00050D28">
        <w:rPr>
          <w:noProof/>
        </w:rPr>
        <w:t>3</w:t>
      </w:r>
      <w:r w:rsidR="00050D28">
        <w:fldChar w:fldCharType="end"/>
      </w:r>
      <w:r w:rsidR="00050D28">
        <w:t xml:space="preserve"> and </w:t>
      </w:r>
      <w:r w:rsidR="00050D28">
        <w:fldChar w:fldCharType="begin"/>
      </w:r>
      <w:r w:rsidR="00050D28">
        <w:instrText xml:space="preserve"> REF _Ref125609529 \h </w:instrText>
      </w:r>
      <w:r w:rsidR="00050D28">
        <w:fldChar w:fldCharType="separate"/>
      </w:r>
      <w:r w:rsidR="00050D28">
        <w:t xml:space="preserve">Figure </w:t>
      </w:r>
      <w:r w:rsidR="00050D28">
        <w:rPr>
          <w:noProof/>
        </w:rPr>
        <w:t>4</w:t>
      </w:r>
      <w:r w:rsidR="00050D28">
        <w:fldChar w:fldCharType="end"/>
      </w:r>
      <w:r w:rsidR="00050D28">
        <w:t>.</w:t>
      </w:r>
    </w:p>
    <w:sectPr w:rsidR="001B2F40" w:rsidRPr="001B2F40" w:rsidSect="00851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06398"/>
    <w:rsid w:val="00012C33"/>
    <w:rsid w:val="000225A0"/>
    <w:rsid w:val="00030457"/>
    <w:rsid w:val="000309F3"/>
    <w:rsid w:val="000425A1"/>
    <w:rsid w:val="000426AA"/>
    <w:rsid w:val="000426B3"/>
    <w:rsid w:val="00045E16"/>
    <w:rsid w:val="000464C7"/>
    <w:rsid w:val="00050D28"/>
    <w:rsid w:val="00061321"/>
    <w:rsid w:val="00064CCE"/>
    <w:rsid w:val="0006578E"/>
    <w:rsid w:val="00066DB4"/>
    <w:rsid w:val="0006733A"/>
    <w:rsid w:val="00067797"/>
    <w:rsid w:val="000706DA"/>
    <w:rsid w:val="00085B6F"/>
    <w:rsid w:val="00091A78"/>
    <w:rsid w:val="000A60FB"/>
    <w:rsid w:val="000A7E7E"/>
    <w:rsid w:val="000B08D5"/>
    <w:rsid w:val="000B4D6C"/>
    <w:rsid w:val="000D759C"/>
    <w:rsid w:val="000F2417"/>
    <w:rsid w:val="00100313"/>
    <w:rsid w:val="00102140"/>
    <w:rsid w:val="00102687"/>
    <w:rsid w:val="001139D5"/>
    <w:rsid w:val="001207FE"/>
    <w:rsid w:val="00130D00"/>
    <w:rsid w:val="00134AE1"/>
    <w:rsid w:val="00143E08"/>
    <w:rsid w:val="00146B80"/>
    <w:rsid w:val="0015020E"/>
    <w:rsid w:val="001525B1"/>
    <w:rsid w:val="00157447"/>
    <w:rsid w:val="00160E30"/>
    <w:rsid w:val="00174BF7"/>
    <w:rsid w:val="001820D2"/>
    <w:rsid w:val="00183517"/>
    <w:rsid w:val="00184E5A"/>
    <w:rsid w:val="00186AE9"/>
    <w:rsid w:val="00191A2C"/>
    <w:rsid w:val="00191E37"/>
    <w:rsid w:val="001928E1"/>
    <w:rsid w:val="001A1573"/>
    <w:rsid w:val="001A6ACC"/>
    <w:rsid w:val="001B05C5"/>
    <w:rsid w:val="001B2F40"/>
    <w:rsid w:val="001B3A8A"/>
    <w:rsid w:val="001B45A0"/>
    <w:rsid w:val="001B6509"/>
    <w:rsid w:val="001C1F24"/>
    <w:rsid w:val="001C4F03"/>
    <w:rsid w:val="001C7D67"/>
    <w:rsid w:val="001D7469"/>
    <w:rsid w:val="001E03EB"/>
    <w:rsid w:val="001E2FCE"/>
    <w:rsid w:val="001E54B0"/>
    <w:rsid w:val="001E6D61"/>
    <w:rsid w:val="001F308B"/>
    <w:rsid w:val="001F4033"/>
    <w:rsid w:val="001F6154"/>
    <w:rsid w:val="00202CDB"/>
    <w:rsid w:val="00233D02"/>
    <w:rsid w:val="00233E61"/>
    <w:rsid w:val="00234023"/>
    <w:rsid w:val="00243F81"/>
    <w:rsid w:val="002507CE"/>
    <w:rsid w:val="002523A1"/>
    <w:rsid w:val="00255EFE"/>
    <w:rsid w:val="002562CF"/>
    <w:rsid w:val="00256DB9"/>
    <w:rsid w:val="00260883"/>
    <w:rsid w:val="00260933"/>
    <w:rsid w:val="00271F8F"/>
    <w:rsid w:val="002733D4"/>
    <w:rsid w:val="002868A6"/>
    <w:rsid w:val="002902D2"/>
    <w:rsid w:val="00293D75"/>
    <w:rsid w:val="00294658"/>
    <w:rsid w:val="002A2D0A"/>
    <w:rsid w:val="002B1D8F"/>
    <w:rsid w:val="002C21B1"/>
    <w:rsid w:val="002C60B7"/>
    <w:rsid w:val="002C6EF8"/>
    <w:rsid w:val="002D12C3"/>
    <w:rsid w:val="002E15EC"/>
    <w:rsid w:val="002E47C8"/>
    <w:rsid w:val="002E5B00"/>
    <w:rsid w:val="002E727A"/>
    <w:rsid w:val="002F124D"/>
    <w:rsid w:val="002F3D06"/>
    <w:rsid w:val="002F77A5"/>
    <w:rsid w:val="003008A8"/>
    <w:rsid w:val="00305D09"/>
    <w:rsid w:val="003125B0"/>
    <w:rsid w:val="0031261E"/>
    <w:rsid w:val="00326144"/>
    <w:rsid w:val="00330439"/>
    <w:rsid w:val="00337DEB"/>
    <w:rsid w:val="003424FC"/>
    <w:rsid w:val="003477E5"/>
    <w:rsid w:val="003550F5"/>
    <w:rsid w:val="0036204E"/>
    <w:rsid w:val="00362220"/>
    <w:rsid w:val="00362E78"/>
    <w:rsid w:val="003660BB"/>
    <w:rsid w:val="0036619C"/>
    <w:rsid w:val="00366751"/>
    <w:rsid w:val="0037231B"/>
    <w:rsid w:val="00372986"/>
    <w:rsid w:val="003767C2"/>
    <w:rsid w:val="00382CB2"/>
    <w:rsid w:val="003861C7"/>
    <w:rsid w:val="003878D8"/>
    <w:rsid w:val="0039042D"/>
    <w:rsid w:val="00391FF2"/>
    <w:rsid w:val="00395E2E"/>
    <w:rsid w:val="00396486"/>
    <w:rsid w:val="003A4503"/>
    <w:rsid w:val="003B54E6"/>
    <w:rsid w:val="003C5698"/>
    <w:rsid w:val="003C7255"/>
    <w:rsid w:val="003D21AF"/>
    <w:rsid w:val="003E6AB9"/>
    <w:rsid w:val="003F32B5"/>
    <w:rsid w:val="003F3EFA"/>
    <w:rsid w:val="00400420"/>
    <w:rsid w:val="0040067B"/>
    <w:rsid w:val="00403948"/>
    <w:rsid w:val="00403BBD"/>
    <w:rsid w:val="004108E5"/>
    <w:rsid w:val="00413778"/>
    <w:rsid w:val="00415C7A"/>
    <w:rsid w:val="0042670A"/>
    <w:rsid w:val="004344AA"/>
    <w:rsid w:val="004371B2"/>
    <w:rsid w:val="00437A84"/>
    <w:rsid w:val="00447513"/>
    <w:rsid w:val="00447E11"/>
    <w:rsid w:val="00451F1D"/>
    <w:rsid w:val="00457296"/>
    <w:rsid w:val="00457745"/>
    <w:rsid w:val="00460077"/>
    <w:rsid w:val="00463AF6"/>
    <w:rsid w:val="00466C86"/>
    <w:rsid w:val="0047279D"/>
    <w:rsid w:val="00472860"/>
    <w:rsid w:val="00475F37"/>
    <w:rsid w:val="004826D7"/>
    <w:rsid w:val="0049378B"/>
    <w:rsid w:val="004A050C"/>
    <w:rsid w:val="004A29C9"/>
    <w:rsid w:val="004A4066"/>
    <w:rsid w:val="004A5EAA"/>
    <w:rsid w:val="004A72E5"/>
    <w:rsid w:val="004B2E90"/>
    <w:rsid w:val="004B34CB"/>
    <w:rsid w:val="004C0506"/>
    <w:rsid w:val="004C06DE"/>
    <w:rsid w:val="004D1FF5"/>
    <w:rsid w:val="004D75E4"/>
    <w:rsid w:val="004D7D2F"/>
    <w:rsid w:val="004E07B6"/>
    <w:rsid w:val="004E0ED7"/>
    <w:rsid w:val="004E786D"/>
    <w:rsid w:val="004F2110"/>
    <w:rsid w:val="004F3881"/>
    <w:rsid w:val="004F43BA"/>
    <w:rsid w:val="004F604F"/>
    <w:rsid w:val="00506AB3"/>
    <w:rsid w:val="00510E6F"/>
    <w:rsid w:val="005112B5"/>
    <w:rsid w:val="005134C1"/>
    <w:rsid w:val="00513EF8"/>
    <w:rsid w:val="00516723"/>
    <w:rsid w:val="00517A01"/>
    <w:rsid w:val="00520531"/>
    <w:rsid w:val="00531887"/>
    <w:rsid w:val="00533A53"/>
    <w:rsid w:val="00535514"/>
    <w:rsid w:val="00535F3A"/>
    <w:rsid w:val="00541E18"/>
    <w:rsid w:val="00542EFD"/>
    <w:rsid w:val="00544838"/>
    <w:rsid w:val="00544C80"/>
    <w:rsid w:val="0055092C"/>
    <w:rsid w:val="0055462A"/>
    <w:rsid w:val="00555B89"/>
    <w:rsid w:val="00560F56"/>
    <w:rsid w:val="00562C60"/>
    <w:rsid w:val="005670C5"/>
    <w:rsid w:val="00574B8B"/>
    <w:rsid w:val="00574C14"/>
    <w:rsid w:val="0058067E"/>
    <w:rsid w:val="005948C7"/>
    <w:rsid w:val="00595752"/>
    <w:rsid w:val="005A7723"/>
    <w:rsid w:val="005C1729"/>
    <w:rsid w:val="005C172C"/>
    <w:rsid w:val="005C5246"/>
    <w:rsid w:val="005C65B9"/>
    <w:rsid w:val="005D1D38"/>
    <w:rsid w:val="005E7EA0"/>
    <w:rsid w:val="005F1B39"/>
    <w:rsid w:val="005F34E7"/>
    <w:rsid w:val="005F65F3"/>
    <w:rsid w:val="0062260E"/>
    <w:rsid w:val="006230A5"/>
    <w:rsid w:val="00624170"/>
    <w:rsid w:val="00634678"/>
    <w:rsid w:val="00640E16"/>
    <w:rsid w:val="0064465F"/>
    <w:rsid w:val="006446D5"/>
    <w:rsid w:val="00645DC4"/>
    <w:rsid w:val="006526A3"/>
    <w:rsid w:val="00653FC2"/>
    <w:rsid w:val="006540BB"/>
    <w:rsid w:val="0065501D"/>
    <w:rsid w:val="0065742E"/>
    <w:rsid w:val="00664E13"/>
    <w:rsid w:val="006653EE"/>
    <w:rsid w:val="006671DA"/>
    <w:rsid w:val="00667563"/>
    <w:rsid w:val="006707D4"/>
    <w:rsid w:val="006902DC"/>
    <w:rsid w:val="0069479D"/>
    <w:rsid w:val="00695D9E"/>
    <w:rsid w:val="0069641E"/>
    <w:rsid w:val="00696ACF"/>
    <w:rsid w:val="006A413D"/>
    <w:rsid w:val="006A43DE"/>
    <w:rsid w:val="006A640A"/>
    <w:rsid w:val="006B58FE"/>
    <w:rsid w:val="006B597A"/>
    <w:rsid w:val="006B7619"/>
    <w:rsid w:val="006C124C"/>
    <w:rsid w:val="006C27E8"/>
    <w:rsid w:val="006C2D7F"/>
    <w:rsid w:val="006C4816"/>
    <w:rsid w:val="006D437A"/>
    <w:rsid w:val="006D6162"/>
    <w:rsid w:val="006D628C"/>
    <w:rsid w:val="006D77C9"/>
    <w:rsid w:val="006E777C"/>
    <w:rsid w:val="006F346E"/>
    <w:rsid w:val="006F4F14"/>
    <w:rsid w:val="006F6EB0"/>
    <w:rsid w:val="006F6ED3"/>
    <w:rsid w:val="007041C4"/>
    <w:rsid w:val="00717695"/>
    <w:rsid w:val="00717F96"/>
    <w:rsid w:val="007237BE"/>
    <w:rsid w:val="007319C0"/>
    <w:rsid w:val="00734EDD"/>
    <w:rsid w:val="00740982"/>
    <w:rsid w:val="00745AEF"/>
    <w:rsid w:val="0074668F"/>
    <w:rsid w:val="00750A78"/>
    <w:rsid w:val="00761CA4"/>
    <w:rsid w:val="00771DC3"/>
    <w:rsid w:val="0077773C"/>
    <w:rsid w:val="0078157C"/>
    <w:rsid w:val="0078233E"/>
    <w:rsid w:val="00782C7A"/>
    <w:rsid w:val="0079147D"/>
    <w:rsid w:val="007929EF"/>
    <w:rsid w:val="00794028"/>
    <w:rsid w:val="00796D00"/>
    <w:rsid w:val="007A1A3C"/>
    <w:rsid w:val="007A4971"/>
    <w:rsid w:val="007B15C8"/>
    <w:rsid w:val="007B565A"/>
    <w:rsid w:val="007C00CB"/>
    <w:rsid w:val="007C1BF0"/>
    <w:rsid w:val="007C21B2"/>
    <w:rsid w:val="007C33A3"/>
    <w:rsid w:val="007C6B43"/>
    <w:rsid w:val="007D0D55"/>
    <w:rsid w:val="007D1104"/>
    <w:rsid w:val="007D5D9F"/>
    <w:rsid w:val="007E30C9"/>
    <w:rsid w:val="007F097C"/>
    <w:rsid w:val="007F41B6"/>
    <w:rsid w:val="00800D88"/>
    <w:rsid w:val="00804431"/>
    <w:rsid w:val="00804C3D"/>
    <w:rsid w:val="00805CF4"/>
    <w:rsid w:val="00814C81"/>
    <w:rsid w:val="008177AF"/>
    <w:rsid w:val="00821A4F"/>
    <w:rsid w:val="00822B2E"/>
    <w:rsid w:val="00823065"/>
    <w:rsid w:val="008259FA"/>
    <w:rsid w:val="00832590"/>
    <w:rsid w:val="008413EB"/>
    <w:rsid w:val="008435F7"/>
    <w:rsid w:val="0084704E"/>
    <w:rsid w:val="008508E6"/>
    <w:rsid w:val="008513DD"/>
    <w:rsid w:val="00860320"/>
    <w:rsid w:val="0086041A"/>
    <w:rsid w:val="00863161"/>
    <w:rsid w:val="00870931"/>
    <w:rsid w:val="00882D9D"/>
    <w:rsid w:val="00894F69"/>
    <w:rsid w:val="008A0A6A"/>
    <w:rsid w:val="008A2AB4"/>
    <w:rsid w:val="008A31E1"/>
    <w:rsid w:val="008A4F73"/>
    <w:rsid w:val="008A6972"/>
    <w:rsid w:val="008B4655"/>
    <w:rsid w:val="008B6DDA"/>
    <w:rsid w:val="008C5404"/>
    <w:rsid w:val="008C629D"/>
    <w:rsid w:val="008C644A"/>
    <w:rsid w:val="008D52AD"/>
    <w:rsid w:val="008D61C8"/>
    <w:rsid w:val="008D7E8B"/>
    <w:rsid w:val="008E1F99"/>
    <w:rsid w:val="008E30CA"/>
    <w:rsid w:val="008E4171"/>
    <w:rsid w:val="008E4232"/>
    <w:rsid w:val="008E73CF"/>
    <w:rsid w:val="008F34E4"/>
    <w:rsid w:val="008F4EC3"/>
    <w:rsid w:val="00906852"/>
    <w:rsid w:val="00916529"/>
    <w:rsid w:val="00930408"/>
    <w:rsid w:val="00933572"/>
    <w:rsid w:val="00933941"/>
    <w:rsid w:val="0093621B"/>
    <w:rsid w:val="0094164D"/>
    <w:rsid w:val="00943AF8"/>
    <w:rsid w:val="009452E2"/>
    <w:rsid w:val="00947D8E"/>
    <w:rsid w:val="009522B7"/>
    <w:rsid w:val="00954176"/>
    <w:rsid w:val="00956552"/>
    <w:rsid w:val="00960F27"/>
    <w:rsid w:val="00970031"/>
    <w:rsid w:val="00973B1F"/>
    <w:rsid w:val="00975A3D"/>
    <w:rsid w:val="00982944"/>
    <w:rsid w:val="009849B9"/>
    <w:rsid w:val="00993019"/>
    <w:rsid w:val="00995B52"/>
    <w:rsid w:val="00997A1C"/>
    <w:rsid w:val="009B15FB"/>
    <w:rsid w:val="009B67E6"/>
    <w:rsid w:val="009C2713"/>
    <w:rsid w:val="009D09E1"/>
    <w:rsid w:val="009D17ED"/>
    <w:rsid w:val="009D4F92"/>
    <w:rsid w:val="009E443C"/>
    <w:rsid w:val="009F27BB"/>
    <w:rsid w:val="00A02B68"/>
    <w:rsid w:val="00A039BC"/>
    <w:rsid w:val="00A040BC"/>
    <w:rsid w:val="00A04C90"/>
    <w:rsid w:val="00A0581E"/>
    <w:rsid w:val="00A06400"/>
    <w:rsid w:val="00A070FE"/>
    <w:rsid w:val="00A132D5"/>
    <w:rsid w:val="00A135BA"/>
    <w:rsid w:val="00A13D1D"/>
    <w:rsid w:val="00A14363"/>
    <w:rsid w:val="00A17141"/>
    <w:rsid w:val="00A17DC5"/>
    <w:rsid w:val="00A2003E"/>
    <w:rsid w:val="00A35ABC"/>
    <w:rsid w:val="00A40885"/>
    <w:rsid w:val="00A4221E"/>
    <w:rsid w:val="00A51186"/>
    <w:rsid w:val="00A60C46"/>
    <w:rsid w:val="00A659D0"/>
    <w:rsid w:val="00A66266"/>
    <w:rsid w:val="00A7198F"/>
    <w:rsid w:val="00A761F6"/>
    <w:rsid w:val="00A77BFC"/>
    <w:rsid w:val="00A824E2"/>
    <w:rsid w:val="00A82C50"/>
    <w:rsid w:val="00A84A39"/>
    <w:rsid w:val="00A900C2"/>
    <w:rsid w:val="00A907DA"/>
    <w:rsid w:val="00A92252"/>
    <w:rsid w:val="00A95828"/>
    <w:rsid w:val="00A97639"/>
    <w:rsid w:val="00A97753"/>
    <w:rsid w:val="00AA030C"/>
    <w:rsid w:val="00AB6A1C"/>
    <w:rsid w:val="00AB7B19"/>
    <w:rsid w:val="00AC66EC"/>
    <w:rsid w:val="00AD1E76"/>
    <w:rsid w:val="00AD4976"/>
    <w:rsid w:val="00AD4FFD"/>
    <w:rsid w:val="00AD65BE"/>
    <w:rsid w:val="00AE2850"/>
    <w:rsid w:val="00AF3B84"/>
    <w:rsid w:val="00AF6555"/>
    <w:rsid w:val="00AF6A2E"/>
    <w:rsid w:val="00B10DDD"/>
    <w:rsid w:val="00B22015"/>
    <w:rsid w:val="00B257A8"/>
    <w:rsid w:val="00B309AE"/>
    <w:rsid w:val="00B35F80"/>
    <w:rsid w:val="00B37C5B"/>
    <w:rsid w:val="00B47E60"/>
    <w:rsid w:val="00B50A55"/>
    <w:rsid w:val="00B51DB9"/>
    <w:rsid w:val="00B55738"/>
    <w:rsid w:val="00B55A63"/>
    <w:rsid w:val="00B57B3D"/>
    <w:rsid w:val="00B63655"/>
    <w:rsid w:val="00B64BFC"/>
    <w:rsid w:val="00B70204"/>
    <w:rsid w:val="00B7428D"/>
    <w:rsid w:val="00B74B5F"/>
    <w:rsid w:val="00B841F3"/>
    <w:rsid w:val="00B92A6F"/>
    <w:rsid w:val="00B97120"/>
    <w:rsid w:val="00BA7123"/>
    <w:rsid w:val="00BB5A38"/>
    <w:rsid w:val="00BC1C8C"/>
    <w:rsid w:val="00BC47C1"/>
    <w:rsid w:val="00BC63D4"/>
    <w:rsid w:val="00BD6F7B"/>
    <w:rsid w:val="00BD7612"/>
    <w:rsid w:val="00BE0743"/>
    <w:rsid w:val="00BE15D5"/>
    <w:rsid w:val="00BE1672"/>
    <w:rsid w:val="00BE2290"/>
    <w:rsid w:val="00BE52B0"/>
    <w:rsid w:val="00BE745B"/>
    <w:rsid w:val="00BF0B10"/>
    <w:rsid w:val="00BF2CE3"/>
    <w:rsid w:val="00BF2DDA"/>
    <w:rsid w:val="00C028D3"/>
    <w:rsid w:val="00C108FC"/>
    <w:rsid w:val="00C14F2F"/>
    <w:rsid w:val="00C150B8"/>
    <w:rsid w:val="00C15477"/>
    <w:rsid w:val="00C1709E"/>
    <w:rsid w:val="00C2435C"/>
    <w:rsid w:val="00C32D25"/>
    <w:rsid w:val="00C36AC8"/>
    <w:rsid w:val="00C37D38"/>
    <w:rsid w:val="00C40432"/>
    <w:rsid w:val="00C413EC"/>
    <w:rsid w:val="00C42222"/>
    <w:rsid w:val="00C43FE9"/>
    <w:rsid w:val="00C524B7"/>
    <w:rsid w:val="00C53C41"/>
    <w:rsid w:val="00C57D7E"/>
    <w:rsid w:val="00C619B6"/>
    <w:rsid w:val="00C72233"/>
    <w:rsid w:val="00C73572"/>
    <w:rsid w:val="00C77F17"/>
    <w:rsid w:val="00C83FA9"/>
    <w:rsid w:val="00C917F3"/>
    <w:rsid w:val="00C939DA"/>
    <w:rsid w:val="00C95E3E"/>
    <w:rsid w:val="00C95FE7"/>
    <w:rsid w:val="00C96E9F"/>
    <w:rsid w:val="00C97327"/>
    <w:rsid w:val="00CA78E2"/>
    <w:rsid w:val="00CB6362"/>
    <w:rsid w:val="00CC3322"/>
    <w:rsid w:val="00CE134A"/>
    <w:rsid w:val="00CE2F7C"/>
    <w:rsid w:val="00CE74F5"/>
    <w:rsid w:val="00CF6082"/>
    <w:rsid w:val="00D03937"/>
    <w:rsid w:val="00D04F21"/>
    <w:rsid w:val="00D065FA"/>
    <w:rsid w:val="00D11965"/>
    <w:rsid w:val="00D17C45"/>
    <w:rsid w:val="00D229D8"/>
    <w:rsid w:val="00D30583"/>
    <w:rsid w:val="00D34EED"/>
    <w:rsid w:val="00D37011"/>
    <w:rsid w:val="00D407E4"/>
    <w:rsid w:val="00D40AC8"/>
    <w:rsid w:val="00D4170B"/>
    <w:rsid w:val="00D42715"/>
    <w:rsid w:val="00D43DFD"/>
    <w:rsid w:val="00D4725F"/>
    <w:rsid w:val="00D502B0"/>
    <w:rsid w:val="00D5221C"/>
    <w:rsid w:val="00D5298C"/>
    <w:rsid w:val="00D52BA8"/>
    <w:rsid w:val="00D60F4A"/>
    <w:rsid w:val="00D61A47"/>
    <w:rsid w:val="00D7581E"/>
    <w:rsid w:val="00D7663C"/>
    <w:rsid w:val="00D8524D"/>
    <w:rsid w:val="00D95A00"/>
    <w:rsid w:val="00D96FB3"/>
    <w:rsid w:val="00DA54C7"/>
    <w:rsid w:val="00DA6225"/>
    <w:rsid w:val="00DB64F6"/>
    <w:rsid w:val="00DB78D1"/>
    <w:rsid w:val="00DC1605"/>
    <w:rsid w:val="00DC41DA"/>
    <w:rsid w:val="00DC6105"/>
    <w:rsid w:val="00DD369F"/>
    <w:rsid w:val="00DD4E02"/>
    <w:rsid w:val="00DD68B2"/>
    <w:rsid w:val="00DF1A88"/>
    <w:rsid w:val="00DF27E1"/>
    <w:rsid w:val="00E04AC3"/>
    <w:rsid w:val="00E05CA1"/>
    <w:rsid w:val="00E07D5F"/>
    <w:rsid w:val="00E10072"/>
    <w:rsid w:val="00E14819"/>
    <w:rsid w:val="00E14B40"/>
    <w:rsid w:val="00E234B4"/>
    <w:rsid w:val="00E34D99"/>
    <w:rsid w:val="00E3733C"/>
    <w:rsid w:val="00E42BAF"/>
    <w:rsid w:val="00E54FB3"/>
    <w:rsid w:val="00E558DA"/>
    <w:rsid w:val="00E56DCB"/>
    <w:rsid w:val="00E641C0"/>
    <w:rsid w:val="00E65EED"/>
    <w:rsid w:val="00E674A6"/>
    <w:rsid w:val="00E67909"/>
    <w:rsid w:val="00E70A28"/>
    <w:rsid w:val="00E715C9"/>
    <w:rsid w:val="00E75BEB"/>
    <w:rsid w:val="00E812C6"/>
    <w:rsid w:val="00E83D05"/>
    <w:rsid w:val="00E87CD2"/>
    <w:rsid w:val="00E9471A"/>
    <w:rsid w:val="00E9485C"/>
    <w:rsid w:val="00EA22ED"/>
    <w:rsid w:val="00EA5CE9"/>
    <w:rsid w:val="00EA6042"/>
    <w:rsid w:val="00EA6356"/>
    <w:rsid w:val="00EA790E"/>
    <w:rsid w:val="00EB2BC3"/>
    <w:rsid w:val="00EC1019"/>
    <w:rsid w:val="00EC6649"/>
    <w:rsid w:val="00ED0F7E"/>
    <w:rsid w:val="00ED2D2B"/>
    <w:rsid w:val="00ED588B"/>
    <w:rsid w:val="00ED642C"/>
    <w:rsid w:val="00ED6C98"/>
    <w:rsid w:val="00EE3D98"/>
    <w:rsid w:val="00EE467B"/>
    <w:rsid w:val="00EF0B57"/>
    <w:rsid w:val="00EF2BDC"/>
    <w:rsid w:val="00EF4C7F"/>
    <w:rsid w:val="00EF51AB"/>
    <w:rsid w:val="00EF5F7F"/>
    <w:rsid w:val="00F0343C"/>
    <w:rsid w:val="00F04A65"/>
    <w:rsid w:val="00F05818"/>
    <w:rsid w:val="00F10E43"/>
    <w:rsid w:val="00F12CE8"/>
    <w:rsid w:val="00F15E22"/>
    <w:rsid w:val="00F23359"/>
    <w:rsid w:val="00F269CD"/>
    <w:rsid w:val="00F26B9E"/>
    <w:rsid w:val="00F30EC6"/>
    <w:rsid w:val="00F31460"/>
    <w:rsid w:val="00F32871"/>
    <w:rsid w:val="00F33770"/>
    <w:rsid w:val="00F405B3"/>
    <w:rsid w:val="00F40F40"/>
    <w:rsid w:val="00F45404"/>
    <w:rsid w:val="00F45C32"/>
    <w:rsid w:val="00F55C2D"/>
    <w:rsid w:val="00F56781"/>
    <w:rsid w:val="00F6438D"/>
    <w:rsid w:val="00F66BC9"/>
    <w:rsid w:val="00F67D6A"/>
    <w:rsid w:val="00F700B0"/>
    <w:rsid w:val="00F756F2"/>
    <w:rsid w:val="00F77696"/>
    <w:rsid w:val="00F954C7"/>
    <w:rsid w:val="00F97ECF"/>
    <w:rsid w:val="00FA3151"/>
    <w:rsid w:val="00FA5297"/>
    <w:rsid w:val="00FB1591"/>
    <w:rsid w:val="00FC34B1"/>
    <w:rsid w:val="00FC37E5"/>
    <w:rsid w:val="00FD1EEA"/>
    <w:rsid w:val="00FD2974"/>
    <w:rsid w:val="00FD525A"/>
    <w:rsid w:val="00FD5EB3"/>
    <w:rsid w:val="00FE3C8D"/>
    <w:rsid w:val="00FF603D"/>
    <w:rsid w:val="00FF76D6"/>
    <w:rsid w:val="01E4B9E5"/>
    <w:rsid w:val="01FF6A46"/>
    <w:rsid w:val="02AF1F8B"/>
    <w:rsid w:val="03792097"/>
    <w:rsid w:val="03808A46"/>
    <w:rsid w:val="0465D322"/>
    <w:rsid w:val="0519BF5E"/>
    <w:rsid w:val="05F633BC"/>
    <w:rsid w:val="06E9373B"/>
    <w:rsid w:val="07AD75FF"/>
    <w:rsid w:val="07EFB5FA"/>
    <w:rsid w:val="0902BAB9"/>
    <w:rsid w:val="0915B5EF"/>
    <w:rsid w:val="09B8D3E8"/>
    <w:rsid w:val="09CF39BE"/>
    <w:rsid w:val="0A5BC75A"/>
    <w:rsid w:val="0A8BE726"/>
    <w:rsid w:val="0B170C71"/>
    <w:rsid w:val="0C5CCA20"/>
    <w:rsid w:val="0C888531"/>
    <w:rsid w:val="0CFF0196"/>
    <w:rsid w:val="0D8F9455"/>
    <w:rsid w:val="0DD7F6D1"/>
    <w:rsid w:val="0E087CA8"/>
    <w:rsid w:val="0FB65CD5"/>
    <w:rsid w:val="10D1E5C6"/>
    <w:rsid w:val="113856C6"/>
    <w:rsid w:val="12158E10"/>
    <w:rsid w:val="1303CBF5"/>
    <w:rsid w:val="132702E3"/>
    <w:rsid w:val="13DE2019"/>
    <w:rsid w:val="14A52164"/>
    <w:rsid w:val="154D2ED2"/>
    <w:rsid w:val="1563C8EC"/>
    <w:rsid w:val="1627C968"/>
    <w:rsid w:val="169D91A2"/>
    <w:rsid w:val="1796B432"/>
    <w:rsid w:val="17A8E968"/>
    <w:rsid w:val="17C399C9"/>
    <w:rsid w:val="19789287"/>
    <w:rsid w:val="19ED4B0E"/>
    <w:rsid w:val="1A3E84A6"/>
    <w:rsid w:val="1ACB1BCF"/>
    <w:rsid w:val="1B75DCC7"/>
    <w:rsid w:val="1D0B5864"/>
    <w:rsid w:val="1D10FC1A"/>
    <w:rsid w:val="1D357B92"/>
    <w:rsid w:val="1E10C13D"/>
    <w:rsid w:val="1ED97666"/>
    <w:rsid w:val="204626BC"/>
    <w:rsid w:val="214FCBAE"/>
    <w:rsid w:val="216A7C0F"/>
    <w:rsid w:val="2398FBBA"/>
    <w:rsid w:val="2581AF95"/>
    <w:rsid w:val="25A3F243"/>
    <w:rsid w:val="2634506A"/>
    <w:rsid w:val="26CBCE16"/>
    <w:rsid w:val="271D7FF6"/>
    <w:rsid w:val="27D020CB"/>
    <w:rsid w:val="27DF800A"/>
    <w:rsid w:val="286C6CDD"/>
    <w:rsid w:val="28841383"/>
    <w:rsid w:val="297D7B7A"/>
    <w:rsid w:val="2A036ED8"/>
    <w:rsid w:val="2A111CDF"/>
    <w:rsid w:val="2A22664E"/>
    <w:rsid w:val="2A5421EA"/>
    <w:rsid w:val="2B1720CC"/>
    <w:rsid w:val="2BB7BC81"/>
    <w:rsid w:val="2C031F06"/>
    <w:rsid w:val="2C9BF3DF"/>
    <w:rsid w:val="3154B4A1"/>
    <w:rsid w:val="31A8946E"/>
    <w:rsid w:val="33426A43"/>
    <w:rsid w:val="3484EBB4"/>
    <w:rsid w:val="37DC6FCB"/>
    <w:rsid w:val="37F7CEE3"/>
    <w:rsid w:val="390EE6FD"/>
    <w:rsid w:val="39585CD7"/>
    <w:rsid w:val="399B8C6E"/>
    <w:rsid w:val="3A5F677B"/>
    <w:rsid w:val="3AA02F8A"/>
    <w:rsid w:val="3AAB0769"/>
    <w:rsid w:val="3BFB37DC"/>
    <w:rsid w:val="3CCB4006"/>
    <w:rsid w:val="3EEC8D47"/>
    <w:rsid w:val="3F2882A0"/>
    <w:rsid w:val="3F39BD77"/>
    <w:rsid w:val="3FCC6CC1"/>
    <w:rsid w:val="404AE23F"/>
    <w:rsid w:val="4158F78C"/>
    <w:rsid w:val="417BEC04"/>
    <w:rsid w:val="419EB129"/>
    <w:rsid w:val="41AC96F1"/>
    <w:rsid w:val="4234264D"/>
    <w:rsid w:val="423B7EEC"/>
    <w:rsid w:val="42C534A9"/>
    <w:rsid w:val="433F2FF3"/>
    <w:rsid w:val="43FBF3C3"/>
    <w:rsid w:val="450B6E3F"/>
    <w:rsid w:val="45867F9E"/>
    <w:rsid w:val="46C06FF6"/>
    <w:rsid w:val="4729E192"/>
    <w:rsid w:val="4732EB96"/>
    <w:rsid w:val="474CBCE2"/>
    <w:rsid w:val="47A6FD04"/>
    <w:rsid w:val="48CF64E6"/>
    <w:rsid w:val="4900AC8B"/>
    <w:rsid w:val="4986FDE9"/>
    <w:rsid w:val="498DB020"/>
    <w:rsid w:val="49AB9DDA"/>
    <w:rsid w:val="4A3E428C"/>
    <w:rsid w:val="4A7DD4FC"/>
    <w:rsid w:val="4A845DA4"/>
    <w:rsid w:val="4C0705A8"/>
    <w:rsid w:val="4C6EC9DF"/>
    <w:rsid w:val="4DA217B9"/>
    <w:rsid w:val="4DB7E4EE"/>
    <w:rsid w:val="4DFAF176"/>
    <w:rsid w:val="4F35B4B7"/>
    <w:rsid w:val="505334FF"/>
    <w:rsid w:val="5309CE59"/>
    <w:rsid w:val="536310AA"/>
    <w:rsid w:val="53EFFD7D"/>
    <w:rsid w:val="540957B0"/>
    <w:rsid w:val="55711DE3"/>
    <w:rsid w:val="56397B67"/>
    <w:rsid w:val="5698B90E"/>
    <w:rsid w:val="56BEE3BA"/>
    <w:rsid w:val="5749B84F"/>
    <w:rsid w:val="5762E0AC"/>
    <w:rsid w:val="57AAE223"/>
    <w:rsid w:val="58D2C5D5"/>
    <w:rsid w:val="59092EDD"/>
    <w:rsid w:val="59313E35"/>
    <w:rsid w:val="5A6279D9"/>
    <w:rsid w:val="5B14085B"/>
    <w:rsid w:val="5B72F0F5"/>
    <w:rsid w:val="5BB03D95"/>
    <w:rsid w:val="5BB5E14B"/>
    <w:rsid w:val="5BC1BC0F"/>
    <w:rsid w:val="5C0A6697"/>
    <w:rsid w:val="5C138CAA"/>
    <w:rsid w:val="5C2516F8"/>
    <w:rsid w:val="5EDC6C3A"/>
    <w:rsid w:val="5F5CB7BA"/>
    <w:rsid w:val="60E1EA18"/>
    <w:rsid w:val="611CA8CF"/>
    <w:rsid w:val="660DE259"/>
    <w:rsid w:val="6752DD06"/>
    <w:rsid w:val="681FC64E"/>
    <w:rsid w:val="6993395D"/>
    <w:rsid w:val="69EBA1BB"/>
    <w:rsid w:val="6A96AA84"/>
    <w:rsid w:val="6B576710"/>
    <w:rsid w:val="6BCE93F0"/>
    <w:rsid w:val="6C0F3AEE"/>
    <w:rsid w:val="6CDA6897"/>
    <w:rsid w:val="6DC29F1A"/>
    <w:rsid w:val="6F379917"/>
    <w:rsid w:val="6F5E6F7B"/>
    <w:rsid w:val="702AD833"/>
    <w:rsid w:val="71063E7A"/>
    <w:rsid w:val="72D0A9A9"/>
    <w:rsid w:val="751EBC2E"/>
    <w:rsid w:val="768CDF87"/>
    <w:rsid w:val="76A2073D"/>
    <w:rsid w:val="76F15FC2"/>
    <w:rsid w:val="783FACBE"/>
    <w:rsid w:val="78565CF0"/>
    <w:rsid w:val="79D9A7FF"/>
    <w:rsid w:val="7A82E99E"/>
    <w:rsid w:val="7B757860"/>
    <w:rsid w:val="7BBF5FEC"/>
    <w:rsid w:val="7E0E5839"/>
    <w:rsid w:val="7E1FBC15"/>
    <w:rsid w:val="7F0746F7"/>
    <w:rsid w:val="7F1400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317E77A9-D321-4AB2-88F0-7345EC15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9042D"/>
    <w:pPr>
      <w:spacing w:after="0" w:line="240" w:lineRule="auto"/>
    </w:pPr>
    <w:rPr>
      <w:rFonts w:ascii="Calibri" w:eastAsia="Calibri" w:hAnsi="Calibri" w:cs="Arial"/>
    </w:rPr>
  </w:style>
  <w:style w:type="paragraph" w:styleId="Revision">
    <w:name w:val="Revision"/>
    <w:hidden/>
    <w:uiPriority w:val="99"/>
    <w:semiHidden/>
    <w:rsid w:val="00BE52B0"/>
    <w:pPr>
      <w:spacing w:after="0" w:line="240" w:lineRule="auto"/>
    </w:pPr>
    <w:rPr>
      <w:rFonts w:ascii="Calibri" w:eastAsia="Calibri" w:hAnsi="Calibri" w:cs="Arial"/>
    </w:rPr>
  </w:style>
  <w:style w:type="character" w:styleId="Mention">
    <w:name w:val="Mention"/>
    <w:basedOn w:val="DefaultParagraphFont"/>
    <w:uiPriority w:val="99"/>
    <w:unhideWhenUsed/>
    <w:rsid w:val="00066D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50203">
      <w:bodyDiv w:val="1"/>
      <w:marLeft w:val="0"/>
      <w:marRight w:val="0"/>
      <w:marTop w:val="0"/>
      <w:marBottom w:val="0"/>
      <w:divBdr>
        <w:top w:val="none" w:sz="0" w:space="0" w:color="auto"/>
        <w:left w:val="none" w:sz="0" w:space="0" w:color="auto"/>
        <w:bottom w:val="none" w:sz="0" w:space="0" w:color="auto"/>
        <w:right w:val="none" w:sz="0" w:space="0" w:color="auto"/>
      </w:divBdr>
    </w:div>
    <w:div w:id="233249311">
      <w:bodyDiv w:val="1"/>
      <w:marLeft w:val="0"/>
      <w:marRight w:val="0"/>
      <w:marTop w:val="0"/>
      <w:marBottom w:val="0"/>
      <w:divBdr>
        <w:top w:val="none" w:sz="0" w:space="0" w:color="auto"/>
        <w:left w:val="none" w:sz="0" w:space="0" w:color="auto"/>
        <w:bottom w:val="none" w:sz="0" w:space="0" w:color="auto"/>
        <w:right w:val="none" w:sz="0" w:space="0" w:color="auto"/>
      </w:divBdr>
      <w:divsChild>
        <w:div w:id="1254778877">
          <w:marLeft w:val="0"/>
          <w:marRight w:val="0"/>
          <w:marTop w:val="0"/>
          <w:marBottom w:val="0"/>
          <w:divBdr>
            <w:top w:val="none" w:sz="0" w:space="0" w:color="auto"/>
            <w:left w:val="none" w:sz="0" w:space="0" w:color="auto"/>
            <w:bottom w:val="none" w:sz="0" w:space="0" w:color="auto"/>
            <w:right w:val="none" w:sz="0" w:space="0" w:color="auto"/>
          </w:divBdr>
          <w:divsChild>
            <w:div w:id="430318699">
              <w:marLeft w:val="0"/>
              <w:marRight w:val="0"/>
              <w:marTop w:val="0"/>
              <w:marBottom w:val="0"/>
              <w:divBdr>
                <w:top w:val="none" w:sz="0" w:space="0" w:color="auto"/>
                <w:left w:val="none" w:sz="0" w:space="0" w:color="auto"/>
                <w:bottom w:val="none" w:sz="0" w:space="0" w:color="auto"/>
                <w:right w:val="none" w:sz="0" w:space="0" w:color="auto"/>
              </w:divBdr>
            </w:div>
            <w:div w:id="7918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3613">
      <w:bodyDiv w:val="1"/>
      <w:marLeft w:val="0"/>
      <w:marRight w:val="0"/>
      <w:marTop w:val="0"/>
      <w:marBottom w:val="0"/>
      <w:divBdr>
        <w:top w:val="none" w:sz="0" w:space="0" w:color="auto"/>
        <w:left w:val="none" w:sz="0" w:space="0" w:color="auto"/>
        <w:bottom w:val="none" w:sz="0" w:space="0" w:color="auto"/>
        <w:right w:val="none" w:sz="0" w:space="0" w:color="auto"/>
      </w:divBdr>
      <w:divsChild>
        <w:div w:id="2030449931">
          <w:marLeft w:val="0"/>
          <w:marRight w:val="0"/>
          <w:marTop w:val="0"/>
          <w:marBottom w:val="0"/>
          <w:divBdr>
            <w:top w:val="none" w:sz="0" w:space="0" w:color="auto"/>
            <w:left w:val="none" w:sz="0" w:space="0" w:color="auto"/>
            <w:bottom w:val="none" w:sz="0" w:space="0" w:color="auto"/>
            <w:right w:val="none" w:sz="0" w:space="0" w:color="auto"/>
          </w:divBdr>
          <w:divsChild>
            <w:div w:id="1043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5105">
      <w:bodyDiv w:val="1"/>
      <w:marLeft w:val="0"/>
      <w:marRight w:val="0"/>
      <w:marTop w:val="0"/>
      <w:marBottom w:val="0"/>
      <w:divBdr>
        <w:top w:val="none" w:sz="0" w:space="0" w:color="auto"/>
        <w:left w:val="none" w:sz="0" w:space="0" w:color="auto"/>
        <w:bottom w:val="none" w:sz="0" w:space="0" w:color="auto"/>
        <w:right w:val="none" w:sz="0" w:space="0" w:color="auto"/>
      </w:divBdr>
      <w:divsChild>
        <w:div w:id="278494729">
          <w:marLeft w:val="0"/>
          <w:marRight w:val="0"/>
          <w:marTop w:val="0"/>
          <w:marBottom w:val="0"/>
          <w:divBdr>
            <w:top w:val="none" w:sz="0" w:space="0" w:color="auto"/>
            <w:left w:val="none" w:sz="0" w:space="0" w:color="auto"/>
            <w:bottom w:val="none" w:sz="0" w:space="0" w:color="auto"/>
            <w:right w:val="none" w:sz="0" w:space="0" w:color="auto"/>
          </w:divBdr>
          <w:divsChild>
            <w:div w:id="19833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3976">
      <w:bodyDiv w:val="1"/>
      <w:marLeft w:val="0"/>
      <w:marRight w:val="0"/>
      <w:marTop w:val="0"/>
      <w:marBottom w:val="0"/>
      <w:divBdr>
        <w:top w:val="none" w:sz="0" w:space="0" w:color="auto"/>
        <w:left w:val="none" w:sz="0" w:space="0" w:color="auto"/>
        <w:bottom w:val="none" w:sz="0" w:space="0" w:color="auto"/>
        <w:right w:val="none" w:sz="0" w:space="0" w:color="auto"/>
      </w:divBdr>
      <w:divsChild>
        <w:div w:id="1911304802">
          <w:marLeft w:val="0"/>
          <w:marRight w:val="0"/>
          <w:marTop w:val="0"/>
          <w:marBottom w:val="0"/>
          <w:divBdr>
            <w:top w:val="none" w:sz="0" w:space="0" w:color="auto"/>
            <w:left w:val="none" w:sz="0" w:space="0" w:color="auto"/>
            <w:bottom w:val="none" w:sz="0" w:space="0" w:color="auto"/>
            <w:right w:val="none" w:sz="0" w:space="0" w:color="auto"/>
          </w:divBdr>
          <w:divsChild>
            <w:div w:id="2645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rel.sharepoint.com/:x:/r/sites/comstock/Shared%20Documents/ComStock%20Filing%20Cabinet/Efforts/ComStock%20Core/Infiltration/comstock_infiltration_distributions.xlsx?d=w6b42e16e5fc24dadbd4e2a7698d58a1b&amp;csf=1&amp;web=1&amp;e=tLehS7"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doi.org/10.1080/14733315.2014.11684027" TargetMode="Externa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hyperlink" Target="https://tsapps.nist.gov/publication/get_pdf.cfm?pub_id=931112"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1D20A2-1462-45AB-A697-BF6B2D71A85D}">
  <ds:schemaRefs>
    <ds:schemaRef ds:uri="http://schemas.openxmlformats.org/officeDocument/2006/bibliography"/>
  </ds:schemaRefs>
</ds:datastoreItem>
</file>

<file path=customXml/itemProps2.xml><?xml version="1.0" encoding="utf-8"?>
<ds:datastoreItem xmlns:ds="http://schemas.openxmlformats.org/officeDocument/2006/customXml" ds:itemID="{2135CAF9-60E0-4951-82D6-379D6CCAB631}"/>
</file>

<file path=customXml/itemProps3.xml><?xml version="1.0" encoding="utf-8"?>
<ds:datastoreItem xmlns:ds="http://schemas.openxmlformats.org/officeDocument/2006/customXml" ds:itemID="{95F54931-9F33-48B1-ABD9-AB06DF38472F}">
  <ds:schemaRefs>
    <ds:schemaRef ds:uri="http://schemas.microsoft.com/sharepoint/v3/contenttype/forms"/>
  </ds:schemaRefs>
</ds:datastoreItem>
</file>

<file path=customXml/itemProps4.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1647</Words>
  <Characters>9473</Characters>
  <Application>Microsoft Office Word</Application>
  <DocSecurity>0</DocSecurity>
  <Lines>210</Lines>
  <Paragraphs>132</Paragraphs>
  <ScaleCrop>false</ScaleCrop>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4</cp:revision>
  <dcterms:created xsi:type="dcterms:W3CDTF">2026-01-06T23:12:00Z</dcterms:created>
  <dcterms:modified xsi:type="dcterms:W3CDTF">2026-01-06T23:13:00Z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2023-11-14T21:11:40Z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aef344c1-57ac-4c96-9db5-ced2b6e8215c</vt:lpwstr>
  </property>
  <property fmtid="{D5CDD505-2E9C-101B-9397-08002B2CF9AE}" pid="10" name="MSIP_Label_95965d95-ecc0-4720-b759-1f33c42ed7da_ContentBits">
    <vt:lpwstr>0</vt:lpwstr>
  </property>
</Properties>
</file>