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50A93" w14:textId="1330596D" w:rsidR="002507CE" w:rsidRDefault="00BF2DDA" w:rsidP="002F7ED7">
      <w:pPr>
        <w:pStyle w:val="Title"/>
        <w:tabs>
          <w:tab w:val="left" w:pos="2340"/>
        </w:tabs>
      </w:pPr>
      <w:r>
        <w:t xml:space="preserve">ComStock </w:t>
      </w:r>
      <w:r w:rsidR="002507CE">
        <w:t>Change</w:t>
      </w:r>
    </w:p>
    <w:p w14:paraId="435BEF72" w14:textId="2ED6F1AF" w:rsidR="00717F96" w:rsidRDefault="00C56601" w:rsidP="00A761F6">
      <w:pPr>
        <w:pStyle w:val="Subtitle"/>
      </w:pPr>
      <w:r>
        <w:t xml:space="preserve">Update distributions for HVAC heating fuel and </w:t>
      </w:r>
      <w:r w:rsidR="00393E5E">
        <w:t>system type from CBECS 2012.</w:t>
      </w:r>
    </w:p>
    <w:p w14:paraId="10B60449" w14:textId="17C75D3D" w:rsidR="00870931" w:rsidRPr="00A761F6" w:rsidRDefault="00870931" w:rsidP="00A761F6">
      <w:pPr>
        <w:rPr>
          <w:b/>
          <w:bCs/>
        </w:rPr>
      </w:pPr>
      <w:r w:rsidRPr="00A761F6">
        <w:rPr>
          <w:b/>
          <w:bCs/>
        </w:rPr>
        <w:t xml:space="preserve">Implementer: </w:t>
      </w:r>
      <w:r w:rsidR="00393E5E">
        <w:rPr>
          <w:b/>
          <w:bCs/>
        </w:rPr>
        <w:t>Chris CaraDonna</w:t>
      </w:r>
    </w:p>
    <w:p w14:paraId="31CF1E97" w14:textId="26C61ACF" w:rsidR="00870931" w:rsidRPr="00A761F6" w:rsidRDefault="00870931" w:rsidP="00A761F6">
      <w:pPr>
        <w:rPr>
          <w:b/>
          <w:bCs/>
        </w:rPr>
      </w:pPr>
      <w:r w:rsidRPr="00A761F6">
        <w:rPr>
          <w:b/>
          <w:bCs/>
        </w:rPr>
        <w:t xml:space="preserve">Change Document Author: </w:t>
      </w:r>
      <w:r w:rsidR="00393E5E">
        <w:rPr>
          <w:b/>
          <w:bCs/>
        </w:rPr>
        <w:t>Chris CaraDonna</w:t>
      </w:r>
    </w:p>
    <w:p w14:paraId="71D557ED" w14:textId="6AAF3372" w:rsidR="00870931" w:rsidRPr="00A761F6" w:rsidRDefault="00870931" w:rsidP="00A761F6">
      <w:pPr>
        <w:rPr>
          <w:b/>
          <w:bCs/>
        </w:rPr>
      </w:pPr>
      <w:r w:rsidRPr="00A761F6">
        <w:rPr>
          <w:b/>
          <w:bCs/>
        </w:rPr>
        <w:t xml:space="preserve">Reviewer: </w:t>
      </w:r>
      <w:r w:rsidR="00393E5E">
        <w:rPr>
          <w:b/>
          <w:bCs/>
        </w:rPr>
        <w:t>Andrew Parker</w:t>
      </w:r>
    </w:p>
    <w:p w14:paraId="209B0D78" w14:textId="77777777" w:rsidR="00870931" w:rsidRPr="00870931" w:rsidRDefault="00870931" w:rsidP="00A761F6">
      <w:pPr>
        <w:pStyle w:val="Heading1"/>
        <w:rPr>
          <w:rFonts w:eastAsia="MS Gothic"/>
        </w:rPr>
      </w:pPr>
      <w:r w:rsidRPr="00870931">
        <w:rPr>
          <w:rFonts w:eastAsia="MS Gothic"/>
        </w:rPr>
        <w:t>Description of Change</w:t>
      </w:r>
    </w:p>
    <w:p w14:paraId="77607D7F" w14:textId="77777777" w:rsidR="00870931" w:rsidRPr="00870931" w:rsidRDefault="00870931" w:rsidP="00A761F6">
      <w:pPr>
        <w:pStyle w:val="Heading2"/>
        <w:rPr>
          <w:rFonts w:eastAsia="MS Gothic"/>
        </w:rPr>
      </w:pPr>
      <w:r w:rsidRPr="00870931">
        <w:rPr>
          <w:rFonts w:eastAsia="MS Gothic"/>
        </w:rPr>
        <w:t>Summary</w:t>
      </w:r>
    </w:p>
    <w:p w14:paraId="6F1E151A" w14:textId="32808448" w:rsidR="00672D5F" w:rsidRPr="00A761F6" w:rsidRDefault="00672D5F" w:rsidP="00A761F6">
      <w:r>
        <w:t xml:space="preserve">This update modifies the existing framework for generating probability distributions for HVAC heating fuel and </w:t>
      </w:r>
      <w:r w:rsidR="00392968">
        <w:t>system type from CBECS 2012 microdata.</w:t>
      </w:r>
      <w:r w:rsidR="00E35B56">
        <w:t xml:space="preserve"> </w:t>
      </w:r>
      <w:r w:rsidR="00CA4E2B">
        <w:t xml:space="preserve">Changes include more robust catches for heat pump systems, </w:t>
      </w:r>
      <w:r w:rsidR="00C14E5E">
        <w:t xml:space="preserve">allowing </w:t>
      </w:r>
      <w:r w:rsidR="00C15394">
        <w:t>samples</w:t>
      </w:r>
      <w:r w:rsidR="00C14E5E">
        <w:t xml:space="preserve"> labeled as “electric” heating in CBECS to be reclassified as natural gas based on </w:t>
      </w:r>
      <w:r w:rsidR="002749A3">
        <w:t>the reported consumption data, lower thresholds for regional</w:t>
      </w:r>
      <w:r w:rsidR="00026205">
        <w:t xml:space="preserve">/national fuel type blending (from 90 to 15), and </w:t>
      </w:r>
      <w:r w:rsidR="007069C5">
        <w:t>transitioning to a</w:t>
      </w:r>
      <w:r w:rsidR="00026205">
        <w:t xml:space="preserve"> </w:t>
      </w:r>
      <w:r w:rsidR="000E473E">
        <w:t xml:space="preserve">regional/national </w:t>
      </w:r>
      <w:r w:rsidR="00026205">
        <w:t xml:space="preserve">blending </w:t>
      </w:r>
      <w:r w:rsidR="007069C5">
        <w:t xml:space="preserve">approach </w:t>
      </w:r>
      <w:r w:rsidR="00C15394">
        <w:t>for HVAC system type</w:t>
      </w:r>
      <w:r w:rsidR="007069C5">
        <w:t xml:space="preserve"> (</w:t>
      </w:r>
      <w:proofErr w:type="gramStart"/>
      <w:r w:rsidR="007069C5">
        <w:t>similar to</w:t>
      </w:r>
      <w:proofErr w:type="gramEnd"/>
      <w:r w:rsidR="007069C5">
        <w:t xml:space="preserve"> fuel type)</w:t>
      </w:r>
      <w:r w:rsidR="000E473E">
        <w:t>.</w:t>
      </w:r>
    </w:p>
    <w:p w14:paraId="1635A473" w14:textId="5578C27A" w:rsidR="00447513" w:rsidRDefault="00FA48CF" w:rsidP="00A761F6">
      <w:pPr>
        <w:pStyle w:val="Heading1"/>
        <w:rPr>
          <w:rFonts w:eastAsia="Calibri"/>
        </w:rPr>
      </w:pPr>
      <w:r>
        <w:rPr>
          <w:rFonts w:eastAsia="Calibri"/>
        </w:rPr>
        <w:t xml:space="preserve">HVAC </w:t>
      </w:r>
      <w:r w:rsidR="00A45721">
        <w:rPr>
          <w:rFonts w:eastAsia="Calibri"/>
        </w:rPr>
        <w:t>Update</w:t>
      </w:r>
    </w:p>
    <w:p w14:paraId="20237EAB" w14:textId="09B04A0C" w:rsidR="00085B6F" w:rsidRDefault="004826D7" w:rsidP="00A761F6">
      <w:pPr>
        <w:pStyle w:val="Heading2"/>
        <w:rPr>
          <w:rFonts w:eastAsia="Calibri"/>
        </w:rPr>
      </w:pPr>
      <w:r>
        <w:rPr>
          <w:rFonts w:eastAsia="Calibri"/>
        </w:rPr>
        <w:t>Existing Method</w:t>
      </w:r>
    </w:p>
    <w:p w14:paraId="5173F7F8" w14:textId="57E3931E" w:rsidR="00BC3769" w:rsidRDefault="00FA48CF" w:rsidP="00A761F6">
      <w:r>
        <w:t>The original framework uses CBECS 2012 microdata to determine probability distr</w:t>
      </w:r>
      <w:r w:rsidR="001C3520">
        <w:t>ibutions</w:t>
      </w:r>
      <w:r>
        <w:t xml:space="preserve"> for </w:t>
      </w:r>
      <w:r w:rsidR="00C90B62">
        <w:t>heating fuel and HVAC system type.</w:t>
      </w:r>
      <w:r w:rsidR="00C068D4">
        <w:t xml:space="preserve"> The heating fuel type distributions </w:t>
      </w:r>
      <w:r w:rsidR="001E5B07">
        <w:t>are</w:t>
      </w:r>
      <w:r w:rsidR="00C068D4">
        <w:t xml:space="preserve"> </w:t>
      </w:r>
      <w:r w:rsidR="00401A56">
        <w:t xml:space="preserve">based on </w:t>
      </w:r>
      <w:r w:rsidR="00D60846">
        <w:t>the primary heating fuel type from CBECS 2012</w:t>
      </w:r>
      <w:r w:rsidR="002B2FDB">
        <w:t xml:space="preserve"> and ResStock county level</w:t>
      </w:r>
      <w:r w:rsidR="001E5B07">
        <w:t xml:space="preserve"> fuel types</w:t>
      </w:r>
      <w:r w:rsidR="001171DC">
        <w:t xml:space="preserve"> (from ResStock sampling TSVs)</w:t>
      </w:r>
      <w:r w:rsidR="001E5B07">
        <w:t xml:space="preserve">. </w:t>
      </w:r>
      <w:r w:rsidR="00E04DF1">
        <w:t xml:space="preserve">CBECS 2012 data is used to set the prevalence of each fuel type building </w:t>
      </w:r>
      <w:r w:rsidR="00004AAA">
        <w:t xml:space="preserve">type for each census division. The ResStock county level data is then used to </w:t>
      </w:r>
      <w:r w:rsidR="006E5571">
        <w:t xml:space="preserve">proportionally modify </w:t>
      </w:r>
      <w:r w:rsidR="00AB71E9">
        <w:t xml:space="preserve">distributions at the </w:t>
      </w:r>
      <w:r w:rsidR="006E5571">
        <w:t xml:space="preserve">county level distributions </w:t>
      </w:r>
      <w:r w:rsidR="00A938F4">
        <w:t>while ensuring</w:t>
      </w:r>
      <w:r w:rsidR="006E5571">
        <w:t xml:space="preserve"> the</w:t>
      </w:r>
      <w:r w:rsidR="00252F7B">
        <w:t xml:space="preserve">y still add up to the </w:t>
      </w:r>
      <w:r w:rsidR="00AB71E9">
        <w:t xml:space="preserve">CBECS </w:t>
      </w:r>
      <w:r w:rsidR="00BA3672">
        <w:t>census division</w:t>
      </w:r>
      <w:r w:rsidR="00252F7B">
        <w:t xml:space="preserve"> targets</w:t>
      </w:r>
      <w:r w:rsidR="009D2D43">
        <w:t xml:space="preserve"> (or close to them since there </w:t>
      </w:r>
      <w:r w:rsidR="00766EE1">
        <w:t>are too many constraints to solve this as a perfect linear system)</w:t>
      </w:r>
      <w:r w:rsidR="00252F7B">
        <w:t>.</w:t>
      </w:r>
      <w:r w:rsidR="00AB71E9">
        <w:t xml:space="preserve"> </w:t>
      </w:r>
      <w:r w:rsidR="00BA3672">
        <w:t xml:space="preserve">This approach is intended to </w:t>
      </w:r>
      <w:r w:rsidR="00E2301E">
        <w:t>introduce</w:t>
      </w:r>
      <w:r w:rsidR="00BA3672">
        <w:t xml:space="preserve"> cou</w:t>
      </w:r>
      <w:r w:rsidR="00E2301E">
        <w:t xml:space="preserve">nty-level granularity from residential </w:t>
      </w:r>
      <w:r w:rsidR="00751984">
        <w:t xml:space="preserve">data </w:t>
      </w:r>
      <w:r w:rsidR="00E2301E">
        <w:t>while still</w:t>
      </w:r>
      <w:r w:rsidR="00657616">
        <w:t xml:space="preserve"> </w:t>
      </w:r>
      <w:r w:rsidR="00751984">
        <w:t>adhering to the commercial totals from CBECS</w:t>
      </w:r>
      <w:r w:rsidR="00657616">
        <w:t xml:space="preserve"> </w:t>
      </w:r>
      <w:r w:rsidR="00751984">
        <w:t xml:space="preserve">since </w:t>
      </w:r>
      <w:r w:rsidR="00184B8B">
        <w:t xml:space="preserve">residential data alone may not appropriately represent the commercial building stock. </w:t>
      </w:r>
      <w:r w:rsidR="00BC3769">
        <w:t>Note that district heating is not available in the residential data, so</w:t>
      </w:r>
      <w:r w:rsidR="009D4232">
        <w:t xml:space="preserve"> </w:t>
      </w:r>
      <w:r w:rsidR="0075293E">
        <w:t xml:space="preserve">a constant value is used for all counties </w:t>
      </w:r>
      <w:r w:rsidR="00F46588">
        <w:t>for a given building type and census division combination based on CBECS 2012.</w:t>
      </w:r>
    </w:p>
    <w:p w14:paraId="109046D0" w14:textId="3B1FD01D" w:rsidR="004826D7" w:rsidRDefault="00C94FB5" w:rsidP="00A761F6">
      <w:r>
        <w:t>Some combinations of census division and building type in CBECS lead to very few samples</w:t>
      </w:r>
      <w:r w:rsidR="00B42A6F">
        <w:t xml:space="preserve"> which can be unreliable for </w:t>
      </w:r>
      <w:r w:rsidR="00B84841">
        <w:t xml:space="preserve">representing the trends of a region. To remedy this, </w:t>
      </w:r>
      <w:r w:rsidR="009D4B02">
        <w:t xml:space="preserve">a national-regional blending approach is introduced. If there are over 90 samples of a building type in a census division, </w:t>
      </w:r>
      <w:r w:rsidR="00445B12">
        <w:t xml:space="preserve">the distribution will be based entirely on the regional samples. If there are fewer than 90 samples, </w:t>
      </w:r>
      <w:r w:rsidR="00051EAF">
        <w:t xml:space="preserve">the national average is blended </w:t>
      </w:r>
      <w:r w:rsidR="009E5AF4">
        <w:t>with the regional average</w:t>
      </w:r>
      <w:r w:rsidR="0087683E">
        <w:t xml:space="preserve"> with a weight of </w:t>
      </w:r>
      <w:r w:rsidR="008A5EEB">
        <w:t>1-(n samples/90)</w:t>
      </w:r>
      <w:r w:rsidR="001D3378">
        <w:t>. For example, if there are 45 samples</w:t>
      </w:r>
      <w:r w:rsidR="00064621">
        <w:t xml:space="preserve"> of a building type in a census </w:t>
      </w:r>
      <w:r w:rsidR="00BC3769">
        <w:t>division</w:t>
      </w:r>
      <w:r w:rsidR="001D3378">
        <w:t xml:space="preserve">, </w:t>
      </w:r>
      <w:r w:rsidR="004D79AE">
        <w:t xml:space="preserve">the distribution will be weighted 50% from the regional average for the building type and 50% from the national </w:t>
      </w:r>
      <w:r w:rsidR="00064621">
        <w:t>average of the building type</w:t>
      </w:r>
      <w:r w:rsidR="004D79AE">
        <w:t>.</w:t>
      </w:r>
    </w:p>
    <w:p w14:paraId="144E25B3" w14:textId="3B5254CB" w:rsidR="006B18CE" w:rsidRDefault="006B18CE" w:rsidP="00A761F6">
      <w:r>
        <w:lastRenderedPageBreak/>
        <w:t>The HVAC system type distrib</w:t>
      </w:r>
      <w:r w:rsidR="00252206">
        <w:t xml:space="preserve">utions are similarly derived from CBECS data, but unlike </w:t>
      </w:r>
      <w:r w:rsidR="00FD0A4E">
        <w:t>the fuel type distributions, there is no county level data to inform the distributions</w:t>
      </w:r>
      <w:r w:rsidR="005B5FC9">
        <w:t xml:space="preserve"> beyond census division. The HVAC distributions are der</w:t>
      </w:r>
      <w:r w:rsidR="002B687E">
        <w:t xml:space="preserve">ived from CBECS using a hierarchical approach. First, a sample is assigned a primary heating fuel type. </w:t>
      </w:r>
      <w:r w:rsidR="008C0F0B">
        <w:t xml:space="preserve">Next, the sample </w:t>
      </w:r>
      <w:r w:rsidR="006E74F8">
        <w:t xml:space="preserve">is </w:t>
      </w:r>
      <w:r w:rsidR="00D64D9C">
        <w:t>checked to fit</w:t>
      </w:r>
      <w:r w:rsidR="00C46BD4">
        <w:t xml:space="preserve"> into one of the following categories:</w:t>
      </w:r>
    </w:p>
    <w:p w14:paraId="5B39832F" w14:textId="5160C2CD" w:rsidR="00C46BD4" w:rsidRDefault="0070768E" w:rsidP="0070768E">
      <w:pPr>
        <w:pStyle w:val="ListParagraph"/>
        <w:numPr>
          <w:ilvl w:val="0"/>
          <w:numId w:val="3"/>
        </w:numPr>
      </w:pPr>
      <w:r>
        <w:t>VAV systems</w:t>
      </w:r>
    </w:p>
    <w:p w14:paraId="04078806" w14:textId="4B12EF19" w:rsidR="0070768E" w:rsidRDefault="0070768E" w:rsidP="0070768E">
      <w:pPr>
        <w:pStyle w:val="ListParagraph"/>
        <w:numPr>
          <w:ilvl w:val="0"/>
          <w:numId w:val="3"/>
        </w:numPr>
      </w:pPr>
      <w:r>
        <w:t>DOAS + zone equipment</w:t>
      </w:r>
    </w:p>
    <w:p w14:paraId="23C4B229" w14:textId="1FBF088F" w:rsidR="0070768E" w:rsidRDefault="0070768E" w:rsidP="0070768E">
      <w:pPr>
        <w:pStyle w:val="ListParagraph"/>
        <w:numPr>
          <w:ilvl w:val="0"/>
          <w:numId w:val="3"/>
        </w:numPr>
      </w:pPr>
      <w:r>
        <w:t>Packaged single zone</w:t>
      </w:r>
      <w:r w:rsidR="008E3E59">
        <w:t xml:space="preserve"> equipment</w:t>
      </w:r>
    </w:p>
    <w:p w14:paraId="53778731" w14:textId="055CD415" w:rsidR="0070768E" w:rsidRDefault="0070768E" w:rsidP="0070768E">
      <w:pPr>
        <w:pStyle w:val="ListParagraph"/>
        <w:numPr>
          <w:ilvl w:val="0"/>
          <w:numId w:val="3"/>
        </w:numPr>
      </w:pPr>
      <w:r>
        <w:t xml:space="preserve">Unitary zone equipment (PTAC, </w:t>
      </w:r>
      <w:r w:rsidR="008E3E59">
        <w:t xml:space="preserve">residential systems, </w:t>
      </w:r>
      <w:r>
        <w:t xml:space="preserve">unit heaters, </w:t>
      </w:r>
      <w:r w:rsidR="008E3E59">
        <w:t>dry coolers, etc.)</w:t>
      </w:r>
    </w:p>
    <w:p w14:paraId="77903246" w14:textId="5599A031" w:rsidR="008E3E59" w:rsidRDefault="00821F6F" w:rsidP="008E3E59">
      <w:r>
        <w:t xml:space="preserve">Because CBECS samples often </w:t>
      </w:r>
      <w:r w:rsidR="000D253F">
        <w:t>suggest</w:t>
      </w:r>
      <w:r>
        <w:t xml:space="preserve"> multiple systems, </w:t>
      </w:r>
      <w:r w:rsidR="000D253F">
        <w:t xml:space="preserve">the sample </w:t>
      </w:r>
      <w:r w:rsidR="00A32866">
        <w:t xml:space="preserve">category </w:t>
      </w:r>
      <w:r w:rsidR="000D253F">
        <w:t>is checked in the order listed above. The intent is that major system types</w:t>
      </w:r>
      <w:r w:rsidR="009C030D">
        <w:t xml:space="preserve">, such as VAV systems, should not be </w:t>
      </w:r>
      <w:r w:rsidR="006F6907">
        <w:t>deprioritized</w:t>
      </w:r>
      <w:r w:rsidR="009C030D">
        <w:t xml:space="preserve"> to</w:t>
      </w:r>
      <w:r w:rsidR="006F6907">
        <w:t xml:space="preserve"> smaller equipment that may also exist in a building, such as PTACs. The idea is that if a major, more complicated system is present, it is likely the dominant system in the building</w:t>
      </w:r>
      <w:r w:rsidR="00CF6707">
        <w:t>. The above ordering is based on engineering judgment to operationalize this concept</w:t>
      </w:r>
      <w:r w:rsidR="00EE02FB">
        <w:t>, since finding system “tiebreakers” in CBECS can be impractical.</w:t>
      </w:r>
      <w:r w:rsidR="009C030D">
        <w:t xml:space="preserve"> </w:t>
      </w:r>
    </w:p>
    <w:p w14:paraId="242A0C40" w14:textId="3455EBE0" w:rsidR="005525A3" w:rsidRDefault="005525A3" w:rsidP="008E3E59">
      <w:r>
        <w:t>On</w:t>
      </w:r>
      <w:r w:rsidR="002B1291">
        <w:t>c</w:t>
      </w:r>
      <w:r>
        <w:t xml:space="preserve">e a heating fuel type and </w:t>
      </w:r>
      <w:r w:rsidR="00A9511F">
        <w:t xml:space="preserve">an HVAC system category </w:t>
      </w:r>
      <w:r w:rsidR="002B1291">
        <w:t>are</w:t>
      </w:r>
      <w:r w:rsidR="00A9511F">
        <w:t xml:space="preserve"> selected, a system type is assumed. For example, </w:t>
      </w:r>
      <w:r w:rsidR="00B17CD2">
        <w:t xml:space="preserve">a sample may have electric heat and be flagged for the packaged single zone system category. Following the logic explained before, this would mean the system was not flagged for </w:t>
      </w:r>
      <w:r w:rsidR="007C3D75">
        <w:t xml:space="preserve">the VAV or DOAS categories. </w:t>
      </w:r>
      <w:r w:rsidR="00FB41C8">
        <w:t>This system would first be assumed to be a packaged single zone with electric coil.</w:t>
      </w:r>
      <w:r w:rsidR="0098089A">
        <w:t xml:space="preserve"> Other CBECS survey </w:t>
      </w:r>
      <w:r w:rsidR="00AA7D40">
        <w:t xml:space="preserve">questions are then engaged to justify changing the system from the default option. In this instance, </w:t>
      </w:r>
      <w:r w:rsidR="00121082">
        <w:t>if air-source heat pumps are</w:t>
      </w:r>
      <w:r w:rsidR="00A41BBE">
        <w:t xml:space="preserve"> selected as</w:t>
      </w:r>
      <w:r w:rsidR="00121082">
        <w:t xml:space="preserve"> </w:t>
      </w:r>
      <w:r w:rsidR="00A41BBE">
        <w:t>a</w:t>
      </w:r>
      <w:r w:rsidR="00121082">
        <w:t xml:space="preserve"> primary heating </w:t>
      </w:r>
      <w:r w:rsidR="00A41BBE">
        <w:t>source, the system would be changed to a packaged single zone heat pump.</w:t>
      </w:r>
      <w:r w:rsidR="00DC389E">
        <w:t xml:space="preserve"> This approach is taken due to the wide variety of </w:t>
      </w:r>
      <w:r w:rsidR="00CA78A4">
        <w:t>responses in CBECS</w:t>
      </w:r>
      <w:r w:rsidR="00AD4974">
        <w:t xml:space="preserve">, where relying too heavily on a single question </w:t>
      </w:r>
      <w:r w:rsidR="00D65D96">
        <w:t>can be unreliable.</w:t>
      </w:r>
    </w:p>
    <w:p w14:paraId="3758ADB8" w14:textId="5686926C" w:rsidR="00D65D96" w:rsidRPr="00A761F6" w:rsidRDefault="00D65D96" w:rsidP="008E3E59">
      <w:r>
        <w:t xml:space="preserve">The HVAC system distributions are ultimately based on building type, census division, and heating fuel. </w:t>
      </w:r>
      <w:r w:rsidR="007D17B5">
        <w:t>The heating fuel is informed by the methods described previously.</w:t>
      </w:r>
      <w:r w:rsidR="004F2C0B">
        <w:t xml:space="preserve"> </w:t>
      </w:r>
      <w:r w:rsidR="00E66207">
        <w:t xml:space="preserve">The heating fuel for the sample then </w:t>
      </w:r>
      <w:r w:rsidR="001E20AE">
        <w:t>determines</w:t>
      </w:r>
      <w:r w:rsidR="00E66207">
        <w:t xml:space="preserve"> the allowable HVAC system types </w:t>
      </w:r>
      <w:r w:rsidR="00063413">
        <w:t>to sample from</w:t>
      </w:r>
      <w:r w:rsidR="00E66207">
        <w:t>.</w:t>
      </w:r>
      <w:r w:rsidR="00063413">
        <w:t xml:space="preserve"> Note that mixed fuel system types, such as VAVs with gas heat at the air handling unit and electric reheat, </w:t>
      </w:r>
      <w:r w:rsidR="00D436EC">
        <w:t xml:space="preserve">are sampled in the </w:t>
      </w:r>
      <w:r w:rsidR="00CE13EF">
        <w:t>natural gas category. The reasoning is that buildings with electric heat may not have</w:t>
      </w:r>
      <w:r w:rsidR="00204527">
        <w:t xml:space="preserve"> natural gas service.</w:t>
      </w:r>
    </w:p>
    <w:p w14:paraId="3A6F5CEE" w14:textId="4649637F" w:rsidR="004826D7" w:rsidRPr="00085B6F" w:rsidRDefault="004826D7" w:rsidP="00A761F6">
      <w:pPr>
        <w:pStyle w:val="Heading2"/>
      </w:pPr>
      <w:r>
        <w:rPr>
          <w:rFonts w:eastAsia="Calibri"/>
        </w:rPr>
        <w:t>New Method</w:t>
      </w:r>
    </w:p>
    <w:p w14:paraId="494FC761" w14:textId="6D8DB3C5" w:rsidR="009F582D" w:rsidRDefault="00204527" w:rsidP="009F582D">
      <w:r>
        <w:t>The new method updates the existing framework.</w:t>
      </w:r>
      <w:r w:rsidR="004E71A4">
        <w:t xml:space="preserve"> The updates are described below.</w:t>
      </w:r>
    </w:p>
    <w:p w14:paraId="7322E898" w14:textId="5F68F6FA" w:rsidR="004E71A4" w:rsidRDefault="00E348AE" w:rsidP="009F582D">
      <w:pPr>
        <w:rPr>
          <w:b/>
          <w:bCs/>
        </w:rPr>
      </w:pPr>
      <w:r>
        <w:rPr>
          <w:b/>
          <w:bCs/>
        </w:rPr>
        <w:t xml:space="preserve">Heating </w:t>
      </w:r>
      <w:r w:rsidR="004E71A4" w:rsidRPr="004E71A4">
        <w:rPr>
          <w:b/>
          <w:bCs/>
        </w:rPr>
        <w:t>Fuel Category</w:t>
      </w:r>
    </w:p>
    <w:p w14:paraId="0B684402" w14:textId="6363D837" w:rsidR="004E71A4" w:rsidRDefault="004E71A4" w:rsidP="009F582D">
      <w:r>
        <w:t xml:space="preserve">Previously, </w:t>
      </w:r>
      <w:r w:rsidR="00594D7B">
        <w:t>mixed fuel system</w:t>
      </w:r>
      <w:r w:rsidR="001C372D">
        <w:t xml:space="preserve"> types</w:t>
      </w:r>
      <w:r w:rsidR="00453BB4">
        <w:t xml:space="preserve"> were assigned under the natural gas fuel type distributions.</w:t>
      </w:r>
      <w:r w:rsidR="00DD0DCF">
        <w:t xml:space="preserve"> However, examining CBECS 2012 data, </w:t>
      </w:r>
      <w:r w:rsidR="009C3569">
        <w:t>building</w:t>
      </w:r>
      <w:r w:rsidR="00E83C2F">
        <w:t>s</w:t>
      </w:r>
      <w:r w:rsidR="009C3569">
        <w:t xml:space="preserve"> with electricity listed as their primary heating fuel still </w:t>
      </w:r>
      <w:r w:rsidR="008073C0">
        <w:t>received about 1/3</w:t>
      </w:r>
      <w:r w:rsidR="008073C0" w:rsidRPr="008073C0">
        <w:rPr>
          <w:vertAlign w:val="superscript"/>
        </w:rPr>
        <w:t>rd</w:t>
      </w:r>
      <w:r w:rsidR="008073C0">
        <w:t xml:space="preserve"> of their heating</w:t>
      </w:r>
      <w:r w:rsidR="00E83C2F">
        <w:t xml:space="preserve"> from combustion fuels</w:t>
      </w:r>
      <w:r w:rsidR="003115B2">
        <w:t>, so this may not be appropriate</w:t>
      </w:r>
      <w:r w:rsidR="00C369DD">
        <w:t>. Note that these estimates are based on disaggregated end use data from CBECS</w:t>
      </w:r>
      <w:r w:rsidR="008073C0">
        <w:t xml:space="preserve"> </w:t>
      </w:r>
      <w:r w:rsidR="007D0D5E">
        <w:t xml:space="preserve">which will include some degree of error, however, </w:t>
      </w:r>
      <w:r w:rsidR="00845035">
        <w:t>the total prevalence of natural gas found in CBECS samples comes from billing data which would be considered reliable.</w:t>
      </w:r>
      <w:r w:rsidR="00283BF8">
        <w:t xml:space="preserve"> This suggests that building</w:t>
      </w:r>
      <w:r w:rsidR="00F7246C">
        <w:t>s</w:t>
      </w:r>
      <w:r w:rsidR="00283BF8">
        <w:t xml:space="preserve"> with electric heating </w:t>
      </w:r>
      <w:r w:rsidR="00F54E72">
        <w:t xml:space="preserve">often have a mixed fuel heating system. Since ComStock is generally high on electric heating and low on gas heating, </w:t>
      </w:r>
      <w:r w:rsidR="0038724D">
        <w:t>it is more suitable to assign mixed fuel heating systems under the elec</w:t>
      </w:r>
      <w:r w:rsidR="00E36F5D">
        <w:t>tric heating</w:t>
      </w:r>
      <w:r w:rsidR="0038724D">
        <w:t xml:space="preserve"> distribution.</w:t>
      </w:r>
      <w:r w:rsidR="00E36F5D">
        <w:t xml:space="preserve"> Practically, this</w:t>
      </w:r>
      <w:r w:rsidR="002216F4">
        <w:t xml:space="preserve"> </w:t>
      </w:r>
      <w:r w:rsidR="003115B2">
        <w:t>is intended to</w:t>
      </w:r>
      <w:r w:rsidR="002216F4">
        <w:t xml:space="preserve"> increase the prevalence of natural gas systems since </w:t>
      </w:r>
      <w:r w:rsidR="006B2D10">
        <w:t xml:space="preserve">mixed fuel systems will no longer </w:t>
      </w:r>
      <w:r w:rsidR="006B2D10">
        <w:lastRenderedPageBreak/>
        <w:t xml:space="preserve">consume a portion of </w:t>
      </w:r>
      <w:r w:rsidR="003974D2">
        <w:t xml:space="preserve">the natural gas heating distribution. Furthermore, the prevalence of electric heating systems will be reduced since </w:t>
      </w:r>
      <w:r w:rsidR="00F562B8">
        <w:t>mixed fuel systems will now consume a portion of the electric heating distribution.</w:t>
      </w:r>
      <w:r w:rsidR="00E43D25">
        <w:t xml:space="preserve"> The original and new heating fuel categories are shown in </w:t>
      </w:r>
      <w:r w:rsidR="00BA46F0">
        <w:fldChar w:fldCharType="begin"/>
      </w:r>
      <w:r w:rsidR="00BA46F0">
        <w:instrText xml:space="preserve"> REF _Ref139870579 \h </w:instrText>
      </w:r>
      <w:r w:rsidR="00BA46F0">
        <w:fldChar w:fldCharType="separate"/>
      </w:r>
      <w:r w:rsidR="00BA46F0" w:rsidRPr="00103273">
        <w:t xml:space="preserve">Table </w:t>
      </w:r>
      <w:r w:rsidR="00BA46F0" w:rsidRPr="00103273">
        <w:rPr>
          <w:noProof/>
        </w:rPr>
        <w:t>1</w:t>
      </w:r>
      <w:r w:rsidR="00BA46F0">
        <w:fldChar w:fldCharType="end"/>
      </w:r>
    </w:p>
    <w:p w14:paraId="464B3DA6" w14:textId="77777777" w:rsidR="00CB6C9C" w:rsidRDefault="00CB6C9C" w:rsidP="009F582D"/>
    <w:p w14:paraId="18037C87" w14:textId="79C15B42" w:rsidR="00E43D25" w:rsidRPr="00103273" w:rsidRDefault="00E43D25" w:rsidP="00103273">
      <w:pPr>
        <w:pStyle w:val="Caption"/>
        <w:keepNext/>
        <w:jc w:val="center"/>
      </w:pPr>
      <w:bookmarkStart w:id="0" w:name="_Ref139870579"/>
      <w:r w:rsidRPr="00103273">
        <w:t xml:space="preserve">Table </w:t>
      </w:r>
      <w:fldSimple w:instr=" SEQ Table \* ARABIC ">
        <w:r w:rsidR="00781543">
          <w:rPr>
            <w:noProof/>
          </w:rPr>
          <w:t>1</w:t>
        </w:r>
      </w:fldSimple>
      <w:bookmarkEnd w:id="0"/>
      <w:r w:rsidRPr="00103273">
        <w:t>: Original vs. new heating fuel categories</w:t>
      </w:r>
      <w:r w:rsidR="00103273">
        <w:t xml:space="preserve"> for each HVAC system type</w:t>
      </w:r>
      <w:r w:rsidRPr="00103273">
        <w:t>. Heating fuel category determines</w:t>
      </w:r>
      <w:r w:rsidR="0011213E" w:rsidRPr="00103273">
        <w:t xml:space="preserve"> which </w:t>
      </w:r>
      <w:r w:rsidR="00103273" w:rsidRPr="00103273">
        <w:t xml:space="preserve">heating fuel </w:t>
      </w:r>
      <w:proofErr w:type="gramStart"/>
      <w:r w:rsidR="00BA46F0">
        <w:t>types</w:t>
      </w:r>
      <w:proofErr w:type="gramEnd"/>
      <w:r w:rsidR="00BA46F0">
        <w:t xml:space="preserve"> the system is sampled from.</w:t>
      </w:r>
      <w:r w:rsidR="000A1E80">
        <w:t xml:space="preserve"> Changes are shown in </w:t>
      </w:r>
      <w:r w:rsidR="000A1E80" w:rsidRPr="0082022D">
        <w:rPr>
          <w:color w:val="FF0000"/>
        </w:rPr>
        <w:t>red</w:t>
      </w:r>
      <w:r w:rsidR="000A1E80">
        <w:t>.</w:t>
      </w:r>
    </w:p>
    <w:tbl>
      <w:tblPr>
        <w:tblStyle w:val="TableGrid"/>
        <w:tblW w:w="9445" w:type="dxa"/>
        <w:tblLayout w:type="fixed"/>
        <w:tblLook w:val="0000" w:firstRow="0" w:lastRow="0" w:firstColumn="0" w:lastColumn="0" w:noHBand="0" w:noVBand="0"/>
      </w:tblPr>
      <w:tblGrid>
        <w:gridCol w:w="6115"/>
        <w:gridCol w:w="1800"/>
        <w:gridCol w:w="1530"/>
      </w:tblGrid>
      <w:tr w:rsidR="00110EA1" w14:paraId="38AE0EBF" w14:textId="77777777" w:rsidTr="00110EA1">
        <w:trPr>
          <w:trHeight w:val="287"/>
        </w:trPr>
        <w:tc>
          <w:tcPr>
            <w:tcW w:w="6115" w:type="dxa"/>
          </w:tcPr>
          <w:p w14:paraId="05CAB3F7" w14:textId="77777777" w:rsidR="00CB6C9C" w:rsidRPr="00CB6C9C" w:rsidRDefault="00CB6C9C">
            <w:pPr>
              <w:autoSpaceDE w:val="0"/>
              <w:autoSpaceDN w:val="0"/>
              <w:adjustRightInd w:val="0"/>
              <w:spacing w:before="0"/>
              <w:rPr>
                <w:rFonts w:eastAsia="Times New Roman" w:cs="Calibri"/>
                <w:b/>
                <w:bCs/>
                <w:color w:val="000000"/>
              </w:rPr>
            </w:pPr>
            <w:r w:rsidRPr="00CB6C9C">
              <w:rPr>
                <w:rFonts w:eastAsia="Times New Roman" w:cs="Calibri"/>
                <w:b/>
                <w:bCs/>
                <w:color w:val="000000"/>
              </w:rPr>
              <w:t>System Type</w:t>
            </w:r>
          </w:p>
        </w:tc>
        <w:tc>
          <w:tcPr>
            <w:tcW w:w="1800" w:type="dxa"/>
          </w:tcPr>
          <w:p w14:paraId="4C66CDCA" w14:textId="77777777" w:rsidR="00CB6C9C" w:rsidRPr="00CB6C9C" w:rsidRDefault="00CB6C9C">
            <w:pPr>
              <w:autoSpaceDE w:val="0"/>
              <w:autoSpaceDN w:val="0"/>
              <w:adjustRightInd w:val="0"/>
              <w:spacing w:before="0"/>
              <w:rPr>
                <w:rFonts w:eastAsia="Times New Roman" w:cs="Calibri"/>
                <w:b/>
                <w:bCs/>
                <w:color w:val="000000"/>
              </w:rPr>
            </w:pPr>
            <w:r w:rsidRPr="00CB6C9C">
              <w:rPr>
                <w:rFonts w:eastAsia="Times New Roman" w:cs="Calibri"/>
                <w:b/>
                <w:bCs/>
                <w:color w:val="000000"/>
              </w:rPr>
              <w:t>Heating Fuel Category, Original</w:t>
            </w:r>
          </w:p>
        </w:tc>
        <w:tc>
          <w:tcPr>
            <w:tcW w:w="1530" w:type="dxa"/>
          </w:tcPr>
          <w:p w14:paraId="1EF1AE07" w14:textId="77777777" w:rsidR="00CB6C9C" w:rsidRPr="00CB6C9C" w:rsidRDefault="00CB6C9C">
            <w:pPr>
              <w:autoSpaceDE w:val="0"/>
              <w:autoSpaceDN w:val="0"/>
              <w:adjustRightInd w:val="0"/>
              <w:spacing w:before="0"/>
              <w:rPr>
                <w:rFonts w:eastAsia="Times New Roman" w:cs="Calibri"/>
                <w:b/>
                <w:bCs/>
                <w:color w:val="000000"/>
              </w:rPr>
            </w:pPr>
            <w:r w:rsidRPr="00CB6C9C">
              <w:rPr>
                <w:rFonts w:eastAsia="Times New Roman" w:cs="Calibri"/>
                <w:b/>
                <w:bCs/>
                <w:color w:val="000000"/>
              </w:rPr>
              <w:t>Heating Fuel Category, New</w:t>
            </w:r>
          </w:p>
        </w:tc>
      </w:tr>
      <w:tr w:rsidR="00110EA1" w14:paraId="2ACBCB8D" w14:textId="77777777" w:rsidTr="00110EA1">
        <w:trPr>
          <w:trHeight w:val="287"/>
        </w:trPr>
        <w:tc>
          <w:tcPr>
            <w:tcW w:w="6115" w:type="dxa"/>
          </w:tcPr>
          <w:p w14:paraId="087884D0"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PVAV with gas heat with electric reheat</w:t>
            </w:r>
          </w:p>
        </w:tc>
        <w:tc>
          <w:tcPr>
            <w:tcW w:w="1800" w:type="dxa"/>
          </w:tcPr>
          <w:p w14:paraId="128BE7B9" w14:textId="77777777" w:rsidR="00CB6C9C" w:rsidRPr="00CB6C9C" w:rsidRDefault="00CB6C9C">
            <w:pPr>
              <w:autoSpaceDE w:val="0"/>
              <w:autoSpaceDN w:val="0"/>
              <w:adjustRightInd w:val="0"/>
              <w:spacing w:before="0"/>
              <w:rPr>
                <w:rFonts w:eastAsia="Times New Roman" w:cs="Calibri"/>
                <w:b/>
                <w:bCs/>
                <w:color w:val="FF0000"/>
              </w:rPr>
            </w:pPr>
            <w:r w:rsidRPr="00CB6C9C">
              <w:rPr>
                <w:rFonts w:eastAsia="Times New Roman" w:cs="Calibri"/>
                <w:b/>
                <w:bCs/>
                <w:color w:val="FF0000"/>
              </w:rPr>
              <w:t>Fuel</w:t>
            </w:r>
          </w:p>
        </w:tc>
        <w:tc>
          <w:tcPr>
            <w:tcW w:w="1530" w:type="dxa"/>
          </w:tcPr>
          <w:p w14:paraId="1C45549D"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r>
      <w:tr w:rsidR="00110EA1" w14:paraId="6583EEDA" w14:textId="77777777" w:rsidTr="00110EA1">
        <w:trPr>
          <w:trHeight w:val="287"/>
        </w:trPr>
        <w:tc>
          <w:tcPr>
            <w:tcW w:w="6115" w:type="dxa"/>
          </w:tcPr>
          <w:p w14:paraId="674CA2C2"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DOAS with fan coil district chilled water with district hot water</w:t>
            </w:r>
          </w:p>
        </w:tc>
        <w:tc>
          <w:tcPr>
            <w:tcW w:w="1800" w:type="dxa"/>
          </w:tcPr>
          <w:p w14:paraId="020CD1B5"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c>
          <w:tcPr>
            <w:tcW w:w="1530" w:type="dxa"/>
          </w:tcPr>
          <w:p w14:paraId="40D5CF71"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r>
      <w:tr w:rsidR="00110EA1" w14:paraId="5D1F7BF5" w14:textId="77777777" w:rsidTr="00110EA1">
        <w:trPr>
          <w:trHeight w:val="287"/>
        </w:trPr>
        <w:tc>
          <w:tcPr>
            <w:tcW w:w="6115" w:type="dxa"/>
          </w:tcPr>
          <w:p w14:paraId="116F1902"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VAV district chilled water with district hot water reheat</w:t>
            </w:r>
          </w:p>
        </w:tc>
        <w:tc>
          <w:tcPr>
            <w:tcW w:w="1800" w:type="dxa"/>
          </w:tcPr>
          <w:p w14:paraId="6E1F2635"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c>
          <w:tcPr>
            <w:tcW w:w="1530" w:type="dxa"/>
          </w:tcPr>
          <w:p w14:paraId="3C09C035"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r>
      <w:tr w:rsidR="00110EA1" w14:paraId="4C2194E7" w14:textId="77777777" w:rsidTr="00110EA1">
        <w:trPr>
          <w:trHeight w:val="287"/>
        </w:trPr>
        <w:tc>
          <w:tcPr>
            <w:tcW w:w="6115" w:type="dxa"/>
          </w:tcPr>
          <w:p w14:paraId="1BE34384"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PSZ-AC with gas coil</w:t>
            </w:r>
          </w:p>
        </w:tc>
        <w:tc>
          <w:tcPr>
            <w:tcW w:w="1800" w:type="dxa"/>
          </w:tcPr>
          <w:p w14:paraId="78A1ECCD"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c>
          <w:tcPr>
            <w:tcW w:w="1530" w:type="dxa"/>
          </w:tcPr>
          <w:p w14:paraId="77066A1B"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r>
      <w:tr w:rsidR="00110EA1" w14:paraId="36D62A4C" w14:textId="77777777" w:rsidTr="00110EA1">
        <w:trPr>
          <w:trHeight w:val="287"/>
        </w:trPr>
        <w:tc>
          <w:tcPr>
            <w:tcW w:w="6115" w:type="dxa"/>
          </w:tcPr>
          <w:p w14:paraId="3F5A4EF0"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VAV chiller with PFP boxes</w:t>
            </w:r>
          </w:p>
        </w:tc>
        <w:tc>
          <w:tcPr>
            <w:tcW w:w="1800" w:type="dxa"/>
          </w:tcPr>
          <w:p w14:paraId="0693320B"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c>
          <w:tcPr>
            <w:tcW w:w="1530" w:type="dxa"/>
          </w:tcPr>
          <w:p w14:paraId="57F39634"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r>
      <w:tr w:rsidR="00110EA1" w14:paraId="6774DEA2" w14:textId="77777777" w:rsidTr="00110EA1">
        <w:trPr>
          <w:trHeight w:val="287"/>
        </w:trPr>
        <w:tc>
          <w:tcPr>
            <w:tcW w:w="6115" w:type="dxa"/>
          </w:tcPr>
          <w:p w14:paraId="5121848B"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VAV chiller with gas boiler reheat</w:t>
            </w:r>
          </w:p>
        </w:tc>
        <w:tc>
          <w:tcPr>
            <w:tcW w:w="1800" w:type="dxa"/>
          </w:tcPr>
          <w:p w14:paraId="0DE6A7A9"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c>
          <w:tcPr>
            <w:tcW w:w="1530" w:type="dxa"/>
          </w:tcPr>
          <w:p w14:paraId="64BAA5BB"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r>
      <w:tr w:rsidR="00110EA1" w14:paraId="6CAE0D9C" w14:textId="77777777" w:rsidTr="00110EA1">
        <w:trPr>
          <w:trHeight w:val="287"/>
        </w:trPr>
        <w:tc>
          <w:tcPr>
            <w:tcW w:w="6115" w:type="dxa"/>
          </w:tcPr>
          <w:p w14:paraId="098DD5AE"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VAV air-cooled chiller with gas boiler reheat</w:t>
            </w:r>
          </w:p>
        </w:tc>
        <w:tc>
          <w:tcPr>
            <w:tcW w:w="1800" w:type="dxa"/>
          </w:tcPr>
          <w:p w14:paraId="214B2C1C"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c>
          <w:tcPr>
            <w:tcW w:w="1530" w:type="dxa"/>
          </w:tcPr>
          <w:p w14:paraId="5BE7F4FA"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r>
      <w:tr w:rsidR="00110EA1" w14:paraId="26EA7B4F" w14:textId="77777777" w:rsidTr="00110EA1">
        <w:trPr>
          <w:trHeight w:val="287"/>
        </w:trPr>
        <w:tc>
          <w:tcPr>
            <w:tcW w:w="6115" w:type="dxa"/>
          </w:tcPr>
          <w:p w14:paraId="6C4CFE00"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PTAC with electric coil</w:t>
            </w:r>
          </w:p>
        </w:tc>
        <w:tc>
          <w:tcPr>
            <w:tcW w:w="1800" w:type="dxa"/>
          </w:tcPr>
          <w:p w14:paraId="60B9283B"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c>
          <w:tcPr>
            <w:tcW w:w="1530" w:type="dxa"/>
          </w:tcPr>
          <w:p w14:paraId="3A493E5E"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r>
      <w:tr w:rsidR="00110EA1" w14:paraId="07F32873" w14:textId="77777777" w:rsidTr="00110EA1">
        <w:trPr>
          <w:trHeight w:val="287"/>
        </w:trPr>
        <w:tc>
          <w:tcPr>
            <w:tcW w:w="6115" w:type="dxa"/>
          </w:tcPr>
          <w:p w14:paraId="0C895367"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PSZ-AC with gas boiler</w:t>
            </w:r>
          </w:p>
        </w:tc>
        <w:tc>
          <w:tcPr>
            <w:tcW w:w="1800" w:type="dxa"/>
          </w:tcPr>
          <w:p w14:paraId="0B5157C2"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c>
          <w:tcPr>
            <w:tcW w:w="1530" w:type="dxa"/>
          </w:tcPr>
          <w:p w14:paraId="4AA06FF0"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r>
      <w:tr w:rsidR="00110EA1" w14:paraId="24C52C2F" w14:textId="77777777" w:rsidTr="00110EA1">
        <w:trPr>
          <w:trHeight w:val="287"/>
        </w:trPr>
        <w:tc>
          <w:tcPr>
            <w:tcW w:w="6115" w:type="dxa"/>
          </w:tcPr>
          <w:p w14:paraId="16638A96"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VAV air-cooled chiller with district hot water reheat</w:t>
            </w:r>
          </w:p>
        </w:tc>
        <w:tc>
          <w:tcPr>
            <w:tcW w:w="1800" w:type="dxa"/>
          </w:tcPr>
          <w:p w14:paraId="03C868EC"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c>
          <w:tcPr>
            <w:tcW w:w="1530" w:type="dxa"/>
          </w:tcPr>
          <w:p w14:paraId="3A6DE3B3"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r>
      <w:tr w:rsidR="00110EA1" w14:paraId="11324AE7" w14:textId="77777777" w:rsidTr="00110EA1">
        <w:trPr>
          <w:trHeight w:val="287"/>
        </w:trPr>
        <w:tc>
          <w:tcPr>
            <w:tcW w:w="6115" w:type="dxa"/>
          </w:tcPr>
          <w:p w14:paraId="3B3CDEF7"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Residential AC with residential forced air furnace</w:t>
            </w:r>
          </w:p>
        </w:tc>
        <w:tc>
          <w:tcPr>
            <w:tcW w:w="1800" w:type="dxa"/>
          </w:tcPr>
          <w:p w14:paraId="2942860B"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c>
          <w:tcPr>
            <w:tcW w:w="1530" w:type="dxa"/>
          </w:tcPr>
          <w:p w14:paraId="781D2571"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r>
      <w:tr w:rsidR="00110EA1" w14:paraId="5557E701" w14:textId="77777777" w:rsidTr="00110EA1">
        <w:trPr>
          <w:trHeight w:val="287"/>
        </w:trPr>
        <w:tc>
          <w:tcPr>
            <w:tcW w:w="6115" w:type="dxa"/>
          </w:tcPr>
          <w:p w14:paraId="5170344B"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PSZ-AC with electric coil</w:t>
            </w:r>
          </w:p>
        </w:tc>
        <w:tc>
          <w:tcPr>
            <w:tcW w:w="1800" w:type="dxa"/>
          </w:tcPr>
          <w:p w14:paraId="5892F9CF"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c>
          <w:tcPr>
            <w:tcW w:w="1530" w:type="dxa"/>
          </w:tcPr>
          <w:p w14:paraId="19866EDE"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r>
      <w:tr w:rsidR="00110EA1" w14:paraId="0C3CAAC6" w14:textId="77777777" w:rsidTr="00110EA1">
        <w:trPr>
          <w:trHeight w:val="287"/>
        </w:trPr>
        <w:tc>
          <w:tcPr>
            <w:tcW w:w="6115" w:type="dxa"/>
          </w:tcPr>
          <w:p w14:paraId="2845FF96"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VAV air-cooled chiller with PFP boxes</w:t>
            </w:r>
          </w:p>
        </w:tc>
        <w:tc>
          <w:tcPr>
            <w:tcW w:w="1800" w:type="dxa"/>
          </w:tcPr>
          <w:p w14:paraId="206AD863"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c>
          <w:tcPr>
            <w:tcW w:w="1530" w:type="dxa"/>
          </w:tcPr>
          <w:p w14:paraId="3DFC1EF6"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r>
      <w:tr w:rsidR="00110EA1" w14:paraId="69E93FD4" w14:textId="77777777" w:rsidTr="00110EA1">
        <w:trPr>
          <w:trHeight w:val="287"/>
        </w:trPr>
        <w:tc>
          <w:tcPr>
            <w:tcW w:w="6115" w:type="dxa"/>
          </w:tcPr>
          <w:p w14:paraId="0E701485"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PTHP</w:t>
            </w:r>
          </w:p>
        </w:tc>
        <w:tc>
          <w:tcPr>
            <w:tcW w:w="1800" w:type="dxa"/>
          </w:tcPr>
          <w:p w14:paraId="7CCFFAB2"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c>
          <w:tcPr>
            <w:tcW w:w="1530" w:type="dxa"/>
          </w:tcPr>
          <w:p w14:paraId="51D16A56"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r>
      <w:tr w:rsidR="00110EA1" w14:paraId="178AABAF" w14:textId="77777777" w:rsidTr="00110EA1">
        <w:trPr>
          <w:trHeight w:val="287"/>
        </w:trPr>
        <w:tc>
          <w:tcPr>
            <w:tcW w:w="6115" w:type="dxa"/>
          </w:tcPr>
          <w:p w14:paraId="34429902"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PVAV with gas boiler reheat</w:t>
            </w:r>
          </w:p>
        </w:tc>
        <w:tc>
          <w:tcPr>
            <w:tcW w:w="1800" w:type="dxa"/>
          </w:tcPr>
          <w:p w14:paraId="79F4B844"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c>
          <w:tcPr>
            <w:tcW w:w="1530" w:type="dxa"/>
          </w:tcPr>
          <w:p w14:paraId="3C4E010A"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r>
      <w:tr w:rsidR="00110EA1" w14:paraId="5124D159" w14:textId="77777777" w:rsidTr="00110EA1">
        <w:trPr>
          <w:trHeight w:val="287"/>
        </w:trPr>
        <w:tc>
          <w:tcPr>
            <w:tcW w:w="6115" w:type="dxa"/>
          </w:tcPr>
          <w:p w14:paraId="3DE92441"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PVAV with PFP boxes</w:t>
            </w:r>
          </w:p>
        </w:tc>
        <w:tc>
          <w:tcPr>
            <w:tcW w:w="1800" w:type="dxa"/>
          </w:tcPr>
          <w:p w14:paraId="342096A0"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c>
          <w:tcPr>
            <w:tcW w:w="1530" w:type="dxa"/>
          </w:tcPr>
          <w:p w14:paraId="613F36C3"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r>
      <w:tr w:rsidR="00110EA1" w14:paraId="290D5BA3" w14:textId="77777777" w:rsidTr="00110EA1">
        <w:trPr>
          <w:trHeight w:val="287"/>
        </w:trPr>
        <w:tc>
          <w:tcPr>
            <w:tcW w:w="6115" w:type="dxa"/>
          </w:tcPr>
          <w:p w14:paraId="0C801C80"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VAV chiller with district hot water reheat</w:t>
            </w:r>
          </w:p>
        </w:tc>
        <w:tc>
          <w:tcPr>
            <w:tcW w:w="1800" w:type="dxa"/>
          </w:tcPr>
          <w:p w14:paraId="29D213D2"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c>
          <w:tcPr>
            <w:tcW w:w="1530" w:type="dxa"/>
          </w:tcPr>
          <w:p w14:paraId="7B4F3767"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r>
      <w:tr w:rsidR="00110EA1" w14:paraId="6B326D86" w14:textId="77777777" w:rsidTr="00110EA1">
        <w:trPr>
          <w:trHeight w:val="287"/>
        </w:trPr>
        <w:tc>
          <w:tcPr>
            <w:tcW w:w="6115" w:type="dxa"/>
          </w:tcPr>
          <w:p w14:paraId="00814161"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DOAS with fan coil air-cooled chiller with boiler</w:t>
            </w:r>
          </w:p>
        </w:tc>
        <w:tc>
          <w:tcPr>
            <w:tcW w:w="1800" w:type="dxa"/>
          </w:tcPr>
          <w:p w14:paraId="79B5CC73"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c>
          <w:tcPr>
            <w:tcW w:w="1530" w:type="dxa"/>
          </w:tcPr>
          <w:p w14:paraId="4E714A0B"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r>
      <w:tr w:rsidR="00110EA1" w14:paraId="062359C2" w14:textId="77777777" w:rsidTr="00110EA1">
        <w:trPr>
          <w:trHeight w:val="287"/>
        </w:trPr>
        <w:tc>
          <w:tcPr>
            <w:tcW w:w="6115" w:type="dxa"/>
          </w:tcPr>
          <w:p w14:paraId="08A08C3E"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DOAS with fan coil chiller with boiler</w:t>
            </w:r>
          </w:p>
        </w:tc>
        <w:tc>
          <w:tcPr>
            <w:tcW w:w="1800" w:type="dxa"/>
          </w:tcPr>
          <w:p w14:paraId="1230E2FE"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c>
          <w:tcPr>
            <w:tcW w:w="1530" w:type="dxa"/>
          </w:tcPr>
          <w:p w14:paraId="7880F426"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r>
      <w:tr w:rsidR="00110EA1" w14:paraId="1ABEB510" w14:textId="77777777" w:rsidTr="00110EA1">
        <w:trPr>
          <w:trHeight w:val="287"/>
        </w:trPr>
        <w:tc>
          <w:tcPr>
            <w:tcW w:w="6115" w:type="dxa"/>
          </w:tcPr>
          <w:p w14:paraId="15371603"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DOAS with VRF</w:t>
            </w:r>
          </w:p>
        </w:tc>
        <w:tc>
          <w:tcPr>
            <w:tcW w:w="1800" w:type="dxa"/>
          </w:tcPr>
          <w:p w14:paraId="7D541CD8"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c>
          <w:tcPr>
            <w:tcW w:w="1530" w:type="dxa"/>
          </w:tcPr>
          <w:p w14:paraId="1EE38DAC"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r>
      <w:tr w:rsidR="00110EA1" w14:paraId="535CF1DE" w14:textId="77777777" w:rsidTr="00110EA1">
        <w:trPr>
          <w:trHeight w:val="287"/>
        </w:trPr>
        <w:tc>
          <w:tcPr>
            <w:tcW w:w="6115" w:type="dxa"/>
          </w:tcPr>
          <w:p w14:paraId="2134D56C"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Residential forced air furnace</w:t>
            </w:r>
          </w:p>
        </w:tc>
        <w:tc>
          <w:tcPr>
            <w:tcW w:w="1800" w:type="dxa"/>
          </w:tcPr>
          <w:p w14:paraId="02EC42F7"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c>
          <w:tcPr>
            <w:tcW w:w="1530" w:type="dxa"/>
          </w:tcPr>
          <w:p w14:paraId="3CD1B015"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r>
      <w:tr w:rsidR="00110EA1" w14:paraId="472C31B9" w14:textId="77777777" w:rsidTr="00110EA1">
        <w:trPr>
          <w:trHeight w:val="287"/>
        </w:trPr>
        <w:tc>
          <w:tcPr>
            <w:tcW w:w="6115" w:type="dxa"/>
          </w:tcPr>
          <w:p w14:paraId="2FB7B322"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DOAS with water source heat pumps with ground source heat pump</w:t>
            </w:r>
          </w:p>
        </w:tc>
        <w:tc>
          <w:tcPr>
            <w:tcW w:w="1800" w:type="dxa"/>
          </w:tcPr>
          <w:p w14:paraId="355FDEE4"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c>
          <w:tcPr>
            <w:tcW w:w="1530" w:type="dxa"/>
          </w:tcPr>
          <w:p w14:paraId="39F6ABDE"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r>
      <w:tr w:rsidR="00110EA1" w14:paraId="1DABB7D2" w14:textId="77777777" w:rsidTr="00110EA1">
        <w:trPr>
          <w:trHeight w:val="287"/>
        </w:trPr>
        <w:tc>
          <w:tcPr>
            <w:tcW w:w="6115" w:type="dxa"/>
          </w:tcPr>
          <w:p w14:paraId="057C6A64"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DOAS with water source heat pumps cooling tower with boiler</w:t>
            </w:r>
          </w:p>
        </w:tc>
        <w:tc>
          <w:tcPr>
            <w:tcW w:w="1800" w:type="dxa"/>
          </w:tcPr>
          <w:p w14:paraId="110A2C30" w14:textId="104C9C89" w:rsidR="00CB6C9C" w:rsidRDefault="00CB6C9C">
            <w:pPr>
              <w:autoSpaceDE w:val="0"/>
              <w:autoSpaceDN w:val="0"/>
              <w:adjustRightInd w:val="0"/>
              <w:spacing w:before="0"/>
              <w:rPr>
                <w:rFonts w:eastAsia="Times New Roman" w:cs="Calibri"/>
                <w:color w:val="000000"/>
              </w:rPr>
            </w:pPr>
            <w:r w:rsidRPr="00CB6C9C">
              <w:rPr>
                <w:rFonts w:eastAsia="Times New Roman" w:cs="Calibri"/>
                <w:b/>
                <w:bCs/>
                <w:color w:val="FF0000"/>
              </w:rPr>
              <w:t>Fuel</w:t>
            </w:r>
          </w:p>
        </w:tc>
        <w:tc>
          <w:tcPr>
            <w:tcW w:w="1530" w:type="dxa"/>
          </w:tcPr>
          <w:p w14:paraId="4E4DE735"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r>
      <w:tr w:rsidR="00110EA1" w14:paraId="173AF9C8" w14:textId="77777777" w:rsidTr="00110EA1">
        <w:trPr>
          <w:trHeight w:val="287"/>
        </w:trPr>
        <w:tc>
          <w:tcPr>
            <w:tcW w:w="6115" w:type="dxa"/>
          </w:tcPr>
          <w:p w14:paraId="5FB7A56A"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 xml:space="preserve">Direct </w:t>
            </w:r>
            <w:proofErr w:type="spellStart"/>
            <w:r>
              <w:rPr>
                <w:rFonts w:eastAsia="Times New Roman" w:cs="Calibri"/>
                <w:color w:val="000000"/>
              </w:rPr>
              <w:t>evap</w:t>
            </w:r>
            <w:proofErr w:type="spellEnd"/>
            <w:r>
              <w:rPr>
                <w:rFonts w:eastAsia="Times New Roman" w:cs="Calibri"/>
                <w:color w:val="000000"/>
              </w:rPr>
              <w:t xml:space="preserve"> coolers with forced air furnace</w:t>
            </w:r>
          </w:p>
        </w:tc>
        <w:tc>
          <w:tcPr>
            <w:tcW w:w="1800" w:type="dxa"/>
          </w:tcPr>
          <w:p w14:paraId="2351C134"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c>
          <w:tcPr>
            <w:tcW w:w="1530" w:type="dxa"/>
          </w:tcPr>
          <w:p w14:paraId="126DBEBC"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r>
      <w:tr w:rsidR="00110EA1" w14:paraId="5F5D2EDE" w14:textId="77777777" w:rsidTr="00110EA1">
        <w:trPr>
          <w:trHeight w:val="287"/>
        </w:trPr>
        <w:tc>
          <w:tcPr>
            <w:tcW w:w="6115" w:type="dxa"/>
          </w:tcPr>
          <w:p w14:paraId="4C8D2C12"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VAV district chilled water with PFP boxes</w:t>
            </w:r>
          </w:p>
        </w:tc>
        <w:tc>
          <w:tcPr>
            <w:tcW w:w="1800" w:type="dxa"/>
          </w:tcPr>
          <w:p w14:paraId="5EE09424"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c>
          <w:tcPr>
            <w:tcW w:w="1530" w:type="dxa"/>
          </w:tcPr>
          <w:p w14:paraId="68A00E9B"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r>
      <w:tr w:rsidR="00110EA1" w14:paraId="00AE01F9" w14:textId="77777777" w:rsidTr="00110EA1">
        <w:trPr>
          <w:trHeight w:val="287"/>
        </w:trPr>
        <w:tc>
          <w:tcPr>
            <w:tcW w:w="6115" w:type="dxa"/>
          </w:tcPr>
          <w:p w14:paraId="14DBDD55"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PVAV with district hot water reheat</w:t>
            </w:r>
          </w:p>
        </w:tc>
        <w:tc>
          <w:tcPr>
            <w:tcW w:w="1800" w:type="dxa"/>
          </w:tcPr>
          <w:p w14:paraId="51C6C1D2"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c>
          <w:tcPr>
            <w:tcW w:w="1530" w:type="dxa"/>
          </w:tcPr>
          <w:p w14:paraId="51067B1E"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r>
      <w:tr w:rsidR="00110EA1" w14:paraId="44FE1FBC" w14:textId="77777777" w:rsidTr="00110EA1">
        <w:trPr>
          <w:trHeight w:val="287"/>
        </w:trPr>
        <w:tc>
          <w:tcPr>
            <w:tcW w:w="6115" w:type="dxa"/>
          </w:tcPr>
          <w:p w14:paraId="2E8E594B"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DOAS with fan coil chiller with district hot water</w:t>
            </w:r>
          </w:p>
        </w:tc>
        <w:tc>
          <w:tcPr>
            <w:tcW w:w="1800" w:type="dxa"/>
          </w:tcPr>
          <w:p w14:paraId="26044FB1"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c>
          <w:tcPr>
            <w:tcW w:w="1530" w:type="dxa"/>
          </w:tcPr>
          <w:p w14:paraId="0E71F62F"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r>
      <w:tr w:rsidR="00110EA1" w14:paraId="123D4F04" w14:textId="77777777" w:rsidTr="00110EA1">
        <w:trPr>
          <w:trHeight w:val="287"/>
        </w:trPr>
        <w:tc>
          <w:tcPr>
            <w:tcW w:w="6115" w:type="dxa"/>
          </w:tcPr>
          <w:p w14:paraId="64144965"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 xml:space="preserve">Direct </w:t>
            </w:r>
            <w:proofErr w:type="spellStart"/>
            <w:r>
              <w:rPr>
                <w:rFonts w:eastAsia="Times New Roman" w:cs="Calibri"/>
                <w:color w:val="000000"/>
              </w:rPr>
              <w:t>evap</w:t>
            </w:r>
            <w:proofErr w:type="spellEnd"/>
            <w:r>
              <w:rPr>
                <w:rFonts w:eastAsia="Times New Roman" w:cs="Calibri"/>
                <w:color w:val="000000"/>
              </w:rPr>
              <w:t xml:space="preserve"> coolers with baseboard gas boiler</w:t>
            </w:r>
          </w:p>
        </w:tc>
        <w:tc>
          <w:tcPr>
            <w:tcW w:w="1800" w:type="dxa"/>
          </w:tcPr>
          <w:p w14:paraId="7950A4F8"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c>
          <w:tcPr>
            <w:tcW w:w="1530" w:type="dxa"/>
          </w:tcPr>
          <w:p w14:paraId="25D5B2E9"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r>
      <w:tr w:rsidR="00110EA1" w14:paraId="098E0EF5" w14:textId="77777777" w:rsidTr="00110EA1">
        <w:trPr>
          <w:trHeight w:val="287"/>
        </w:trPr>
        <w:tc>
          <w:tcPr>
            <w:tcW w:w="6115" w:type="dxa"/>
          </w:tcPr>
          <w:p w14:paraId="550D1309"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PTAC with gas boiler</w:t>
            </w:r>
          </w:p>
        </w:tc>
        <w:tc>
          <w:tcPr>
            <w:tcW w:w="1800" w:type="dxa"/>
          </w:tcPr>
          <w:p w14:paraId="71A01E27"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c>
          <w:tcPr>
            <w:tcW w:w="1530" w:type="dxa"/>
          </w:tcPr>
          <w:p w14:paraId="26B1AEDD"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r>
      <w:tr w:rsidR="00110EA1" w14:paraId="3098DD52" w14:textId="77777777" w:rsidTr="00110EA1">
        <w:trPr>
          <w:trHeight w:val="287"/>
        </w:trPr>
        <w:tc>
          <w:tcPr>
            <w:tcW w:w="6115" w:type="dxa"/>
          </w:tcPr>
          <w:p w14:paraId="29E08919"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PSZ-AC with district hot water</w:t>
            </w:r>
          </w:p>
        </w:tc>
        <w:tc>
          <w:tcPr>
            <w:tcW w:w="1800" w:type="dxa"/>
          </w:tcPr>
          <w:p w14:paraId="25F8517C"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c>
          <w:tcPr>
            <w:tcW w:w="1530" w:type="dxa"/>
          </w:tcPr>
          <w:p w14:paraId="425ACDE0"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r>
      <w:tr w:rsidR="00110EA1" w14:paraId="398E3A86" w14:textId="77777777" w:rsidTr="00110EA1">
        <w:trPr>
          <w:trHeight w:val="287"/>
        </w:trPr>
        <w:tc>
          <w:tcPr>
            <w:tcW w:w="6115" w:type="dxa"/>
          </w:tcPr>
          <w:p w14:paraId="736F6F8C"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PSZ-HP</w:t>
            </w:r>
          </w:p>
        </w:tc>
        <w:tc>
          <w:tcPr>
            <w:tcW w:w="1800" w:type="dxa"/>
          </w:tcPr>
          <w:p w14:paraId="1517491F"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c>
          <w:tcPr>
            <w:tcW w:w="1530" w:type="dxa"/>
          </w:tcPr>
          <w:p w14:paraId="395CD618"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r>
      <w:tr w:rsidR="00110EA1" w14:paraId="05E36086" w14:textId="77777777" w:rsidTr="00110EA1">
        <w:trPr>
          <w:trHeight w:val="287"/>
        </w:trPr>
        <w:tc>
          <w:tcPr>
            <w:tcW w:w="6115" w:type="dxa"/>
          </w:tcPr>
          <w:p w14:paraId="2067FE6C"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Gas unit heaters</w:t>
            </w:r>
          </w:p>
        </w:tc>
        <w:tc>
          <w:tcPr>
            <w:tcW w:w="1800" w:type="dxa"/>
          </w:tcPr>
          <w:p w14:paraId="5098439C"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c>
          <w:tcPr>
            <w:tcW w:w="1530" w:type="dxa"/>
          </w:tcPr>
          <w:p w14:paraId="7C66915C"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r>
      <w:tr w:rsidR="00110EA1" w14:paraId="74701948" w14:textId="77777777" w:rsidTr="00110EA1">
        <w:trPr>
          <w:trHeight w:val="287"/>
        </w:trPr>
        <w:tc>
          <w:tcPr>
            <w:tcW w:w="6115" w:type="dxa"/>
          </w:tcPr>
          <w:p w14:paraId="7EFAAFF2"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DOAS with fan coil chiller with baseboard electric</w:t>
            </w:r>
          </w:p>
        </w:tc>
        <w:tc>
          <w:tcPr>
            <w:tcW w:w="1800" w:type="dxa"/>
          </w:tcPr>
          <w:p w14:paraId="723CCAC0"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c>
          <w:tcPr>
            <w:tcW w:w="1530" w:type="dxa"/>
          </w:tcPr>
          <w:p w14:paraId="213B2110"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r>
      <w:tr w:rsidR="00110EA1" w14:paraId="0CBCC1A8" w14:textId="77777777" w:rsidTr="00110EA1">
        <w:trPr>
          <w:trHeight w:val="287"/>
        </w:trPr>
        <w:tc>
          <w:tcPr>
            <w:tcW w:w="6115" w:type="dxa"/>
          </w:tcPr>
          <w:p w14:paraId="0B86E163"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PSZ-AC district chilled water with district hot water</w:t>
            </w:r>
          </w:p>
        </w:tc>
        <w:tc>
          <w:tcPr>
            <w:tcW w:w="1800" w:type="dxa"/>
          </w:tcPr>
          <w:p w14:paraId="50813AC0"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c>
          <w:tcPr>
            <w:tcW w:w="1530" w:type="dxa"/>
          </w:tcPr>
          <w:p w14:paraId="08B7C2E7"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r>
      <w:tr w:rsidR="00110EA1" w14:paraId="35BEA156" w14:textId="77777777" w:rsidTr="00110EA1">
        <w:trPr>
          <w:trHeight w:val="287"/>
        </w:trPr>
        <w:tc>
          <w:tcPr>
            <w:tcW w:w="6115" w:type="dxa"/>
          </w:tcPr>
          <w:p w14:paraId="405E042D"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lastRenderedPageBreak/>
              <w:t xml:space="preserve">Direct </w:t>
            </w:r>
            <w:proofErr w:type="spellStart"/>
            <w:r>
              <w:rPr>
                <w:rFonts w:eastAsia="Times New Roman" w:cs="Calibri"/>
                <w:color w:val="000000"/>
              </w:rPr>
              <w:t>evap</w:t>
            </w:r>
            <w:proofErr w:type="spellEnd"/>
            <w:r>
              <w:rPr>
                <w:rFonts w:eastAsia="Times New Roman" w:cs="Calibri"/>
                <w:color w:val="000000"/>
              </w:rPr>
              <w:t xml:space="preserve"> coolers with baseboard electric</w:t>
            </w:r>
          </w:p>
        </w:tc>
        <w:tc>
          <w:tcPr>
            <w:tcW w:w="1800" w:type="dxa"/>
          </w:tcPr>
          <w:p w14:paraId="71D30A63"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c>
          <w:tcPr>
            <w:tcW w:w="1530" w:type="dxa"/>
          </w:tcPr>
          <w:p w14:paraId="48426237"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r>
      <w:tr w:rsidR="00110EA1" w14:paraId="5B98C3D5" w14:textId="77777777" w:rsidTr="00110EA1">
        <w:trPr>
          <w:trHeight w:val="287"/>
        </w:trPr>
        <w:tc>
          <w:tcPr>
            <w:tcW w:w="6115" w:type="dxa"/>
          </w:tcPr>
          <w:p w14:paraId="6D403369"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VAV district chilled water with gas boiler reheat</w:t>
            </w:r>
          </w:p>
        </w:tc>
        <w:tc>
          <w:tcPr>
            <w:tcW w:w="1800" w:type="dxa"/>
          </w:tcPr>
          <w:p w14:paraId="530134CF"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c>
          <w:tcPr>
            <w:tcW w:w="1530" w:type="dxa"/>
          </w:tcPr>
          <w:p w14:paraId="7053D82A"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r>
      <w:tr w:rsidR="00110EA1" w14:paraId="399490E1" w14:textId="77777777" w:rsidTr="00110EA1">
        <w:trPr>
          <w:trHeight w:val="287"/>
        </w:trPr>
        <w:tc>
          <w:tcPr>
            <w:tcW w:w="6115" w:type="dxa"/>
          </w:tcPr>
          <w:p w14:paraId="0E9DB6E5"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Baseboard electric</w:t>
            </w:r>
          </w:p>
        </w:tc>
        <w:tc>
          <w:tcPr>
            <w:tcW w:w="1800" w:type="dxa"/>
          </w:tcPr>
          <w:p w14:paraId="537E33FA"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c>
          <w:tcPr>
            <w:tcW w:w="1530" w:type="dxa"/>
          </w:tcPr>
          <w:p w14:paraId="2B9CCDEC"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r>
      <w:tr w:rsidR="00110EA1" w14:paraId="25DFBEA0" w14:textId="77777777" w:rsidTr="00110EA1">
        <w:trPr>
          <w:trHeight w:val="287"/>
        </w:trPr>
        <w:tc>
          <w:tcPr>
            <w:tcW w:w="6115" w:type="dxa"/>
          </w:tcPr>
          <w:p w14:paraId="1386DFC8"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DOAS with fan coil air-cooled chiller with district hot water</w:t>
            </w:r>
          </w:p>
        </w:tc>
        <w:tc>
          <w:tcPr>
            <w:tcW w:w="1800" w:type="dxa"/>
          </w:tcPr>
          <w:p w14:paraId="3843BF8B"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c>
          <w:tcPr>
            <w:tcW w:w="1530" w:type="dxa"/>
          </w:tcPr>
          <w:p w14:paraId="1A1800B4"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r>
      <w:tr w:rsidR="00CB6C9C" w14:paraId="08252465" w14:textId="77777777" w:rsidTr="00110EA1">
        <w:trPr>
          <w:trHeight w:val="287"/>
        </w:trPr>
        <w:tc>
          <w:tcPr>
            <w:tcW w:w="6115" w:type="dxa"/>
          </w:tcPr>
          <w:p w14:paraId="13A0D3AC"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PSZ-AC district chilled water with electric coil</w:t>
            </w:r>
          </w:p>
        </w:tc>
        <w:tc>
          <w:tcPr>
            <w:tcW w:w="1800" w:type="dxa"/>
          </w:tcPr>
          <w:p w14:paraId="1BE53545"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c>
          <w:tcPr>
            <w:tcW w:w="1530" w:type="dxa"/>
          </w:tcPr>
          <w:p w14:paraId="43394BFE"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r>
      <w:tr w:rsidR="00CB6C9C" w14:paraId="02C08A22" w14:textId="77777777" w:rsidTr="00110EA1">
        <w:trPr>
          <w:trHeight w:val="287"/>
        </w:trPr>
        <w:tc>
          <w:tcPr>
            <w:tcW w:w="6115" w:type="dxa"/>
          </w:tcPr>
          <w:p w14:paraId="13F1F75C"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DOAS with fan coil district chilled water with boiler</w:t>
            </w:r>
          </w:p>
        </w:tc>
        <w:tc>
          <w:tcPr>
            <w:tcW w:w="1800" w:type="dxa"/>
          </w:tcPr>
          <w:p w14:paraId="44AB2E88"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c>
          <w:tcPr>
            <w:tcW w:w="1530" w:type="dxa"/>
          </w:tcPr>
          <w:p w14:paraId="7624F464"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r>
      <w:tr w:rsidR="00CB6C9C" w14:paraId="3AC502B2" w14:textId="77777777" w:rsidTr="00110EA1">
        <w:trPr>
          <w:trHeight w:val="287"/>
        </w:trPr>
        <w:tc>
          <w:tcPr>
            <w:tcW w:w="6115" w:type="dxa"/>
          </w:tcPr>
          <w:p w14:paraId="2F7FD9BF"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PTAC with gas coil</w:t>
            </w:r>
          </w:p>
        </w:tc>
        <w:tc>
          <w:tcPr>
            <w:tcW w:w="1800" w:type="dxa"/>
          </w:tcPr>
          <w:p w14:paraId="56D15259"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c>
          <w:tcPr>
            <w:tcW w:w="1530" w:type="dxa"/>
          </w:tcPr>
          <w:p w14:paraId="375108A2"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r>
      <w:tr w:rsidR="00CB6C9C" w14:paraId="560C50AE" w14:textId="77777777" w:rsidTr="00110EA1">
        <w:trPr>
          <w:trHeight w:val="287"/>
        </w:trPr>
        <w:tc>
          <w:tcPr>
            <w:tcW w:w="6115" w:type="dxa"/>
          </w:tcPr>
          <w:p w14:paraId="33054A52"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DOAS with fan coil district chilled water with baseboard electric</w:t>
            </w:r>
          </w:p>
        </w:tc>
        <w:tc>
          <w:tcPr>
            <w:tcW w:w="1800" w:type="dxa"/>
          </w:tcPr>
          <w:p w14:paraId="6D00F597"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c>
          <w:tcPr>
            <w:tcW w:w="1530" w:type="dxa"/>
          </w:tcPr>
          <w:p w14:paraId="58DA9ED6"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r>
      <w:tr w:rsidR="00CB6C9C" w14:paraId="7ACBC3E9" w14:textId="77777777" w:rsidTr="00110EA1">
        <w:trPr>
          <w:trHeight w:val="287"/>
        </w:trPr>
        <w:tc>
          <w:tcPr>
            <w:tcW w:w="6115" w:type="dxa"/>
          </w:tcPr>
          <w:p w14:paraId="3180145B"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Baseboard gas boiler</w:t>
            </w:r>
          </w:p>
        </w:tc>
        <w:tc>
          <w:tcPr>
            <w:tcW w:w="1800" w:type="dxa"/>
          </w:tcPr>
          <w:p w14:paraId="1999A52D"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c>
          <w:tcPr>
            <w:tcW w:w="1530" w:type="dxa"/>
          </w:tcPr>
          <w:p w14:paraId="36627914"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Fuel</w:t>
            </w:r>
          </w:p>
        </w:tc>
      </w:tr>
      <w:tr w:rsidR="00CB6C9C" w14:paraId="10A1B94A" w14:textId="77777777" w:rsidTr="00110EA1">
        <w:trPr>
          <w:trHeight w:val="287"/>
        </w:trPr>
        <w:tc>
          <w:tcPr>
            <w:tcW w:w="6115" w:type="dxa"/>
          </w:tcPr>
          <w:p w14:paraId="7627C511"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PTAC with baseboard district hot water</w:t>
            </w:r>
          </w:p>
        </w:tc>
        <w:tc>
          <w:tcPr>
            <w:tcW w:w="1800" w:type="dxa"/>
          </w:tcPr>
          <w:p w14:paraId="6EC00E17"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c>
          <w:tcPr>
            <w:tcW w:w="1530" w:type="dxa"/>
          </w:tcPr>
          <w:p w14:paraId="58E97E5E" w14:textId="77777777" w:rsidR="00CB6C9C" w:rsidRDefault="00CB6C9C">
            <w:pPr>
              <w:autoSpaceDE w:val="0"/>
              <w:autoSpaceDN w:val="0"/>
              <w:adjustRightInd w:val="0"/>
              <w:spacing w:before="0"/>
              <w:rPr>
                <w:rFonts w:eastAsia="Times New Roman" w:cs="Calibri"/>
                <w:color w:val="000000"/>
              </w:rPr>
            </w:pPr>
            <w:proofErr w:type="spellStart"/>
            <w:r>
              <w:rPr>
                <w:rFonts w:eastAsia="Times New Roman" w:cs="Calibri"/>
                <w:color w:val="000000"/>
              </w:rPr>
              <w:t>District_Heating</w:t>
            </w:r>
            <w:proofErr w:type="spellEnd"/>
          </w:p>
        </w:tc>
      </w:tr>
      <w:tr w:rsidR="00CB6C9C" w14:paraId="5E57B17C" w14:textId="77777777" w:rsidTr="00110EA1">
        <w:trPr>
          <w:trHeight w:val="287"/>
        </w:trPr>
        <w:tc>
          <w:tcPr>
            <w:tcW w:w="6115" w:type="dxa"/>
          </w:tcPr>
          <w:p w14:paraId="274DF6E5"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DOAS with fan coil air-cooled chiller with baseboard electric</w:t>
            </w:r>
          </w:p>
        </w:tc>
        <w:tc>
          <w:tcPr>
            <w:tcW w:w="1800" w:type="dxa"/>
          </w:tcPr>
          <w:p w14:paraId="75056CB4"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c>
          <w:tcPr>
            <w:tcW w:w="1530" w:type="dxa"/>
          </w:tcPr>
          <w:p w14:paraId="6C283A76" w14:textId="77777777" w:rsidR="00CB6C9C" w:rsidRDefault="00CB6C9C">
            <w:pPr>
              <w:autoSpaceDE w:val="0"/>
              <w:autoSpaceDN w:val="0"/>
              <w:adjustRightInd w:val="0"/>
              <w:spacing w:before="0"/>
              <w:rPr>
                <w:rFonts w:eastAsia="Times New Roman" w:cs="Calibri"/>
                <w:color w:val="000000"/>
              </w:rPr>
            </w:pPr>
            <w:r>
              <w:rPr>
                <w:rFonts w:eastAsia="Times New Roman" w:cs="Calibri"/>
                <w:color w:val="000000"/>
              </w:rPr>
              <w:t>Electricity</w:t>
            </w:r>
          </w:p>
        </w:tc>
      </w:tr>
    </w:tbl>
    <w:p w14:paraId="51EEEF12" w14:textId="77777777" w:rsidR="00CB6C9C" w:rsidRDefault="00CB6C9C" w:rsidP="009F582D"/>
    <w:p w14:paraId="33150521" w14:textId="466608F1" w:rsidR="00C111A3" w:rsidRDefault="003335A0" w:rsidP="00BA46F0">
      <w:pPr>
        <w:rPr>
          <w:b/>
          <w:bCs/>
        </w:rPr>
      </w:pPr>
      <w:r>
        <w:rPr>
          <w:b/>
          <w:bCs/>
        </w:rPr>
        <w:t xml:space="preserve">Threshold for </w:t>
      </w:r>
      <w:r w:rsidR="00C111A3">
        <w:rPr>
          <w:b/>
          <w:bCs/>
        </w:rPr>
        <w:t>B</w:t>
      </w:r>
      <w:r>
        <w:rPr>
          <w:b/>
          <w:bCs/>
        </w:rPr>
        <w:t xml:space="preserve">lending National and Regional </w:t>
      </w:r>
      <w:r w:rsidR="00C111A3">
        <w:rPr>
          <w:b/>
          <w:bCs/>
        </w:rPr>
        <w:t>Heating Fuel Distributions</w:t>
      </w:r>
    </w:p>
    <w:p w14:paraId="1222E764" w14:textId="4218A138" w:rsidR="00BA46F0" w:rsidRDefault="001B6DC3" w:rsidP="00BA46F0">
      <w:pPr>
        <w:rPr>
          <w:rFonts w:eastAsia="Times New Roman" w:cs="Calibri"/>
          <w:color w:val="000000"/>
        </w:rPr>
      </w:pPr>
      <w:r w:rsidRPr="001B6DC3">
        <w:rPr>
          <w:rFonts w:eastAsia="Times New Roman" w:cs="Calibri"/>
          <w:color w:val="000000"/>
        </w:rPr>
        <w:t>As previously mentioned, the method used to generate fuel type probability distributions involved blending the national and regional (census division) averages for groupings of building type and census division</w:t>
      </w:r>
      <w:r w:rsidR="004450C6">
        <w:rPr>
          <w:rFonts w:eastAsia="Times New Roman" w:cs="Calibri"/>
          <w:color w:val="000000"/>
        </w:rPr>
        <w:t xml:space="preserve"> to</w:t>
      </w:r>
      <w:r w:rsidRPr="001B6DC3">
        <w:rPr>
          <w:rFonts w:eastAsia="Times New Roman" w:cs="Calibri"/>
          <w:color w:val="000000"/>
        </w:rPr>
        <w:t xml:space="preserve"> cases where the number of samples in CBECS </w:t>
      </w:r>
      <w:r w:rsidR="00DC148A">
        <w:rPr>
          <w:rFonts w:eastAsia="Times New Roman" w:cs="Calibri"/>
          <w:color w:val="000000"/>
        </w:rPr>
        <w:t>is</w:t>
      </w:r>
      <w:r w:rsidRPr="001B6DC3">
        <w:rPr>
          <w:rFonts w:eastAsia="Times New Roman" w:cs="Calibri"/>
          <w:color w:val="000000"/>
        </w:rPr>
        <w:t xml:space="preserve"> fewer than 90.</w:t>
      </w:r>
      <w:r w:rsidR="004450C6">
        <w:rPr>
          <w:rFonts w:eastAsia="Times New Roman" w:cs="Calibri"/>
          <w:color w:val="000000"/>
        </w:rPr>
        <w:t xml:space="preserve"> </w:t>
      </w:r>
      <w:r w:rsidR="00DC148A">
        <w:rPr>
          <w:rFonts w:eastAsia="Times New Roman" w:cs="Calibri"/>
          <w:color w:val="000000"/>
        </w:rPr>
        <w:t xml:space="preserve">Although this </w:t>
      </w:r>
      <w:r w:rsidR="00545AED">
        <w:rPr>
          <w:rFonts w:eastAsia="Times New Roman" w:cs="Calibri"/>
          <w:color w:val="000000"/>
        </w:rPr>
        <w:t xml:space="preserve">reduces the risk of variability </w:t>
      </w:r>
      <w:r w:rsidR="002675E0">
        <w:rPr>
          <w:rFonts w:eastAsia="Times New Roman" w:cs="Calibri"/>
          <w:color w:val="000000"/>
        </w:rPr>
        <w:t>associated with</w:t>
      </w:r>
      <w:r w:rsidR="00545AED">
        <w:rPr>
          <w:rFonts w:eastAsia="Times New Roman" w:cs="Calibri"/>
          <w:color w:val="000000"/>
        </w:rPr>
        <w:t xml:space="preserve"> low sample counts, it also </w:t>
      </w:r>
      <w:r w:rsidR="002675E0">
        <w:rPr>
          <w:rFonts w:eastAsia="Times New Roman" w:cs="Calibri"/>
          <w:color w:val="000000"/>
        </w:rPr>
        <w:t xml:space="preserve">reduces </w:t>
      </w:r>
      <w:r w:rsidR="000C4134">
        <w:rPr>
          <w:rFonts w:eastAsia="Times New Roman" w:cs="Calibri"/>
          <w:color w:val="000000"/>
        </w:rPr>
        <w:t xml:space="preserve">very real </w:t>
      </w:r>
      <w:r w:rsidR="002675E0">
        <w:rPr>
          <w:rFonts w:eastAsia="Times New Roman" w:cs="Calibri"/>
          <w:color w:val="000000"/>
        </w:rPr>
        <w:t>regional differences</w:t>
      </w:r>
      <w:r w:rsidR="000C4134">
        <w:rPr>
          <w:rFonts w:eastAsia="Times New Roman" w:cs="Calibri"/>
          <w:color w:val="000000"/>
        </w:rPr>
        <w:t xml:space="preserve"> of heating fuel</w:t>
      </w:r>
      <w:r w:rsidR="00342096">
        <w:rPr>
          <w:rFonts w:eastAsia="Times New Roman" w:cs="Calibri"/>
          <w:color w:val="000000"/>
        </w:rPr>
        <w:t xml:space="preserve"> type that occur in various parts of the country when fewer samples are available. The new method changes the blending rate</w:t>
      </w:r>
      <w:r w:rsidR="008C2AE3">
        <w:rPr>
          <w:rFonts w:eastAsia="Times New Roman" w:cs="Calibri"/>
          <w:color w:val="000000"/>
        </w:rPr>
        <w:t xml:space="preserve"> threshold</w:t>
      </w:r>
      <w:r w:rsidR="00342096">
        <w:rPr>
          <w:rFonts w:eastAsia="Times New Roman" w:cs="Calibri"/>
          <w:color w:val="000000"/>
        </w:rPr>
        <w:t xml:space="preserve"> from 90 samples to 15 samples to introduce more </w:t>
      </w:r>
      <w:r w:rsidR="00537FDA">
        <w:rPr>
          <w:rFonts w:eastAsia="Times New Roman" w:cs="Calibri"/>
          <w:color w:val="000000"/>
        </w:rPr>
        <w:t xml:space="preserve">regional variety while still maintaining some </w:t>
      </w:r>
      <w:r w:rsidR="00E64B8F">
        <w:rPr>
          <w:rFonts w:eastAsia="Times New Roman" w:cs="Calibri"/>
          <w:color w:val="000000"/>
        </w:rPr>
        <w:t xml:space="preserve">safeguard against low sample count. </w:t>
      </w:r>
      <w:r w:rsidR="001D1E6A" w:rsidRPr="001D1E6A">
        <w:rPr>
          <w:rFonts w:eastAsia="Times New Roman" w:cs="Calibri"/>
          <w:color w:val="000000"/>
        </w:rPr>
        <w:t>The intention behind this modification is to align with national trends, which indicate a higher prevalence of electric heating in warmer regions and a greater reliance on natural gas heating in colder regions.</w:t>
      </w:r>
    </w:p>
    <w:p w14:paraId="7E1AD450" w14:textId="77777777" w:rsidR="00FB1A89" w:rsidRDefault="00FB1A89" w:rsidP="00BA46F0">
      <w:pPr>
        <w:rPr>
          <w:rFonts w:eastAsia="Times New Roman" w:cs="Calibri"/>
          <w:color w:val="000000"/>
        </w:rPr>
      </w:pPr>
    </w:p>
    <w:p w14:paraId="22A83141" w14:textId="0257EADD" w:rsidR="00FB1A89" w:rsidRDefault="00FB1A89" w:rsidP="00FB1A89">
      <w:pPr>
        <w:rPr>
          <w:b/>
          <w:bCs/>
        </w:rPr>
      </w:pPr>
      <w:r>
        <w:rPr>
          <w:b/>
          <w:bCs/>
        </w:rPr>
        <w:t>Threshold for Blending National and Regional HVAC System Type Distributions</w:t>
      </w:r>
    </w:p>
    <w:p w14:paraId="5C956F9C" w14:textId="13A2E5CC" w:rsidR="004D7CFC" w:rsidRDefault="00FB1A89" w:rsidP="00BA46F0">
      <w:pPr>
        <w:rPr>
          <w:rFonts w:eastAsia="Times New Roman" w:cs="Calibri"/>
          <w:color w:val="000000"/>
        </w:rPr>
      </w:pPr>
      <w:r>
        <w:rPr>
          <w:rFonts w:eastAsia="Times New Roman" w:cs="Calibri"/>
          <w:color w:val="000000"/>
        </w:rPr>
        <w:t>The original method did not use a national-regional blending method for HVAC systems</w:t>
      </w:r>
      <w:r w:rsidR="00BF0489">
        <w:rPr>
          <w:rFonts w:eastAsia="Times New Roman" w:cs="Calibri"/>
          <w:color w:val="000000"/>
        </w:rPr>
        <w:t xml:space="preserve"> like what was done with heating fuel type. This </w:t>
      </w:r>
      <w:r w:rsidR="0091789A">
        <w:rPr>
          <w:rFonts w:eastAsia="Times New Roman" w:cs="Calibri"/>
          <w:color w:val="000000"/>
        </w:rPr>
        <w:t xml:space="preserve">was not included in the original version simply because </w:t>
      </w:r>
      <w:r w:rsidR="00EE22B1">
        <w:rPr>
          <w:rFonts w:eastAsia="Times New Roman" w:cs="Calibri"/>
          <w:color w:val="000000"/>
        </w:rPr>
        <w:t xml:space="preserve">of time. The implication is that some </w:t>
      </w:r>
      <w:r w:rsidR="00933609">
        <w:rPr>
          <w:rFonts w:eastAsia="Times New Roman" w:cs="Calibri"/>
          <w:color w:val="000000"/>
        </w:rPr>
        <w:t>combinations of building type, census division, and fuel type</w:t>
      </w:r>
      <w:r w:rsidR="00374E09">
        <w:rPr>
          <w:rFonts w:eastAsia="Times New Roman" w:cs="Calibri"/>
          <w:color w:val="000000"/>
        </w:rPr>
        <w:t xml:space="preserve"> sample as few as a single HVAC system</w:t>
      </w:r>
      <w:r w:rsidR="00E4003C">
        <w:rPr>
          <w:rFonts w:eastAsia="Times New Roman" w:cs="Calibri"/>
          <w:color w:val="000000"/>
        </w:rPr>
        <w:t>, which introduces error and uncertainty.</w:t>
      </w:r>
      <w:r w:rsidR="00A45F81">
        <w:rPr>
          <w:rFonts w:eastAsia="Times New Roman" w:cs="Calibri"/>
          <w:color w:val="000000"/>
        </w:rPr>
        <w:t xml:space="preserve"> The new method introduces a national-regional blending rate </w:t>
      </w:r>
      <w:proofErr w:type="gramStart"/>
      <w:r w:rsidR="00A45F81">
        <w:rPr>
          <w:rFonts w:eastAsia="Times New Roman" w:cs="Calibri"/>
          <w:color w:val="000000"/>
        </w:rPr>
        <w:t>similar to</w:t>
      </w:r>
      <w:proofErr w:type="gramEnd"/>
      <w:r w:rsidR="00A45F81">
        <w:rPr>
          <w:rFonts w:eastAsia="Times New Roman" w:cs="Calibri"/>
          <w:color w:val="000000"/>
        </w:rPr>
        <w:t xml:space="preserve"> the heating fuel distribution with a </w:t>
      </w:r>
      <w:proofErr w:type="gramStart"/>
      <w:r w:rsidR="00A45F81">
        <w:rPr>
          <w:rFonts w:eastAsia="Times New Roman" w:cs="Calibri"/>
          <w:color w:val="000000"/>
        </w:rPr>
        <w:t>15 sample</w:t>
      </w:r>
      <w:proofErr w:type="gramEnd"/>
      <w:r w:rsidR="00A45F81">
        <w:rPr>
          <w:rFonts w:eastAsia="Times New Roman" w:cs="Calibri"/>
          <w:color w:val="000000"/>
        </w:rPr>
        <w:t xml:space="preserve"> count minimum threshold.</w:t>
      </w:r>
      <w:r w:rsidR="00961725">
        <w:rPr>
          <w:rFonts w:eastAsia="Times New Roman" w:cs="Calibri"/>
          <w:color w:val="000000"/>
        </w:rPr>
        <w:t xml:space="preserve"> </w:t>
      </w:r>
      <w:r w:rsidR="00595B5D" w:rsidRPr="00595B5D">
        <w:rPr>
          <w:rFonts w:eastAsia="Times New Roman" w:cs="Calibri"/>
          <w:color w:val="000000"/>
        </w:rPr>
        <w:t xml:space="preserve">The objective is to mitigate the variability and uncertainty that arise </w:t>
      </w:r>
      <w:r w:rsidR="009772AE">
        <w:rPr>
          <w:rFonts w:eastAsia="Times New Roman" w:cs="Calibri"/>
          <w:color w:val="000000"/>
        </w:rPr>
        <w:t>when</w:t>
      </w:r>
      <w:r w:rsidR="00595B5D" w:rsidRPr="00595B5D">
        <w:rPr>
          <w:rFonts w:eastAsia="Times New Roman" w:cs="Calibri"/>
          <w:color w:val="000000"/>
        </w:rPr>
        <w:t xml:space="preserve"> distribution</w:t>
      </w:r>
      <w:r w:rsidR="009772AE">
        <w:rPr>
          <w:rFonts w:eastAsia="Times New Roman" w:cs="Calibri"/>
          <w:color w:val="000000"/>
        </w:rPr>
        <w:t>s</w:t>
      </w:r>
      <w:r w:rsidR="00595B5D" w:rsidRPr="00595B5D">
        <w:rPr>
          <w:rFonts w:eastAsia="Times New Roman" w:cs="Calibri"/>
          <w:color w:val="000000"/>
        </w:rPr>
        <w:t xml:space="preserve"> </w:t>
      </w:r>
      <w:r w:rsidR="009772AE">
        <w:rPr>
          <w:rFonts w:eastAsia="Times New Roman" w:cs="Calibri"/>
          <w:color w:val="000000"/>
        </w:rPr>
        <w:t>are</w:t>
      </w:r>
      <w:r w:rsidR="00595B5D" w:rsidRPr="00595B5D">
        <w:rPr>
          <w:rFonts w:eastAsia="Times New Roman" w:cs="Calibri"/>
          <w:color w:val="000000"/>
        </w:rPr>
        <w:t xml:space="preserve"> solely informed by low sample counts</w:t>
      </w:r>
      <w:r w:rsidR="009772AE">
        <w:rPr>
          <w:rFonts w:eastAsia="Times New Roman" w:cs="Calibri"/>
          <w:color w:val="000000"/>
        </w:rPr>
        <w:t xml:space="preserve">, especially when this leads to </w:t>
      </w:r>
      <w:r w:rsidR="00203FA5">
        <w:rPr>
          <w:rFonts w:eastAsia="Times New Roman" w:cs="Calibri"/>
          <w:color w:val="000000"/>
        </w:rPr>
        <w:t>a single HVAC system in the distribution.</w:t>
      </w:r>
    </w:p>
    <w:p w14:paraId="2CDF0FC1" w14:textId="3A7C774F" w:rsidR="004D7CFC" w:rsidRDefault="004D7CFC" w:rsidP="00BA46F0">
      <w:pPr>
        <w:rPr>
          <w:rFonts w:eastAsia="Times New Roman" w:cs="Calibri"/>
          <w:b/>
          <w:bCs/>
          <w:color w:val="000000"/>
        </w:rPr>
      </w:pPr>
      <w:r w:rsidRPr="00BE6442">
        <w:rPr>
          <w:rFonts w:eastAsia="Times New Roman" w:cs="Calibri"/>
          <w:b/>
          <w:bCs/>
          <w:color w:val="000000"/>
        </w:rPr>
        <w:t>County Weighting</w:t>
      </w:r>
    </w:p>
    <w:p w14:paraId="2CA82909" w14:textId="3BA18B8D" w:rsidR="000B7D4F" w:rsidRPr="006945FA" w:rsidRDefault="00BE6442" w:rsidP="009F582D">
      <w:pPr>
        <w:rPr>
          <w:rFonts w:eastAsia="Times New Roman" w:cs="Calibri"/>
          <w:color w:val="000000"/>
        </w:rPr>
      </w:pPr>
      <w:r w:rsidRPr="3B3BE4F2">
        <w:rPr>
          <w:rFonts w:eastAsia="Times New Roman" w:cs="Calibri"/>
          <w:color w:val="000000" w:themeColor="text1"/>
        </w:rPr>
        <w:t>As discussed, the</w:t>
      </w:r>
      <w:r w:rsidR="00B227F3" w:rsidRPr="3B3BE4F2">
        <w:rPr>
          <w:rFonts w:eastAsia="Times New Roman" w:cs="Calibri"/>
          <w:color w:val="000000" w:themeColor="text1"/>
        </w:rPr>
        <w:t xml:space="preserve"> heating</w:t>
      </w:r>
      <w:r w:rsidRPr="3B3BE4F2">
        <w:rPr>
          <w:rFonts w:eastAsia="Times New Roman" w:cs="Calibri"/>
          <w:color w:val="000000" w:themeColor="text1"/>
        </w:rPr>
        <w:t xml:space="preserve"> fuel type distributions use county-level ResStock data to </w:t>
      </w:r>
      <w:r w:rsidR="00534777" w:rsidRPr="3B3BE4F2">
        <w:rPr>
          <w:rFonts w:eastAsia="Times New Roman" w:cs="Calibri"/>
          <w:color w:val="000000" w:themeColor="text1"/>
        </w:rPr>
        <w:t>allocate the census-division-level CBECS</w:t>
      </w:r>
      <w:r w:rsidR="00B227F3" w:rsidRPr="3B3BE4F2">
        <w:rPr>
          <w:rFonts w:eastAsia="Times New Roman" w:cs="Calibri"/>
          <w:color w:val="000000" w:themeColor="text1"/>
        </w:rPr>
        <w:t xml:space="preserve"> fuel type</w:t>
      </w:r>
      <w:r w:rsidR="00451D70" w:rsidRPr="3B3BE4F2">
        <w:rPr>
          <w:rFonts w:eastAsia="Times New Roman" w:cs="Calibri"/>
          <w:color w:val="000000" w:themeColor="text1"/>
        </w:rPr>
        <w:t xml:space="preserve"> prevalence among counties for higher</w:t>
      </w:r>
      <w:r w:rsidR="0079015E" w:rsidRPr="3B3BE4F2">
        <w:rPr>
          <w:rFonts w:eastAsia="Times New Roman" w:cs="Calibri"/>
          <w:color w:val="000000" w:themeColor="text1"/>
        </w:rPr>
        <w:t xml:space="preserve"> geospatial</w:t>
      </w:r>
      <w:r w:rsidR="00451D70" w:rsidRPr="3B3BE4F2">
        <w:rPr>
          <w:rFonts w:eastAsia="Times New Roman" w:cs="Calibri"/>
          <w:color w:val="000000" w:themeColor="text1"/>
        </w:rPr>
        <w:t xml:space="preserve"> granularity. This is important due to the variety of fuel </w:t>
      </w:r>
      <w:r w:rsidR="00805F4E" w:rsidRPr="3B3BE4F2">
        <w:rPr>
          <w:rFonts w:eastAsia="Times New Roman" w:cs="Calibri"/>
          <w:color w:val="000000" w:themeColor="text1"/>
        </w:rPr>
        <w:t xml:space="preserve">type </w:t>
      </w:r>
      <w:r w:rsidR="002C118D" w:rsidRPr="3B3BE4F2">
        <w:rPr>
          <w:rFonts w:eastAsia="Times New Roman" w:cs="Calibri"/>
          <w:color w:val="000000" w:themeColor="text1"/>
        </w:rPr>
        <w:t>prev</w:t>
      </w:r>
      <w:r w:rsidR="002C118D">
        <w:rPr>
          <w:rFonts w:eastAsia="Times New Roman" w:cs="Calibri"/>
          <w:color w:val="000000" w:themeColor="text1"/>
        </w:rPr>
        <w:t>alence</w:t>
      </w:r>
      <w:r w:rsidR="00805F4E" w:rsidRPr="3B3BE4F2">
        <w:rPr>
          <w:rFonts w:eastAsia="Times New Roman" w:cs="Calibri"/>
          <w:color w:val="000000" w:themeColor="text1"/>
        </w:rPr>
        <w:t xml:space="preserve"> that exists within </w:t>
      </w:r>
      <w:r w:rsidR="00C14D2E" w:rsidRPr="3B3BE4F2">
        <w:rPr>
          <w:rFonts w:eastAsia="Times New Roman" w:cs="Calibri"/>
          <w:color w:val="000000" w:themeColor="text1"/>
        </w:rPr>
        <w:t xml:space="preserve">census divisions. Previously, the ResStock </w:t>
      </w:r>
      <w:r w:rsidR="002A2914" w:rsidRPr="3B3BE4F2">
        <w:rPr>
          <w:rFonts w:eastAsia="Times New Roman" w:cs="Calibri"/>
          <w:color w:val="000000" w:themeColor="text1"/>
        </w:rPr>
        <w:t xml:space="preserve">county </w:t>
      </w:r>
      <w:r w:rsidR="00C14D2E" w:rsidRPr="3B3BE4F2">
        <w:rPr>
          <w:rFonts w:eastAsia="Times New Roman" w:cs="Calibri"/>
          <w:color w:val="000000" w:themeColor="text1"/>
        </w:rPr>
        <w:t xml:space="preserve">weights we used </w:t>
      </w:r>
      <w:r w:rsidR="00AF068B" w:rsidRPr="3B3BE4F2">
        <w:rPr>
          <w:rFonts w:eastAsia="Times New Roman" w:cs="Calibri"/>
          <w:color w:val="000000" w:themeColor="text1"/>
        </w:rPr>
        <w:t>for</w:t>
      </w:r>
      <w:r w:rsidR="002A2914" w:rsidRPr="3B3BE4F2">
        <w:rPr>
          <w:rFonts w:eastAsia="Times New Roman" w:cs="Calibri"/>
          <w:color w:val="000000" w:themeColor="text1"/>
        </w:rPr>
        <w:t xml:space="preserve"> </w:t>
      </w:r>
      <w:r w:rsidR="00087374" w:rsidRPr="3B3BE4F2">
        <w:rPr>
          <w:rFonts w:eastAsia="Times New Roman" w:cs="Calibri"/>
          <w:color w:val="000000" w:themeColor="text1"/>
        </w:rPr>
        <w:t xml:space="preserve">determining the “weight” of the county to facilitate census division alignment to CBECS. However, this can lead to increased error </w:t>
      </w:r>
      <w:r w:rsidR="00C205BF" w:rsidRPr="3B3BE4F2">
        <w:rPr>
          <w:rFonts w:eastAsia="Times New Roman" w:cs="Calibri"/>
          <w:color w:val="000000" w:themeColor="text1"/>
        </w:rPr>
        <w:t xml:space="preserve">for aligning to CBECS at the census division and building type (which is ultimately the “target”) </w:t>
      </w:r>
      <w:r w:rsidR="00E63635" w:rsidRPr="3B3BE4F2">
        <w:rPr>
          <w:rFonts w:eastAsia="Times New Roman" w:cs="Calibri"/>
          <w:color w:val="000000" w:themeColor="text1"/>
        </w:rPr>
        <w:t xml:space="preserve">level </w:t>
      </w:r>
      <w:r w:rsidR="0060412A" w:rsidRPr="3B3BE4F2">
        <w:rPr>
          <w:rFonts w:eastAsia="Times New Roman" w:cs="Calibri"/>
          <w:color w:val="000000" w:themeColor="text1"/>
        </w:rPr>
        <w:t xml:space="preserve">as the ResStock weights do not </w:t>
      </w:r>
      <w:r w:rsidR="0060412A" w:rsidRPr="3B3BE4F2">
        <w:rPr>
          <w:rFonts w:eastAsia="Times New Roman" w:cs="Calibri"/>
          <w:color w:val="000000" w:themeColor="text1"/>
        </w:rPr>
        <w:lastRenderedPageBreak/>
        <w:t xml:space="preserve">necessarily align with ComStock </w:t>
      </w:r>
      <w:r w:rsidR="004943B3" w:rsidRPr="3B3BE4F2">
        <w:rPr>
          <w:rFonts w:eastAsia="Times New Roman" w:cs="Calibri"/>
          <w:color w:val="000000" w:themeColor="text1"/>
        </w:rPr>
        <w:t xml:space="preserve">county </w:t>
      </w:r>
      <w:r w:rsidR="0060412A" w:rsidRPr="3B3BE4F2">
        <w:rPr>
          <w:rFonts w:eastAsia="Times New Roman" w:cs="Calibri"/>
          <w:color w:val="000000" w:themeColor="text1"/>
        </w:rPr>
        <w:t>weights per building type</w:t>
      </w:r>
      <w:r w:rsidR="00C205BF" w:rsidRPr="3B3BE4F2">
        <w:rPr>
          <w:rFonts w:eastAsia="Times New Roman" w:cs="Calibri"/>
          <w:color w:val="000000" w:themeColor="text1"/>
        </w:rPr>
        <w:t>.</w:t>
      </w:r>
      <w:r w:rsidR="0095551E" w:rsidRPr="3B3BE4F2">
        <w:rPr>
          <w:rFonts w:eastAsia="Times New Roman" w:cs="Calibri"/>
          <w:color w:val="000000" w:themeColor="text1"/>
        </w:rPr>
        <w:t xml:space="preserve"> This </w:t>
      </w:r>
      <w:r w:rsidR="004943B3" w:rsidRPr="3B3BE4F2">
        <w:rPr>
          <w:rFonts w:eastAsia="Times New Roman" w:cs="Calibri"/>
          <w:color w:val="000000" w:themeColor="text1"/>
        </w:rPr>
        <w:t>update</w:t>
      </w:r>
      <w:r w:rsidR="0095551E" w:rsidRPr="3B3BE4F2">
        <w:rPr>
          <w:rFonts w:eastAsia="Times New Roman" w:cs="Calibri"/>
          <w:color w:val="000000" w:themeColor="text1"/>
        </w:rPr>
        <w:t xml:space="preserve"> uses </w:t>
      </w:r>
      <w:r w:rsidR="008A0806">
        <w:rPr>
          <w:rFonts w:eastAsia="Times New Roman" w:cs="Calibri"/>
          <w:color w:val="000000" w:themeColor="text1"/>
        </w:rPr>
        <w:t xml:space="preserve">building area </w:t>
      </w:r>
      <w:r w:rsidR="0095551E" w:rsidRPr="3B3BE4F2">
        <w:rPr>
          <w:rFonts w:eastAsia="Times New Roman" w:cs="Calibri"/>
          <w:color w:val="000000" w:themeColor="text1"/>
        </w:rPr>
        <w:t>data from a previous ComStock run for weighting counties</w:t>
      </w:r>
      <w:r w:rsidR="0079015E" w:rsidRPr="3B3BE4F2">
        <w:rPr>
          <w:rFonts w:eastAsia="Times New Roman" w:cs="Calibri"/>
          <w:color w:val="000000" w:themeColor="text1"/>
        </w:rPr>
        <w:t xml:space="preserve"> in this calculation.</w:t>
      </w:r>
    </w:p>
    <w:p w14:paraId="395D9977" w14:textId="32AD0EA8" w:rsidR="00203FA5" w:rsidRDefault="00203FA5" w:rsidP="00203FA5">
      <w:pPr>
        <w:rPr>
          <w:b/>
          <w:bCs/>
        </w:rPr>
      </w:pPr>
      <w:r>
        <w:rPr>
          <w:b/>
          <w:bCs/>
        </w:rPr>
        <w:t xml:space="preserve">Assessing Electric Resistance </w:t>
      </w:r>
      <w:r w:rsidR="003634A8">
        <w:rPr>
          <w:b/>
          <w:bCs/>
        </w:rPr>
        <w:t>Systems</w:t>
      </w:r>
    </w:p>
    <w:p w14:paraId="6A566163" w14:textId="2D7EA509" w:rsidR="00E348AE" w:rsidRDefault="007B69F2" w:rsidP="00203FA5">
      <w:r>
        <w:t xml:space="preserve">The original </w:t>
      </w:r>
      <w:r w:rsidR="00C546BD">
        <w:t xml:space="preserve">HVAC system </w:t>
      </w:r>
      <w:r>
        <w:t xml:space="preserve">distributions </w:t>
      </w:r>
      <w:r w:rsidR="00C546BD">
        <w:t>suggest</w:t>
      </w:r>
      <w:r>
        <w:t xml:space="preserve"> roughly 20%</w:t>
      </w:r>
      <w:r w:rsidR="000A0573">
        <w:t xml:space="preserve"> of the stock floor area being served by electric resistance RTUs.</w:t>
      </w:r>
      <w:r w:rsidR="007F66DD">
        <w:t xml:space="preserve"> </w:t>
      </w:r>
      <w:r w:rsidR="00D73B70">
        <w:t xml:space="preserve">Although it is difficult to disprove this with </w:t>
      </w:r>
      <w:r w:rsidR="003F2C2A">
        <w:t xml:space="preserve">the limited </w:t>
      </w:r>
      <w:r w:rsidR="00D73B70">
        <w:t>data</w:t>
      </w:r>
      <w:r w:rsidR="003F2C2A">
        <w:t xml:space="preserve"> available on HVAC system </w:t>
      </w:r>
      <w:r w:rsidR="00A63E86">
        <w:t>prevalence</w:t>
      </w:r>
      <w:r w:rsidR="00D73B70">
        <w:t>, anecdotal feedback suggests this number to be high.</w:t>
      </w:r>
      <w:r w:rsidR="00E058BF">
        <w:t xml:space="preserve"> </w:t>
      </w:r>
      <w:r w:rsidR="00827053">
        <w:t xml:space="preserve">The new approach </w:t>
      </w:r>
      <w:r w:rsidR="00E058BF">
        <w:t>modifies</w:t>
      </w:r>
      <w:r w:rsidR="00827053">
        <w:t xml:space="preserve"> the criteria for classifying a system type as an electric resistance RTU</w:t>
      </w:r>
      <w:r w:rsidR="00984550">
        <w:t>.</w:t>
      </w:r>
      <w:r w:rsidR="007943B6">
        <w:t xml:space="preserve"> </w:t>
      </w:r>
      <w:r w:rsidR="00F33E14">
        <w:t xml:space="preserve">The key changes include adding more robust checks for heat pump systems, but also </w:t>
      </w:r>
      <w:r w:rsidR="00DC22E7">
        <w:t>checking the prevalence of natural gas consumption and natural heating consumption from CBECS.</w:t>
      </w:r>
      <w:r w:rsidR="00D247EF">
        <w:t xml:space="preserve"> If CBECS estimates over 30% of the space heating</w:t>
      </w:r>
      <w:r w:rsidR="00C14BAD">
        <w:t xml:space="preserve"> comes from natural gas, then the sample is reclassified as gas heating and a gas RTU is used.</w:t>
      </w:r>
      <w:r w:rsidR="00021EC1">
        <w:t xml:space="preserve"> Similar considerations were added </w:t>
      </w:r>
      <w:r w:rsidR="00801D03">
        <w:t xml:space="preserve">for boiler systems which is especially important </w:t>
      </w:r>
      <w:r w:rsidR="00E348AE">
        <w:t>in ComStock since ComStock does not use electric resistance boiler systems.</w:t>
      </w:r>
      <w:r w:rsidR="00BB1BE5">
        <w:t xml:space="preserve"> This </w:t>
      </w:r>
      <w:r w:rsidR="00903B36">
        <w:t>added layer of checks for gas heating classification allows</w:t>
      </w:r>
      <w:r w:rsidR="000922D8">
        <w:t xml:space="preserve"> samples that show gas heating usage and have a boiler noted in the building to be assigned a gas boiler system, even if the user specified electric primary heating.</w:t>
      </w:r>
      <w:r w:rsidR="003A7D67">
        <w:t xml:space="preserve"> </w:t>
      </w:r>
    </w:p>
    <w:p w14:paraId="6EC02BA3" w14:textId="329963D5" w:rsidR="00E348AE" w:rsidRDefault="00E348AE" w:rsidP="00E348AE">
      <w:pPr>
        <w:pStyle w:val="Heading1"/>
        <w:rPr>
          <w:rFonts w:eastAsia="Calibri"/>
        </w:rPr>
      </w:pPr>
      <w:r>
        <w:rPr>
          <w:rFonts w:eastAsia="Calibri"/>
        </w:rPr>
        <w:t>Impact of Change</w:t>
      </w:r>
    </w:p>
    <w:p w14:paraId="03431C3E" w14:textId="579DC0B8" w:rsidR="00626EC1" w:rsidRDefault="00C2784E" w:rsidP="00203FA5">
      <w:r>
        <w:t xml:space="preserve">The new HVAC </w:t>
      </w:r>
      <w:r w:rsidR="001E3B8F">
        <w:t xml:space="preserve">distributions are </w:t>
      </w:r>
      <w:r w:rsidR="004312F2">
        <w:t xml:space="preserve">shown in </w:t>
      </w:r>
      <w:r w:rsidR="0033422C">
        <w:fldChar w:fldCharType="begin"/>
      </w:r>
      <w:r w:rsidR="0033422C">
        <w:instrText xml:space="preserve"> REF _Ref152597171 \h </w:instrText>
      </w:r>
      <w:r w:rsidR="0033422C">
        <w:fldChar w:fldCharType="separate"/>
      </w:r>
      <w:r w:rsidR="0033422C" w:rsidRPr="00AD1FE2">
        <w:rPr>
          <w:color w:val="000000" w:themeColor="text1"/>
        </w:rPr>
        <w:t xml:space="preserve">Figure </w:t>
      </w:r>
      <w:r w:rsidR="0033422C" w:rsidRPr="00AD1FE2">
        <w:rPr>
          <w:noProof/>
          <w:color w:val="000000" w:themeColor="text1"/>
        </w:rPr>
        <w:t>1</w:t>
      </w:r>
      <w:r w:rsidR="0033422C">
        <w:fldChar w:fldCharType="end"/>
      </w:r>
      <w:r w:rsidR="00003814">
        <w:t xml:space="preserve"> by floor area for the </w:t>
      </w:r>
      <w:r w:rsidR="00977BF6">
        <w:t>old distributions (used in EUSS cycle 1) and the new distributions (used in EUSS cycle 2)</w:t>
      </w:r>
      <w:r w:rsidR="004312F2">
        <w:t>.</w:t>
      </w:r>
      <w:r w:rsidR="00003814">
        <w:t xml:space="preserve"> </w:t>
      </w:r>
    </w:p>
    <w:p w14:paraId="75A686F6" w14:textId="2D44221F" w:rsidR="001D5048" w:rsidRDefault="001D5048" w:rsidP="001D5048">
      <w:r w:rsidRPr="00C43BD8">
        <w:fldChar w:fldCharType="begin"/>
      </w:r>
      <w:r w:rsidRPr="00C43BD8">
        <w:instrText xml:space="preserve"> REF _Ref152591176 \h </w:instrText>
      </w:r>
      <w:r>
        <w:instrText xml:space="preserve"> \* MERGEFORMAT </w:instrText>
      </w:r>
      <w:r w:rsidRPr="00C43BD8">
        <w:fldChar w:fldCharType="separate"/>
      </w:r>
      <w:r w:rsidRPr="00C43BD8">
        <w:t xml:space="preserve">Table </w:t>
      </w:r>
      <w:r w:rsidRPr="00C43BD8">
        <w:rPr>
          <w:noProof/>
        </w:rPr>
        <w:t>3</w:t>
      </w:r>
      <w:r w:rsidRPr="00C43BD8">
        <w:fldChar w:fldCharType="end"/>
      </w:r>
      <w:r>
        <w:t xml:space="preserve"> compares the % of stock floor area served by each HVAC system type in ComStock for EUSS cycle 1 versus cycle 2. The largest reductions in floor area between cycles </w:t>
      </w:r>
      <w:proofErr w:type="gramStart"/>
      <w:r>
        <w:t>is</w:t>
      </w:r>
      <w:proofErr w:type="gramEnd"/>
      <w:r>
        <w:t xml:space="preserve"> from PSZ-AC with electric coil (-12.4%), PTHP (-5.1%) and residential AC with residential forced air furnace (-3%). The PSZ-AC with electric coil reduction was from a concerted effort to reduce the prevalence of this system type in the ComStock baseline to align with </w:t>
      </w:r>
      <w:r w:rsidR="000922D8">
        <w:t>expert</w:t>
      </w:r>
      <w:r>
        <w:t xml:space="preserve"> intuition. Previously, the distributions showed 25% stock floor area being served by gas furnace RTUs and 20% electric resistance RTUs. Although it is difficult to find an accurate estimate of commercial HVAC system type prevalence across the stock, several experts have expressed that assuming 45% of RTUs being electric resistance seems high. The updated distribution used in EUSS cycle 2 shows 28.7% and 8.5% floor area served by PSZ-AC with electric coil and PSZ-AC with gas coil, respectively. This results in electric resistance RTUs making up only 24% of packaged RTUs, which seems more realistic. Many of these systems were reassigned to other electric heating systems, like heat pumps, through more careful classification methods. Additionally, some were reclassified as gas furnace RTUs by considering CBECS fraction of space heating from gas in the classification methods.</w:t>
      </w:r>
    </w:p>
    <w:p w14:paraId="42B35EDB" w14:textId="30C87FB7" w:rsidR="001D5048" w:rsidRDefault="001D5048" w:rsidP="001D5048">
      <w:r>
        <w:t xml:space="preserve">Alternatively, the largest increases in HVAC floor area comes from PVAV with gas boiler reheat (+6.1%), VAV chiller with gas boiler reheat (+4.8%), and PSZ-HP (+3.1%). The increase in boiler systems is </w:t>
      </w:r>
      <w:r w:rsidR="000C218E">
        <w:t>beneficial</w:t>
      </w:r>
      <w:r>
        <w:t>, as ComStock has been comparatively low in boiler prevalence compared to CBECS. This change is caused in part by more careful logic in classifying systems with boilers.</w:t>
      </w:r>
      <w:r w:rsidR="00592610">
        <w:t xml:space="preserve"> </w:t>
      </w:r>
      <w:r w:rsidR="008E0CD2">
        <w:fldChar w:fldCharType="begin"/>
      </w:r>
      <w:r w:rsidR="008E0CD2">
        <w:instrText xml:space="preserve"> REF _Ref152831325 \h </w:instrText>
      </w:r>
      <w:r w:rsidR="008E0CD2">
        <w:fldChar w:fldCharType="separate"/>
      </w:r>
      <w:r w:rsidR="008E0CD2" w:rsidRPr="00F0583D">
        <w:rPr>
          <w:color w:val="000000" w:themeColor="text1"/>
        </w:rPr>
        <w:t xml:space="preserve">Figure </w:t>
      </w:r>
      <w:r w:rsidR="008E0CD2" w:rsidRPr="00F0583D">
        <w:rPr>
          <w:noProof/>
          <w:color w:val="000000" w:themeColor="text1"/>
        </w:rPr>
        <w:t>1</w:t>
      </w:r>
      <w:r w:rsidR="008E0CD2">
        <w:fldChar w:fldCharType="end"/>
      </w:r>
      <w:r w:rsidR="008E0CD2">
        <w:t xml:space="preserve"> compares % floor area served by boilers between the old and new runs</w:t>
      </w:r>
      <w:r w:rsidR="00D2724F">
        <w:t>, with area served increasing from 19% to 36%. CBECS suggests between 30-35% of floor area is served by boilers, so the updated prevalence shows closer alignment.</w:t>
      </w:r>
    </w:p>
    <w:p w14:paraId="67033255" w14:textId="77777777" w:rsidR="00AD1FE2" w:rsidRDefault="00501A57" w:rsidP="001D5048">
      <w:pPr>
        <w:keepNext/>
        <w:jc w:val="center"/>
      </w:pPr>
      <w:r w:rsidRPr="00501A57">
        <w:rPr>
          <w:noProof/>
        </w:rPr>
        <w:lastRenderedPageBreak/>
        <w:drawing>
          <wp:inline distT="0" distB="0" distL="0" distR="0" wp14:anchorId="0F70EB92" wp14:editId="38A57148">
            <wp:extent cx="6271404" cy="6262174"/>
            <wp:effectExtent l="0" t="0" r="0" b="5715"/>
            <wp:docPr id="1672268021" name="Picture 167226802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68021" name="Picture 1" descr="Graphical user interface&#10;&#10;Description automatically generated"/>
                    <pic:cNvPicPr/>
                  </pic:nvPicPr>
                  <pic:blipFill rotWithShape="1">
                    <a:blip r:embed="rId11"/>
                    <a:srcRect t="2133"/>
                    <a:stretch/>
                  </pic:blipFill>
                  <pic:spPr bwMode="auto">
                    <a:xfrm>
                      <a:off x="0" y="0"/>
                      <a:ext cx="6312763" cy="6303472"/>
                    </a:xfrm>
                    <a:prstGeom prst="rect">
                      <a:avLst/>
                    </a:prstGeom>
                    <a:ln>
                      <a:noFill/>
                    </a:ln>
                    <a:extLst>
                      <a:ext uri="{53640926-AAD7-44D8-BBD7-CCE9431645EC}">
                        <a14:shadowObscured xmlns:a14="http://schemas.microsoft.com/office/drawing/2010/main"/>
                      </a:ext>
                    </a:extLst>
                  </pic:spPr>
                </pic:pic>
              </a:graphicData>
            </a:graphic>
          </wp:inline>
        </w:drawing>
      </w:r>
    </w:p>
    <w:p w14:paraId="42A559F1" w14:textId="7971A67D" w:rsidR="008C6B84" w:rsidRPr="00AD1FE2" w:rsidRDefault="00AD1FE2" w:rsidP="00AD1FE2">
      <w:pPr>
        <w:pStyle w:val="Caption"/>
        <w:rPr>
          <w:color w:val="000000" w:themeColor="text1"/>
        </w:rPr>
      </w:pPr>
      <w:bookmarkStart w:id="1" w:name="_Ref152597171"/>
      <w:r w:rsidRPr="00AD1FE2">
        <w:rPr>
          <w:color w:val="000000" w:themeColor="text1"/>
        </w:rPr>
        <w:t xml:space="preserve">Figure </w:t>
      </w:r>
      <w:r w:rsidRPr="00AD1FE2">
        <w:rPr>
          <w:color w:val="000000" w:themeColor="text1"/>
        </w:rPr>
        <w:fldChar w:fldCharType="begin"/>
      </w:r>
      <w:r w:rsidRPr="00AD1FE2">
        <w:rPr>
          <w:color w:val="000000" w:themeColor="text1"/>
        </w:rPr>
        <w:instrText xml:space="preserve"> SEQ Figure \* ARABIC </w:instrText>
      </w:r>
      <w:r w:rsidRPr="00AD1FE2">
        <w:rPr>
          <w:color w:val="000000" w:themeColor="text1"/>
        </w:rPr>
        <w:fldChar w:fldCharType="separate"/>
      </w:r>
      <w:r w:rsidR="00F0583D">
        <w:rPr>
          <w:noProof/>
          <w:color w:val="000000" w:themeColor="text1"/>
        </w:rPr>
        <w:t>2</w:t>
      </w:r>
      <w:r w:rsidRPr="00AD1FE2">
        <w:rPr>
          <w:color w:val="000000" w:themeColor="text1"/>
        </w:rPr>
        <w:fldChar w:fldCharType="end"/>
      </w:r>
      <w:bookmarkEnd w:id="1"/>
      <w:r w:rsidRPr="00AD1FE2">
        <w:rPr>
          <w:color w:val="000000" w:themeColor="text1"/>
        </w:rPr>
        <w:t>: HVAC system type prevalence by floor area between EUSS Cycle 1 and Cycle 2. Cycle 2 represents the new distribution.</w:t>
      </w:r>
    </w:p>
    <w:p w14:paraId="5585239B" w14:textId="442C16E2" w:rsidR="005A3699" w:rsidRDefault="000A66FC" w:rsidP="00203FA5">
      <w:r>
        <w:t xml:space="preserve"> </w:t>
      </w:r>
      <w:r w:rsidR="00D41D1E">
        <w:t xml:space="preserve"> </w:t>
      </w:r>
    </w:p>
    <w:p w14:paraId="6392C9B1" w14:textId="77777777" w:rsidR="001D5048" w:rsidRDefault="001D5048" w:rsidP="00203FA5"/>
    <w:p w14:paraId="75765299" w14:textId="77777777" w:rsidR="001D5048" w:rsidRDefault="001D5048" w:rsidP="00203FA5"/>
    <w:p w14:paraId="07C1DA57" w14:textId="77777777" w:rsidR="001D5048" w:rsidRDefault="001D5048" w:rsidP="00203FA5"/>
    <w:p w14:paraId="6670369C" w14:textId="62FCBA01" w:rsidR="00781543" w:rsidRPr="00781543" w:rsidRDefault="00781543" w:rsidP="00781543">
      <w:pPr>
        <w:pStyle w:val="Caption"/>
        <w:keepNext/>
        <w:rPr>
          <w:color w:val="000000" w:themeColor="text1"/>
        </w:rPr>
      </w:pPr>
      <w:r w:rsidRPr="00781543">
        <w:rPr>
          <w:color w:val="000000" w:themeColor="text1"/>
        </w:rPr>
        <w:lastRenderedPageBreak/>
        <w:t xml:space="preserve">Table </w:t>
      </w:r>
      <w:r w:rsidRPr="00781543">
        <w:rPr>
          <w:color w:val="000000" w:themeColor="text1"/>
        </w:rPr>
        <w:fldChar w:fldCharType="begin"/>
      </w:r>
      <w:r w:rsidRPr="00781543">
        <w:rPr>
          <w:color w:val="000000" w:themeColor="text1"/>
        </w:rPr>
        <w:instrText xml:space="preserve"> SEQ Table \* ARABIC </w:instrText>
      </w:r>
      <w:r w:rsidRPr="00781543">
        <w:rPr>
          <w:color w:val="000000" w:themeColor="text1"/>
        </w:rPr>
        <w:fldChar w:fldCharType="separate"/>
      </w:r>
      <w:r w:rsidRPr="00781543">
        <w:rPr>
          <w:noProof/>
          <w:color w:val="000000" w:themeColor="text1"/>
        </w:rPr>
        <w:t>2</w:t>
      </w:r>
      <w:r w:rsidRPr="00781543">
        <w:rPr>
          <w:color w:val="000000" w:themeColor="text1"/>
        </w:rPr>
        <w:fldChar w:fldCharType="end"/>
      </w:r>
      <w:r w:rsidRPr="00781543">
        <w:rPr>
          <w:color w:val="000000" w:themeColor="text1"/>
        </w:rPr>
        <w:t>: HVAC system type floor area comparison between EUSS cycle 1 and 2.</w:t>
      </w:r>
    </w:p>
    <w:tbl>
      <w:tblPr>
        <w:tblW w:w="9175" w:type="dxa"/>
        <w:tblLook w:val="04A0" w:firstRow="1" w:lastRow="0" w:firstColumn="1" w:lastColumn="0" w:noHBand="0" w:noVBand="1"/>
      </w:tblPr>
      <w:tblGrid>
        <w:gridCol w:w="6385"/>
        <w:gridCol w:w="900"/>
        <w:gridCol w:w="900"/>
        <w:gridCol w:w="990"/>
      </w:tblGrid>
      <w:tr w:rsidR="00781543" w:rsidRPr="009E41EE" w14:paraId="259CDAE3" w14:textId="77777777" w:rsidTr="00781543">
        <w:trPr>
          <w:trHeight w:val="291"/>
        </w:trPr>
        <w:tc>
          <w:tcPr>
            <w:tcW w:w="6385" w:type="dxa"/>
            <w:tcBorders>
              <w:top w:val="single" w:sz="4" w:space="0" w:color="auto"/>
              <w:left w:val="single" w:sz="4" w:space="0" w:color="auto"/>
              <w:bottom w:val="single" w:sz="4" w:space="0" w:color="auto"/>
              <w:right w:val="single" w:sz="4" w:space="0" w:color="auto"/>
            </w:tcBorders>
            <w:noWrap/>
            <w:vAlign w:val="bottom"/>
            <w:hideMark/>
          </w:tcPr>
          <w:p w14:paraId="4B757898" w14:textId="5AC22CC1" w:rsidR="009E41EE" w:rsidRPr="009E41EE" w:rsidRDefault="00E95622" w:rsidP="009E41EE">
            <w:pPr>
              <w:spacing w:before="0" w:after="0" w:line="240" w:lineRule="auto"/>
              <w:rPr>
                <w:rFonts w:eastAsia="Times New Roman" w:cs="Calibri"/>
                <w:b/>
                <w:bCs/>
                <w:color w:val="000000"/>
              </w:rPr>
            </w:pPr>
            <w:r>
              <w:rPr>
                <w:rFonts w:eastAsia="Times New Roman" w:cs="Calibri"/>
                <w:b/>
                <w:bCs/>
                <w:color w:val="000000"/>
              </w:rPr>
              <w:t>HVAC System Type</w:t>
            </w:r>
          </w:p>
        </w:tc>
        <w:tc>
          <w:tcPr>
            <w:tcW w:w="900" w:type="dxa"/>
            <w:tcBorders>
              <w:top w:val="single" w:sz="4" w:space="0" w:color="auto"/>
              <w:left w:val="nil"/>
              <w:bottom w:val="single" w:sz="4" w:space="0" w:color="auto"/>
              <w:right w:val="single" w:sz="4" w:space="0" w:color="auto"/>
            </w:tcBorders>
            <w:noWrap/>
            <w:vAlign w:val="bottom"/>
            <w:hideMark/>
          </w:tcPr>
          <w:p w14:paraId="74A036E2" w14:textId="254A44AB" w:rsidR="009E41EE" w:rsidRPr="009E41EE" w:rsidRDefault="00E95622" w:rsidP="009E41EE">
            <w:pPr>
              <w:spacing w:before="0" w:after="0" w:line="240" w:lineRule="auto"/>
              <w:rPr>
                <w:rFonts w:eastAsia="Times New Roman" w:cs="Calibri"/>
                <w:b/>
                <w:bCs/>
                <w:color w:val="000000"/>
              </w:rPr>
            </w:pPr>
            <w:r>
              <w:rPr>
                <w:rFonts w:eastAsia="Times New Roman" w:cs="Calibri"/>
                <w:b/>
                <w:bCs/>
                <w:color w:val="000000"/>
              </w:rPr>
              <w:t xml:space="preserve">% Area </w:t>
            </w:r>
            <w:r w:rsidR="009E41EE" w:rsidRPr="009E41EE">
              <w:rPr>
                <w:rFonts w:eastAsia="Times New Roman" w:cs="Calibri"/>
                <w:b/>
                <w:bCs/>
                <w:color w:val="000000"/>
              </w:rPr>
              <w:t>Cycle 1</w:t>
            </w:r>
          </w:p>
        </w:tc>
        <w:tc>
          <w:tcPr>
            <w:tcW w:w="900" w:type="dxa"/>
            <w:tcBorders>
              <w:top w:val="single" w:sz="4" w:space="0" w:color="auto"/>
              <w:left w:val="nil"/>
              <w:bottom w:val="single" w:sz="4" w:space="0" w:color="auto"/>
              <w:right w:val="single" w:sz="4" w:space="0" w:color="auto"/>
            </w:tcBorders>
            <w:noWrap/>
            <w:vAlign w:val="bottom"/>
            <w:hideMark/>
          </w:tcPr>
          <w:p w14:paraId="416669DF" w14:textId="16141992" w:rsidR="009E41EE" w:rsidRPr="009E41EE" w:rsidRDefault="00E95622" w:rsidP="009E41EE">
            <w:pPr>
              <w:spacing w:before="0" w:after="0" w:line="240" w:lineRule="auto"/>
              <w:rPr>
                <w:rFonts w:eastAsia="Times New Roman" w:cs="Calibri"/>
                <w:b/>
                <w:bCs/>
                <w:color w:val="000000"/>
              </w:rPr>
            </w:pPr>
            <w:r>
              <w:rPr>
                <w:rFonts w:eastAsia="Times New Roman" w:cs="Calibri"/>
                <w:b/>
                <w:bCs/>
                <w:color w:val="000000"/>
              </w:rPr>
              <w:t>% Area</w:t>
            </w:r>
            <w:r w:rsidR="009E41EE" w:rsidRPr="009E41EE">
              <w:rPr>
                <w:rFonts w:eastAsia="Times New Roman" w:cs="Calibri"/>
                <w:b/>
                <w:bCs/>
                <w:color w:val="000000"/>
              </w:rPr>
              <w:t xml:space="preserve"> Cycle 2</w:t>
            </w:r>
          </w:p>
        </w:tc>
        <w:tc>
          <w:tcPr>
            <w:tcW w:w="990" w:type="dxa"/>
            <w:tcBorders>
              <w:top w:val="single" w:sz="4" w:space="0" w:color="auto"/>
              <w:left w:val="nil"/>
              <w:bottom w:val="single" w:sz="4" w:space="0" w:color="auto"/>
              <w:right w:val="single" w:sz="4" w:space="0" w:color="auto"/>
            </w:tcBorders>
            <w:noWrap/>
            <w:vAlign w:val="bottom"/>
            <w:hideMark/>
          </w:tcPr>
          <w:p w14:paraId="10F86DE6" w14:textId="17292577" w:rsidR="009E41EE" w:rsidRPr="009E41EE" w:rsidRDefault="009E41EE" w:rsidP="009E41EE">
            <w:pPr>
              <w:spacing w:before="0" w:after="0" w:line="240" w:lineRule="auto"/>
              <w:rPr>
                <w:rFonts w:eastAsia="Times New Roman" w:cs="Calibri"/>
                <w:b/>
                <w:bCs/>
                <w:color w:val="000000"/>
              </w:rPr>
            </w:pPr>
            <w:r w:rsidRPr="009E41EE">
              <w:rPr>
                <w:rFonts w:eastAsia="Times New Roman" w:cs="Calibri"/>
                <w:b/>
                <w:bCs/>
                <w:color w:val="000000"/>
              </w:rPr>
              <w:t>Cycle 2 - Cycle 1</w:t>
            </w:r>
          </w:p>
        </w:tc>
      </w:tr>
      <w:tr w:rsidR="00781543" w:rsidRPr="009E41EE" w14:paraId="56B906E0" w14:textId="77777777" w:rsidTr="3B3BE4F2">
        <w:trPr>
          <w:trHeight w:val="300"/>
        </w:trPr>
        <w:tc>
          <w:tcPr>
            <w:tcW w:w="6385" w:type="dxa"/>
            <w:tcBorders>
              <w:top w:val="nil"/>
              <w:left w:val="single" w:sz="4" w:space="0" w:color="auto"/>
              <w:bottom w:val="single" w:sz="4" w:space="0" w:color="auto"/>
              <w:right w:val="single" w:sz="4" w:space="0" w:color="auto"/>
            </w:tcBorders>
            <w:noWrap/>
            <w:vAlign w:val="bottom"/>
            <w:hideMark/>
          </w:tcPr>
          <w:p w14:paraId="0D85F123"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PSZ-AC with electric coil</w:t>
            </w:r>
          </w:p>
        </w:tc>
        <w:tc>
          <w:tcPr>
            <w:tcW w:w="900" w:type="dxa"/>
            <w:tcBorders>
              <w:top w:val="nil"/>
              <w:left w:val="nil"/>
              <w:bottom w:val="single" w:sz="4" w:space="0" w:color="auto"/>
              <w:right w:val="single" w:sz="4" w:space="0" w:color="auto"/>
            </w:tcBorders>
            <w:noWrap/>
            <w:vAlign w:val="bottom"/>
            <w:hideMark/>
          </w:tcPr>
          <w:p w14:paraId="668087CE"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20.9</w:t>
            </w:r>
          </w:p>
        </w:tc>
        <w:tc>
          <w:tcPr>
            <w:tcW w:w="900" w:type="dxa"/>
            <w:tcBorders>
              <w:top w:val="nil"/>
              <w:left w:val="nil"/>
              <w:bottom w:val="single" w:sz="4" w:space="0" w:color="auto"/>
              <w:right w:val="single" w:sz="4" w:space="0" w:color="auto"/>
            </w:tcBorders>
            <w:noWrap/>
            <w:vAlign w:val="bottom"/>
            <w:hideMark/>
          </w:tcPr>
          <w:p w14:paraId="6BE6DD99"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8.5</w:t>
            </w:r>
          </w:p>
        </w:tc>
        <w:tc>
          <w:tcPr>
            <w:tcW w:w="990" w:type="dxa"/>
            <w:tcBorders>
              <w:top w:val="nil"/>
              <w:left w:val="nil"/>
              <w:bottom w:val="single" w:sz="4" w:space="0" w:color="auto"/>
              <w:right w:val="single" w:sz="4" w:space="0" w:color="auto"/>
            </w:tcBorders>
            <w:noWrap/>
            <w:vAlign w:val="bottom"/>
            <w:hideMark/>
          </w:tcPr>
          <w:p w14:paraId="12D028C7"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-12.4</w:t>
            </w:r>
          </w:p>
        </w:tc>
      </w:tr>
      <w:tr w:rsidR="00781543" w:rsidRPr="009E41EE" w14:paraId="68F054FD"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13499C24"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PTHP</w:t>
            </w:r>
          </w:p>
        </w:tc>
        <w:tc>
          <w:tcPr>
            <w:tcW w:w="900" w:type="dxa"/>
            <w:tcBorders>
              <w:top w:val="nil"/>
              <w:left w:val="nil"/>
              <w:bottom w:val="single" w:sz="4" w:space="0" w:color="auto"/>
              <w:right w:val="single" w:sz="4" w:space="0" w:color="auto"/>
            </w:tcBorders>
            <w:noWrap/>
            <w:vAlign w:val="bottom"/>
            <w:hideMark/>
          </w:tcPr>
          <w:p w14:paraId="09F7BF9D"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7.4</w:t>
            </w:r>
          </w:p>
        </w:tc>
        <w:tc>
          <w:tcPr>
            <w:tcW w:w="900" w:type="dxa"/>
            <w:tcBorders>
              <w:top w:val="nil"/>
              <w:left w:val="nil"/>
              <w:bottom w:val="single" w:sz="4" w:space="0" w:color="auto"/>
              <w:right w:val="single" w:sz="4" w:space="0" w:color="auto"/>
            </w:tcBorders>
            <w:noWrap/>
            <w:vAlign w:val="bottom"/>
            <w:hideMark/>
          </w:tcPr>
          <w:p w14:paraId="007E95CC"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2.3</w:t>
            </w:r>
          </w:p>
        </w:tc>
        <w:tc>
          <w:tcPr>
            <w:tcW w:w="990" w:type="dxa"/>
            <w:tcBorders>
              <w:top w:val="nil"/>
              <w:left w:val="nil"/>
              <w:bottom w:val="single" w:sz="4" w:space="0" w:color="auto"/>
              <w:right w:val="single" w:sz="4" w:space="0" w:color="auto"/>
            </w:tcBorders>
            <w:noWrap/>
            <w:vAlign w:val="bottom"/>
            <w:hideMark/>
          </w:tcPr>
          <w:p w14:paraId="13456996"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-5.1</w:t>
            </w:r>
          </w:p>
        </w:tc>
      </w:tr>
      <w:tr w:rsidR="00781543" w:rsidRPr="009E41EE" w14:paraId="3B373E51"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66F96DC6"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Residential AC with residential forced air furnace</w:t>
            </w:r>
          </w:p>
        </w:tc>
        <w:tc>
          <w:tcPr>
            <w:tcW w:w="900" w:type="dxa"/>
            <w:tcBorders>
              <w:top w:val="nil"/>
              <w:left w:val="nil"/>
              <w:bottom w:val="single" w:sz="4" w:space="0" w:color="auto"/>
              <w:right w:val="single" w:sz="4" w:space="0" w:color="auto"/>
            </w:tcBorders>
            <w:noWrap/>
            <w:vAlign w:val="bottom"/>
            <w:hideMark/>
          </w:tcPr>
          <w:p w14:paraId="09F530D4"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7.1</w:t>
            </w:r>
          </w:p>
        </w:tc>
        <w:tc>
          <w:tcPr>
            <w:tcW w:w="900" w:type="dxa"/>
            <w:tcBorders>
              <w:top w:val="nil"/>
              <w:left w:val="nil"/>
              <w:bottom w:val="single" w:sz="4" w:space="0" w:color="auto"/>
              <w:right w:val="single" w:sz="4" w:space="0" w:color="auto"/>
            </w:tcBorders>
            <w:noWrap/>
            <w:vAlign w:val="bottom"/>
            <w:hideMark/>
          </w:tcPr>
          <w:p w14:paraId="1E5EFE13"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4.1</w:t>
            </w:r>
          </w:p>
        </w:tc>
        <w:tc>
          <w:tcPr>
            <w:tcW w:w="990" w:type="dxa"/>
            <w:tcBorders>
              <w:top w:val="nil"/>
              <w:left w:val="nil"/>
              <w:bottom w:val="single" w:sz="4" w:space="0" w:color="auto"/>
              <w:right w:val="single" w:sz="4" w:space="0" w:color="auto"/>
            </w:tcBorders>
            <w:noWrap/>
            <w:vAlign w:val="bottom"/>
            <w:hideMark/>
          </w:tcPr>
          <w:p w14:paraId="3D45D633"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-3.0</w:t>
            </w:r>
          </w:p>
        </w:tc>
      </w:tr>
      <w:tr w:rsidR="00781543" w:rsidRPr="009E41EE" w14:paraId="001AAB9A"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515E7075"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PSZ-AC district chilled water with electric coil</w:t>
            </w:r>
          </w:p>
        </w:tc>
        <w:tc>
          <w:tcPr>
            <w:tcW w:w="900" w:type="dxa"/>
            <w:tcBorders>
              <w:top w:val="nil"/>
              <w:left w:val="nil"/>
              <w:bottom w:val="single" w:sz="4" w:space="0" w:color="auto"/>
              <w:right w:val="single" w:sz="4" w:space="0" w:color="auto"/>
            </w:tcBorders>
            <w:noWrap/>
            <w:vAlign w:val="bottom"/>
            <w:hideMark/>
          </w:tcPr>
          <w:p w14:paraId="2F0D19D6"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0.9</w:t>
            </w:r>
          </w:p>
        </w:tc>
        <w:tc>
          <w:tcPr>
            <w:tcW w:w="900" w:type="dxa"/>
            <w:tcBorders>
              <w:top w:val="nil"/>
              <w:left w:val="nil"/>
              <w:bottom w:val="single" w:sz="4" w:space="0" w:color="auto"/>
              <w:right w:val="single" w:sz="4" w:space="0" w:color="auto"/>
            </w:tcBorders>
            <w:noWrap/>
            <w:vAlign w:val="bottom"/>
            <w:hideMark/>
          </w:tcPr>
          <w:p w14:paraId="24A4FEB6"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0.0</w:t>
            </w:r>
          </w:p>
        </w:tc>
        <w:tc>
          <w:tcPr>
            <w:tcW w:w="990" w:type="dxa"/>
            <w:tcBorders>
              <w:top w:val="nil"/>
              <w:left w:val="nil"/>
              <w:bottom w:val="single" w:sz="4" w:space="0" w:color="auto"/>
              <w:right w:val="single" w:sz="4" w:space="0" w:color="auto"/>
            </w:tcBorders>
            <w:noWrap/>
            <w:vAlign w:val="bottom"/>
            <w:hideMark/>
          </w:tcPr>
          <w:p w14:paraId="68CC4908"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-0.9</w:t>
            </w:r>
          </w:p>
        </w:tc>
      </w:tr>
      <w:tr w:rsidR="00781543" w:rsidRPr="009E41EE" w14:paraId="32DDDA0E"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1A35D172"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Residential forced air furnace</w:t>
            </w:r>
          </w:p>
        </w:tc>
        <w:tc>
          <w:tcPr>
            <w:tcW w:w="900" w:type="dxa"/>
            <w:tcBorders>
              <w:top w:val="nil"/>
              <w:left w:val="nil"/>
              <w:bottom w:val="single" w:sz="4" w:space="0" w:color="auto"/>
              <w:right w:val="single" w:sz="4" w:space="0" w:color="auto"/>
            </w:tcBorders>
            <w:noWrap/>
            <w:vAlign w:val="bottom"/>
            <w:hideMark/>
          </w:tcPr>
          <w:p w14:paraId="1DB0B31F"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1.6</w:t>
            </w:r>
          </w:p>
        </w:tc>
        <w:tc>
          <w:tcPr>
            <w:tcW w:w="900" w:type="dxa"/>
            <w:tcBorders>
              <w:top w:val="nil"/>
              <w:left w:val="nil"/>
              <w:bottom w:val="single" w:sz="4" w:space="0" w:color="auto"/>
              <w:right w:val="single" w:sz="4" w:space="0" w:color="auto"/>
            </w:tcBorders>
            <w:noWrap/>
            <w:vAlign w:val="bottom"/>
            <w:hideMark/>
          </w:tcPr>
          <w:p w14:paraId="1ED470A8"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0.7</w:t>
            </w:r>
          </w:p>
        </w:tc>
        <w:tc>
          <w:tcPr>
            <w:tcW w:w="990" w:type="dxa"/>
            <w:tcBorders>
              <w:top w:val="nil"/>
              <w:left w:val="nil"/>
              <w:bottom w:val="single" w:sz="4" w:space="0" w:color="auto"/>
              <w:right w:val="single" w:sz="4" w:space="0" w:color="auto"/>
            </w:tcBorders>
            <w:noWrap/>
            <w:vAlign w:val="bottom"/>
            <w:hideMark/>
          </w:tcPr>
          <w:p w14:paraId="56F29228"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-0.9</w:t>
            </w:r>
          </w:p>
        </w:tc>
      </w:tr>
      <w:tr w:rsidR="00781543" w:rsidRPr="009E41EE" w14:paraId="7E3F4856"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0403168B"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PSZ-AC with gas boiler</w:t>
            </w:r>
          </w:p>
        </w:tc>
        <w:tc>
          <w:tcPr>
            <w:tcW w:w="900" w:type="dxa"/>
            <w:tcBorders>
              <w:top w:val="nil"/>
              <w:left w:val="nil"/>
              <w:bottom w:val="single" w:sz="4" w:space="0" w:color="auto"/>
              <w:right w:val="single" w:sz="4" w:space="0" w:color="auto"/>
            </w:tcBorders>
            <w:noWrap/>
            <w:vAlign w:val="bottom"/>
            <w:hideMark/>
          </w:tcPr>
          <w:p w14:paraId="0584829B"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3.3</w:t>
            </w:r>
          </w:p>
        </w:tc>
        <w:tc>
          <w:tcPr>
            <w:tcW w:w="900" w:type="dxa"/>
            <w:tcBorders>
              <w:top w:val="nil"/>
              <w:left w:val="nil"/>
              <w:bottom w:val="single" w:sz="4" w:space="0" w:color="auto"/>
              <w:right w:val="single" w:sz="4" w:space="0" w:color="auto"/>
            </w:tcBorders>
            <w:noWrap/>
            <w:vAlign w:val="bottom"/>
            <w:hideMark/>
          </w:tcPr>
          <w:p w14:paraId="479318F3"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2.5</w:t>
            </w:r>
          </w:p>
        </w:tc>
        <w:tc>
          <w:tcPr>
            <w:tcW w:w="990" w:type="dxa"/>
            <w:tcBorders>
              <w:top w:val="nil"/>
              <w:left w:val="nil"/>
              <w:bottom w:val="single" w:sz="4" w:space="0" w:color="auto"/>
              <w:right w:val="single" w:sz="4" w:space="0" w:color="auto"/>
            </w:tcBorders>
            <w:noWrap/>
            <w:vAlign w:val="bottom"/>
            <w:hideMark/>
          </w:tcPr>
          <w:p w14:paraId="7130F54C"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-0.8</w:t>
            </w:r>
          </w:p>
        </w:tc>
      </w:tr>
      <w:tr w:rsidR="00781543" w:rsidRPr="009E41EE" w14:paraId="3396E0B1"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5CC70274"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VAV district chilled water with district hot water reheat</w:t>
            </w:r>
          </w:p>
        </w:tc>
        <w:tc>
          <w:tcPr>
            <w:tcW w:w="900" w:type="dxa"/>
            <w:tcBorders>
              <w:top w:val="nil"/>
              <w:left w:val="nil"/>
              <w:bottom w:val="single" w:sz="4" w:space="0" w:color="auto"/>
              <w:right w:val="single" w:sz="4" w:space="0" w:color="auto"/>
            </w:tcBorders>
            <w:noWrap/>
            <w:vAlign w:val="bottom"/>
            <w:hideMark/>
          </w:tcPr>
          <w:p w14:paraId="59B5F5AE"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2.3</w:t>
            </w:r>
          </w:p>
        </w:tc>
        <w:tc>
          <w:tcPr>
            <w:tcW w:w="900" w:type="dxa"/>
            <w:tcBorders>
              <w:top w:val="nil"/>
              <w:left w:val="nil"/>
              <w:bottom w:val="single" w:sz="4" w:space="0" w:color="auto"/>
              <w:right w:val="single" w:sz="4" w:space="0" w:color="auto"/>
            </w:tcBorders>
            <w:noWrap/>
            <w:vAlign w:val="bottom"/>
            <w:hideMark/>
          </w:tcPr>
          <w:p w14:paraId="349EF060"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1.7</w:t>
            </w:r>
          </w:p>
        </w:tc>
        <w:tc>
          <w:tcPr>
            <w:tcW w:w="990" w:type="dxa"/>
            <w:tcBorders>
              <w:top w:val="nil"/>
              <w:left w:val="nil"/>
              <w:bottom w:val="single" w:sz="4" w:space="0" w:color="auto"/>
              <w:right w:val="single" w:sz="4" w:space="0" w:color="auto"/>
            </w:tcBorders>
            <w:noWrap/>
            <w:vAlign w:val="bottom"/>
            <w:hideMark/>
          </w:tcPr>
          <w:p w14:paraId="50785662"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-0.6</w:t>
            </w:r>
          </w:p>
        </w:tc>
      </w:tr>
      <w:tr w:rsidR="00781543" w:rsidRPr="009E41EE" w14:paraId="68D5A816"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3E36C024"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VAV air-cooled chiller with PFP boxes</w:t>
            </w:r>
          </w:p>
        </w:tc>
        <w:tc>
          <w:tcPr>
            <w:tcW w:w="900" w:type="dxa"/>
            <w:tcBorders>
              <w:top w:val="nil"/>
              <w:left w:val="nil"/>
              <w:bottom w:val="single" w:sz="4" w:space="0" w:color="auto"/>
              <w:right w:val="single" w:sz="4" w:space="0" w:color="auto"/>
            </w:tcBorders>
            <w:noWrap/>
            <w:vAlign w:val="bottom"/>
            <w:hideMark/>
          </w:tcPr>
          <w:p w14:paraId="5575F6C0"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1.3</w:t>
            </w:r>
          </w:p>
        </w:tc>
        <w:tc>
          <w:tcPr>
            <w:tcW w:w="900" w:type="dxa"/>
            <w:tcBorders>
              <w:top w:val="nil"/>
              <w:left w:val="nil"/>
              <w:bottom w:val="single" w:sz="4" w:space="0" w:color="auto"/>
              <w:right w:val="single" w:sz="4" w:space="0" w:color="auto"/>
            </w:tcBorders>
            <w:noWrap/>
            <w:vAlign w:val="bottom"/>
            <w:hideMark/>
          </w:tcPr>
          <w:p w14:paraId="2987FD24"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0.7</w:t>
            </w:r>
          </w:p>
        </w:tc>
        <w:tc>
          <w:tcPr>
            <w:tcW w:w="990" w:type="dxa"/>
            <w:tcBorders>
              <w:top w:val="nil"/>
              <w:left w:val="nil"/>
              <w:bottom w:val="single" w:sz="4" w:space="0" w:color="auto"/>
              <w:right w:val="single" w:sz="4" w:space="0" w:color="auto"/>
            </w:tcBorders>
            <w:noWrap/>
            <w:vAlign w:val="bottom"/>
            <w:hideMark/>
          </w:tcPr>
          <w:p w14:paraId="61071C4D"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-0.6</w:t>
            </w:r>
          </w:p>
        </w:tc>
      </w:tr>
      <w:tr w:rsidR="00781543" w:rsidRPr="009E41EE" w14:paraId="717B8640"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679E4655"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 xml:space="preserve">Direct </w:t>
            </w:r>
            <w:proofErr w:type="spellStart"/>
            <w:r w:rsidRPr="009E41EE">
              <w:rPr>
                <w:rFonts w:eastAsia="Times New Roman" w:cs="Calibri"/>
                <w:color w:val="000000"/>
              </w:rPr>
              <w:t>evap</w:t>
            </w:r>
            <w:proofErr w:type="spellEnd"/>
            <w:r w:rsidRPr="009E41EE">
              <w:rPr>
                <w:rFonts w:eastAsia="Times New Roman" w:cs="Calibri"/>
                <w:color w:val="000000"/>
              </w:rPr>
              <w:t xml:space="preserve"> coolers with forced air furnace</w:t>
            </w:r>
          </w:p>
        </w:tc>
        <w:tc>
          <w:tcPr>
            <w:tcW w:w="900" w:type="dxa"/>
            <w:tcBorders>
              <w:top w:val="nil"/>
              <w:left w:val="nil"/>
              <w:bottom w:val="single" w:sz="4" w:space="0" w:color="auto"/>
              <w:right w:val="single" w:sz="4" w:space="0" w:color="auto"/>
            </w:tcBorders>
            <w:noWrap/>
            <w:vAlign w:val="bottom"/>
            <w:hideMark/>
          </w:tcPr>
          <w:p w14:paraId="3DFD0BC3"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0.7</w:t>
            </w:r>
          </w:p>
        </w:tc>
        <w:tc>
          <w:tcPr>
            <w:tcW w:w="900" w:type="dxa"/>
            <w:tcBorders>
              <w:top w:val="nil"/>
              <w:left w:val="nil"/>
              <w:bottom w:val="single" w:sz="4" w:space="0" w:color="auto"/>
              <w:right w:val="single" w:sz="4" w:space="0" w:color="auto"/>
            </w:tcBorders>
            <w:noWrap/>
            <w:vAlign w:val="bottom"/>
            <w:hideMark/>
          </w:tcPr>
          <w:p w14:paraId="2FB90C5C"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0.1</w:t>
            </w:r>
          </w:p>
        </w:tc>
        <w:tc>
          <w:tcPr>
            <w:tcW w:w="990" w:type="dxa"/>
            <w:tcBorders>
              <w:top w:val="nil"/>
              <w:left w:val="nil"/>
              <w:bottom w:val="single" w:sz="4" w:space="0" w:color="auto"/>
              <w:right w:val="single" w:sz="4" w:space="0" w:color="auto"/>
            </w:tcBorders>
            <w:noWrap/>
            <w:vAlign w:val="bottom"/>
            <w:hideMark/>
          </w:tcPr>
          <w:p w14:paraId="691BFB10"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-0.6</w:t>
            </w:r>
          </w:p>
        </w:tc>
      </w:tr>
      <w:tr w:rsidR="00781543" w:rsidRPr="009E41EE" w14:paraId="4786AD57"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2ADA459B"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DOAS with water source heat pumps with ground source heat pump</w:t>
            </w:r>
          </w:p>
        </w:tc>
        <w:tc>
          <w:tcPr>
            <w:tcW w:w="900" w:type="dxa"/>
            <w:tcBorders>
              <w:top w:val="nil"/>
              <w:left w:val="nil"/>
              <w:bottom w:val="single" w:sz="4" w:space="0" w:color="auto"/>
              <w:right w:val="single" w:sz="4" w:space="0" w:color="auto"/>
            </w:tcBorders>
            <w:noWrap/>
            <w:vAlign w:val="bottom"/>
            <w:hideMark/>
          </w:tcPr>
          <w:p w14:paraId="12AD04A2"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1.2</w:t>
            </w:r>
          </w:p>
        </w:tc>
        <w:tc>
          <w:tcPr>
            <w:tcW w:w="900" w:type="dxa"/>
            <w:tcBorders>
              <w:top w:val="nil"/>
              <w:left w:val="nil"/>
              <w:bottom w:val="single" w:sz="4" w:space="0" w:color="auto"/>
              <w:right w:val="single" w:sz="4" w:space="0" w:color="auto"/>
            </w:tcBorders>
            <w:noWrap/>
            <w:vAlign w:val="bottom"/>
            <w:hideMark/>
          </w:tcPr>
          <w:p w14:paraId="12976C9B"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0.8</w:t>
            </w:r>
          </w:p>
        </w:tc>
        <w:tc>
          <w:tcPr>
            <w:tcW w:w="990" w:type="dxa"/>
            <w:tcBorders>
              <w:top w:val="nil"/>
              <w:left w:val="nil"/>
              <w:bottom w:val="single" w:sz="4" w:space="0" w:color="auto"/>
              <w:right w:val="single" w:sz="4" w:space="0" w:color="auto"/>
            </w:tcBorders>
            <w:noWrap/>
            <w:vAlign w:val="bottom"/>
            <w:hideMark/>
          </w:tcPr>
          <w:p w14:paraId="562E4129"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-0.4</w:t>
            </w:r>
          </w:p>
        </w:tc>
      </w:tr>
      <w:tr w:rsidR="00781543" w:rsidRPr="009E41EE" w14:paraId="7B027CEF"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14B4CE95"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Gas unit heaters</w:t>
            </w:r>
          </w:p>
        </w:tc>
        <w:tc>
          <w:tcPr>
            <w:tcW w:w="900" w:type="dxa"/>
            <w:tcBorders>
              <w:top w:val="nil"/>
              <w:left w:val="nil"/>
              <w:bottom w:val="single" w:sz="4" w:space="0" w:color="auto"/>
              <w:right w:val="single" w:sz="4" w:space="0" w:color="auto"/>
            </w:tcBorders>
            <w:noWrap/>
            <w:vAlign w:val="bottom"/>
            <w:hideMark/>
          </w:tcPr>
          <w:p w14:paraId="7765D3C9"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0.5</w:t>
            </w:r>
          </w:p>
        </w:tc>
        <w:tc>
          <w:tcPr>
            <w:tcW w:w="900" w:type="dxa"/>
            <w:tcBorders>
              <w:top w:val="nil"/>
              <w:left w:val="nil"/>
              <w:bottom w:val="single" w:sz="4" w:space="0" w:color="auto"/>
              <w:right w:val="single" w:sz="4" w:space="0" w:color="auto"/>
            </w:tcBorders>
            <w:noWrap/>
            <w:vAlign w:val="bottom"/>
            <w:hideMark/>
          </w:tcPr>
          <w:p w14:paraId="187AC5ED"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0.3</w:t>
            </w:r>
          </w:p>
        </w:tc>
        <w:tc>
          <w:tcPr>
            <w:tcW w:w="990" w:type="dxa"/>
            <w:tcBorders>
              <w:top w:val="nil"/>
              <w:left w:val="nil"/>
              <w:bottom w:val="single" w:sz="4" w:space="0" w:color="auto"/>
              <w:right w:val="single" w:sz="4" w:space="0" w:color="auto"/>
            </w:tcBorders>
            <w:noWrap/>
            <w:vAlign w:val="bottom"/>
            <w:hideMark/>
          </w:tcPr>
          <w:p w14:paraId="3907CAF9"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-0.3</w:t>
            </w:r>
          </w:p>
        </w:tc>
      </w:tr>
      <w:tr w:rsidR="00781543" w:rsidRPr="009E41EE" w14:paraId="4ED063BF"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297FCBCB"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PVAV with district hot water reheat</w:t>
            </w:r>
          </w:p>
        </w:tc>
        <w:tc>
          <w:tcPr>
            <w:tcW w:w="900" w:type="dxa"/>
            <w:tcBorders>
              <w:top w:val="nil"/>
              <w:left w:val="nil"/>
              <w:bottom w:val="single" w:sz="4" w:space="0" w:color="auto"/>
              <w:right w:val="single" w:sz="4" w:space="0" w:color="auto"/>
            </w:tcBorders>
            <w:noWrap/>
            <w:vAlign w:val="bottom"/>
            <w:hideMark/>
          </w:tcPr>
          <w:p w14:paraId="26BA0509"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0.6</w:t>
            </w:r>
          </w:p>
        </w:tc>
        <w:tc>
          <w:tcPr>
            <w:tcW w:w="900" w:type="dxa"/>
            <w:tcBorders>
              <w:top w:val="nil"/>
              <w:left w:val="nil"/>
              <w:bottom w:val="single" w:sz="4" w:space="0" w:color="auto"/>
              <w:right w:val="single" w:sz="4" w:space="0" w:color="auto"/>
            </w:tcBorders>
            <w:noWrap/>
            <w:vAlign w:val="bottom"/>
            <w:hideMark/>
          </w:tcPr>
          <w:p w14:paraId="495FFF63"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0.4</w:t>
            </w:r>
          </w:p>
        </w:tc>
        <w:tc>
          <w:tcPr>
            <w:tcW w:w="990" w:type="dxa"/>
            <w:tcBorders>
              <w:top w:val="nil"/>
              <w:left w:val="nil"/>
              <w:bottom w:val="single" w:sz="4" w:space="0" w:color="auto"/>
              <w:right w:val="single" w:sz="4" w:space="0" w:color="auto"/>
            </w:tcBorders>
            <w:noWrap/>
            <w:vAlign w:val="bottom"/>
            <w:hideMark/>
          </w:tcPr>
          <w:p w14:paraId="02D55FFF"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-0.2</w:t>
            </w:r>
          </w:p>
        </w:tc>
      </w:tr>
      <w:tr w:rsidR="00781543" w:rsidRPr="009E41EE" w14:paraId="05BDC7CD"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2B8F7360"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Baseboard electric</w:t>
            </w:r>
          </w:p>
        </w:tc>
        <w:tc>
          <w:tcPr>
            <w:tcW w:w="900" w:type="dxa"/>
            <w:tcBorders>
              <w:top w:val="nil"/>
              <w:left w:val="nil"/>
              <w:bottom w:val="single" w:sz="4" w:space="0" w:color="auto"/>
              <w:right w:val="single" w:sz="4" w:space="0" w:color="auto"/>
            </w:tcBorders>
            <w:noWrap/>
            <w:vAlign w:val="bottom"/>
            <w:hideMark/>
          </w:tcPr>
          <w:p w14:paraId="394A0450"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0.3</w:t>
            </w:r>
          </w:p>
        </w:tc>
        <w:tc>
          <w:tcPr>
            <w:tcW w:w="900" w:type="dxa"/>
            <w:tcBorders>
              <w:top w:val="nil"/>
              <w:left w:val="nil"/>
              <w:bottom w:val="single" w:sz="4" w:space="0" w:color="auto"/>
              <w:right w:val="single" w:sz="4" w:space="0" w:color="auto"/>
            </w:tcBorders>
            <w:noWrap/>
            <w:vAlign w:val="bottom"/>
            <w:hideMark/>
          </w:tcPr>
          <w:p w14:paraId="6794541E"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0.1</w:t>
            </w:r>
          </w:p>
        </w:tc>
        <w:tc>
          <w:tcPr>
            <w:tcW w:w="990" w:type="dxa"/>
            <w:tcBorders>
              <w:top w:val="nil"/>
              <w:left w:val="nil"/>
              <w:bottom w:val="single" w:sz="4" w:space="0" w:color="auto"/>
              <w:right w:val="single" w:sz="4" w:space="0" w:color="auto"/>
            </w:tcBorders>
            <w:noWrap/>
            <w:vAlign w:val="bottom"/>
            <w:hideMark/>
          </w:tcPr>
          <w:p w14:paraId="406BE1AF"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-0.2</w:t>
            </w:r>
          </w:p>
        </w:tc>
      </w:tr>
      <w:tr w:rsidR="00781543" w:rsidRPr="009E41EE" w14:paraId="1F3FC7E6"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5CA6B30D"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VAV chiller with PFP boxes</w:t>
            </w:r>
          </w:p>
        </w:tc>
        <w:tc>
          <w:tcPr>
            <w:tcW w:w="900" w:type="dxa"/>
            <w:tcBorders>
              <w:top w:val="nil"/>
              <w:left w:val="nil"/>
              <w:bottom w:val="single" w:sz="4" w:space="0" w:color="auto"/>
              <w:right w:val="single" w:sz="4" w:space="0" w:color="auto"/>
            </w:tcBorders>
            <w:noWrap/>
            <w:vAlign w:val="bottom"/>
            <w:hideMark/>
          </w:tcPr>
          <w:p w14:paraId="022FE0AE"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2.3</w:t>
            </w:r>
          </w:p>
        </w:tc>
        <w:tc>
          <w:tcPr>
            <w:tcW w:w="900" w:type="dxa"/>
            <w:tcBorders>
              <w:top w:val="nil"/>
              <w:left w:val="nil"/>
              <w:bottom w:val="single" w:sz="4" w:space="0" w:color="auto"/>
              <w:right w:val="single" w:sz="4" w:space="0" w:color="auto"/>
            </w:tcBorders>
            <w:noWrap/>
            <w:vAlign w:val="bottom"/>
            <w:hideMark/>
          </w:tcPr>
          <w:p w14:paraId="01CB165B"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2.2</w:t>
            </w:r>
          </w:p>
        </w:tc>
        <w:tc>
          <w:tcPr>
            <w:tcW w:w="990" w:type="dxa"/>
            <w:tcBorders>
              <w:top w:val="nil"/>
              <w:left w:val="nil"/>
              <w:bottom w:val="single" w:sz="4" w:space="0" w:color="auto"/>
              <w:right w:val="single" w:sz="4" w:space="0" w:color="auto"/>
            </w:tcBorders>
            <w:noWrap/>
            <w:vAlign w:val="bottom"/>
            <w:hideMark/>
          </w:tcPr>
          <w:p w14:paraId="67255BCD"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-0.1</w:t>
            </w:r>
          </w:p>
        </w:tc>
      </w:tr>
      <w:tr w:rsidR="00781543" w:rsidRPr="009E41EE" w14:paraId="169BEC1B"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6CE47B20"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 xml:space="preserve">Direct </w:t>
            </w:r>
            <w:proofErr w:type="spellStart"/>
            <w:r w:rsidRPr="009E41EE">
              <w:rPr>
                <w:rFonts w:eastAsia="Times New Roman" w:cs="Calibri"/>
                <w:color w:val="000000"/>
              </w:rPr>
              <w:t>evap</w:t>
            </w:r>
            <w:proofErr w:type="spellEnd"/>
            <w:r w:rsidRPr="009E41EE">
              <w:rPr>
                <w:rFonts w:eastAsia="Times New Roman" w:cs="Calibri"/>
                <w:color w:val="000000"/>
              </w:rPr>
              <w:t xml:space="preserve"> coolers with baseboard electric</w:t>
            </w:r>
          </w:p>
        </w:tc>
        <w:tc>
          <w:tcPr>
            <w:tcW w:w="900" w:type="dxa"/>
            <w:tcBorders>
              <w:top w:val="nil"/>
              <w:left w:val="nil"/>
              <w:bottom w:val="single" w:sz="4" w:space="0" w:color="auto"/>
              <w:right w:val="single" w:sz="4" w:space="0" w:color="auto"/>
            </w:tcBorders>
            <w:noWrap/>
            <w:vAlign w:val="bottom"/>
            <w:hideMark/>
          </w:tcPr>
          <w:p w14:paraId="145459C9"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0.1</w:t>
            </w:r>
          </w:p>
        </w:tc>
        <w:tc>
          <w:tcPr>
            <w:tcW w:w="900" w:type="dxa"/>
            <w:tcBorders>
              <w:top w:val="nil"/>
              <w:left w:val="nil"/>
              <w:bottom w:val="single" w:sz="4" w:space="0" w:color="auto"/>
              <w:right w:val="single" w:sz="4" w:space="0" w:color="auto"/>
            </w:tcBorders>
            <w:noWrap/>
            <w:vAlign w:val="bottom"/>
            <w:hideMark/>
          </w:tcPr>
          <w:p w14:paraId="030541E0"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0.0</w:t>
            </w:r>
          </w:p>
        </w:tc>
        <w:tc>
          <w:tcPr>
            <w:tcW w:w="990" w:type="dxa"/>
            <w:tcBorders>
              <w:top w:val="nil"/>
              <w:left w:val="nil"/>
              <w:bottom w:val="single" w:sz="4" w:space="0" w:color="auto"/>
              <w:right w:val="single" w:sz="4" w:space="0" w:color="auto"/>
            </w:tcBorders>
            <w:noWrap/>
            <w:vAlign w:val="bottom"/>
            <w:hideMark/>
          </w:tcPr>
          <w:p w14:paraId="7BBCD748"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-0.1</w:t>
            </w:r>
          </w:p>
        </w:tc>
      </w:tr>
      <w:tr w:rsidR="00781543" w:rsidRPr="009E41EE" w14:paraId="4C097AD2"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76BD9774"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VAV air-cooled chiller with district hot water reheat</w:t>
            </w:r>
          </w:p>
        </w:tc>
        <w:tc>
          <w:tcPr>
            <w:tcW w:w="900" w:type="dxa"/>
            <w:tcBorders>
              <w:top w:val="nil"/>
              <w:left w:val="nil"/>
              <w:bottom w:val="single" w:sz="4" w:space="0" w:color="auto"/>
              <w:right w:val="single" w:sz="4" w:space="0" w:color="auto"/>
            </w:tcBorders>
            <w:noWrap/>
            <w:vAlign w:val="bottom"/>
            <w:hideMark/>
          </w:tcPr>
          <w:p w14:paraId="62684090"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0.4</w:t>
            </w:r>
          </w:p>
        </w:tc>
        <w:tc>
          <w:tcPr>
            <w:tcW w:w="900" w:type="dxa"/>
            <w:tcBorders>
              <w:top w:val="nil"/>
              <w:left w:val="nil"/>
              <w:bottom w:val="single" w:sz="4" w:space="0" w:color="auto"/>
              <w:right w:val="single" w:sz="4" w:space="0" w:color="auto"/>
            </w:tcBorders>
            <w:noWrap/>
            <w:vAlign w:val="bottom"/>
            <w:hideMark/>
          </w:tcPr>
          <w:p w14:paraId="5481C53A"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0.3</w:t>
            </w:r>
          </w:p>
        </w:tc>
        <w:tc>
          <w:tcPr>
            <w:tcW w:w="990" w:type="dxa"/>
            <w:tcBorders>
              <w:top w:val="nil"/>
              <w:left w:val="nil"/>
              <w:bottom w:val="single" w:sz="4" w:space="0" w:color="auto"/>
              <w:right w:val="single" w:sz="4" w:space="0" w:color="auto"/>
            </w:tcBorders>
            <w:noWrap/>
            <w:vAlign w:val="bottom"/>
            <w:hideMark/>
          </w:tcPr>
          <w:p w14:paraId="11783803"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-0.1</w:t>
            </w:r>
          </w:p>
        </w:tc>
      </w:tr>
      <w:tr w:rsidR="00781543" w:rsidRPr="009E41EE" w14:paraId="6EAD8BEB"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22B998D1"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DOAS with fan coil air-cooled chiller with district hot water</w:t>
            </w:r>
          </w:p>
        </w:tc>
        <w:tc>
          <w:tcPr>
            <w:tcW w:w="900" w:type="dxa"/>
            <w:tcBorders>
              <w:top w:val="nil"/>
              <w:left w:val="nil"/>
              <w:bottom w:val="single" w:sz="4" w:space="0" w:color="auto"/>
              <w:right w:val="single" w:sz="4" w:space="0" w:color="auto"/>
            </w:tcBorders>
            <w:noWrap/>
            <w:vAlign w:val="bottom"/>
            <w:hideMark/>
          </w:tcPr>
          <w:p w14:paraId="45284B30"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0.1</w:t>
            </w:r>
          </w:p>
        </w:tc>
        <w:tc>
          <w:tcPr>
            <w:tcW w:w="900" w:type="dxa"/>
            <w:tcBorders>
              <w:top w:val="nil"/>
              <w:left w:val="nil"/>
              <w:bottom w:val="single" w:sz="4" w:space="0" w:color="auto"/>
              <w:right w:val="single" w:sz="4" w:space="0" w:color="auto"/>
            </w:tcBorders>
            <w:noWrap/>
            <w:vAlign w:val="bottom"/>
            <w:hideMark/>
          </w:tcPr>
          <w:p w14:paraId="35D9524B"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0.0</w:t>
            </w:r>
          </w:p>
        </w:tc>
        <w:tc>
          <w:tcPr>
            <w:tcW w:w="990" w:type="dxa"/>
            <w:tcBorders>
              <w:top w:val="nil"/>
              <w:left w:val="nil"/>
              <w:bottom w:val="single" w:sz="4" w:space="0" w:color="auto"/>
              <w:right w:val="single" w:sz="4" w:space="0" w:color="auto"/>
            </w:tcBorders>
            <w:noWrap/>
            <w:vAlign w:val="bottom"/>
            <w:hideMark/>
          </w:tcPr>
          <w:p w14:paraId="6D36E9A0"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-0.1</w:t>
            </w:r>
          </w:p>
        </w:tc>
      </w:tr>
      <w:tr w:rsidR="00781543" w:rsidRPr="009E41EE" w14:paraId="3808C535"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12DDACB0"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DOAS with fan coil district chilled water with boiler</w:t>
            </w:r>
          </w:p>
        </w:tc>
        <w:tc>
          <w:tcPr>
            <w:tcW w:w="900" w:type="dxa"/>
            <w:tcBorders>
              <w:top w:val="nil"/>
              <w:left w:val="nil"/>
              <w:bottom w:val="single" w:sz="4" w:space="0" w:color="auto"/>
              <w:right w:val="single" w:sz="4" w:space="0" w:color="auto"/>
            </w:tcBorders>
            <w:noWrap/>
            <w:vAlign w:val="bottom"/>
            <w:hideMark/>
          </w:tcPr>
          <w:p w14:paraId="5D368838"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0.1</w:t>
            </w:r>
          </w:p>
        </w:tc>
        <w:tc>
          <w:tcPr>
            <w:tcW w:w="900" w:type="dxa"/>
            <w:tcBorders>
              <w:top w:val="nil"/>
              <w:left w:val="nil"/>
              <w:bottom w:val="single" w:sz="4" w:space="0" w:color="auto"/>
              <w:right w:val="single" w:sz="4" w:space="0" w:color="auto"/>
            </w:tcBorders>
            <w:noWrap/>
            <w:vAlign w:val="bottom"/>
            <w:hideMark/>
          </w:tcPr>
          <w:p w14:paraId="1014B399"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0.0</w:t>
            </w:r>
          </w:p>
        </w:tc>
        <w:tc>
          <w:tcPr>
            <w:tcW w:w="990" w:type="dxa"/>
            <w:tcBorders>
              <w:top w:val="nil"/>
              <w:left w:val="nil"/>
              <w:bottom w:val="single" w:sz="4" w:space="0" w:color="auto"/>
              <w:right w:val="single" w:sz="4" w:space="0" w:color="auto"/>
            </w:tcBorders>
            <w:noWrap/>
            <w:vAlign w:val="bottom"/>
            <w:hideMark/>
          </w:tcPr>
          <w:p w14:paraId="053AB39A"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-0.1</w:t>
            </w:r>
          </w:p>
        </w:tc>
      </w:tr>
      <w:tr w:rsidR="00781543" w:rsidRPr="009E41EE" w14:paraId="25631972"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438246D0"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PSZ-AC with district hot water</w:t>
            </w:r>
          </w:p>
        </w:tc>
        <w:tc>
          <w:tcPr>
            <w:tcW w:w="900" w:type="dxa"/>
            <w:tcBorders>
              <w:top w:val="nil"/>
              <w:left w:val="nil"/>
              <w:bottom w:val="single" w:sz="4" w:space="0" w:color="auto"/>
              <w:right w:val="single" w:sz="4" w:space="0" w:color="auto"/>
            </w:tcBorders>
            <w:noWrap/>
            <w:vAlign w:val="bottom"/>
            <w:hideMark/>
          </w:tcPr>
          <w:p w14:paraId="77E37B1E"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0.3</w:t>
            </w:r>
          </w:p>
        </w:tc>
        <w:tc>
          <w:tcPr>
            <w:tcW w:w="900" w:type="dxa"/>
            <w:tcBorders>
              <w:top w:val="nil"/>
              <w:left w:val="nil"/>
              <w:bottom w:val="single" w:sz="4" w:space="0" w:color="auto"/>
              <w:right w:val="single" w:sz="4" w:space="0" w:color="auto"/>
            </w:tcBorders>
            <w:noWrap/>
            <w:vAlign w:val="bottom"/>
            <w:hideMark/>
          </w:tcPr>
          <w:p w14:paraId="6CF71AC4"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0.3</w:t>
            </w:r>
          </w:p>
        </w:tc>
        <w:tc>
          <w:tcPr>
            <w:tcW w:w="990" w:type="dxa"/>
            <w:tcBorders>
              <w:top w:val="nil"/>
              <w:left w:val="nil"/>
              <w:bottom w:val="single" w:sz="4" w:space="0" w:color="auto"/>
              <w:right w:val="single" w:sz="4" w:space="0" w:color="auto"/>
            </w:tcBorders>
            <w:noWrap/>
            <w:vAlign w:val="bottom"/>
            <w:hideMark/>
          </w:tcPr>
          <w:p w14:paraId="5ECACE8E"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0.0</w:t>
            </w:r>
          </w:p>
        </w:tc>
      </w:tr>
      <w:tr w:rsidR="00781543" w:rsidRPr="009E41EE" w14:paraId="661FB870"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65D3E78E"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DOAS with fan coil air-cooled chiller with baseboard electric</w:t>
            </w:r>
          </w:p>
        </w:tc>
        <w:tc>
          <w:tcPr>
            <w:tcW w:w="900" w:type="dxa"/>
            <w:tcBorders>
              <w:top w:val="nil"/>
              <w:left w:val="nil"/>
              <w:bottom w:val="single" w:sz="4" w:space="0" w:color="auto"/>
              <w:right w:val="single" w:sz="4" w:space="0" w:color="auto"/>
            </w:tcBorders>
            <w:noWrap/>
            <w:vAlign w:val="bottom"/>
            <w:hideMark/>
          </w:tcPr>
          <w:p w14:paraId="0D6714D2"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0.0</w:t>
            </w:r>
          </w:p>
        </w:tc>
        <w:tc>
          <w:tcPr>
            <w:tcW w:w="900" w:type="dxa"/>
            <w:tcBorders>
              <w:top w:val="nil"/>
              <w:left w:val="nil"/>
              <w:bottom w:val="single" w:sz="4" w:space="0" w:color="auto"/>
              <w:right w:val="single" w:sz="4" w:space="0" w:color="auto"/>
            </w:tcBorders>
            <w:noWrap/>
            <w:vAlign w:val="bottom"/>
            <w:hideMark/>
          </w:tcPr>
          <w:p w14:paraId="469674C9"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0.0</w:t>
            </w:r>
          </w:p>
        </w:tc>
        <w:tc>
          <w:tcPr>
            <w:tcW w:w="990" w:type="dxa"/>
            <w:tcBorders>
              <w:top w:val="nil"/>
              <w:left w:val="nil"/>
              <w:bottom w:val="single" w:sz="4" w:space="0" w:color="auto"/>
              <w:right w:val="single" w:sz="4" w:space="0" w:color="auto"/>
            </w:tcBorders>
            <w:noWrap/>
            <w:vAlign w:val="bottom"/>
            <w:hideMark/>
          </w:tcPr>
          <w:p w14:paraId="150B1B37"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0.0</w:t>
            </w:r>
          </w:p>
        </w:tc>
      </w:tr>
      <w:tr w:rsidR="00781543" w:rsidRPr="009E41EE" w14:paraId="7BDF1654"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69F38803"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DOAS with VRF</w:t>
            </w:r>
          </w:p>
        </w:tc>
        <w:tc>
          <w:tcPr>
            <w:tcW w:w="900" w:type="dxa"/>
            <w:tcBorders>
              <w:top w:val="nil"/>
              <w:left w:val="nil"/>
              <w:bottom w:val="single" w:sz="4" w:space="0" w:color="auto"/>
              <w:right w:val="single" w:sz="4" w:space="0" w:color="auto"/>
            </w:tcBorders>
            <w:noWrap/>
            <w:vAlign w:val="bottom"/>
            <w:hideMark/>
          </w:tcPr>
          <w:p w14:paraId="3EB5C770"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0.7</w:t>
            </w:r>
          </w:p>
        </w:tc>
        <w:tc>
          <w:tcPr>
            <w:tcW w:w="900" w:type="dxa"/>
            <w:tcBorders>
              <w:top w:val="nil"/>
              <w:left w:val="nil"/>
              <w:bottom w:val="single" w:sz="4" w:space="0" w:color="auto"/>
              <w:right w:val="single" w:sz="4" w:space="0" w:color="auto"/>
            </w:tcBorders>
            <w:noWrap/>
            <w:vAlign w:val="bottom"/>
            <w:hideMark/>
          </w:tcPr>
          <w:p w14:paraId="5EB0E030"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0.7</w:t>
            </w:r>
          </w:p>
        </w:tc>
        <w:tc>
          <w:tcPr>
            <w:tcW w:w="990" w:type="dxa"/>
            <w:tcBorders>
              <w:top w:val="nil"/>
              <w:left w:val="nil"/>
              <w:bottom w:val="single" w:sz="4" w:space="0" w:color="auto"/>
              <w:right w:val="single" w:sz="4" w:space="0" w:color="auto"/>
            </w:tcBorders>
            <w:noWrap/>
            <w:vAlign w:val="bottom"/>
            <w:hideMark/>
          </w:tcPr>
          <w:p w14:paraId="42957CBC"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0.0</w:t>
            </w:r>
          </w:p>
        </w:tc>
      </w:tr>
      <w:tr w:rsidR="00781543" w:rsidRPr="009E41EE" w14:paraId="6FF2B692"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38689325"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VAV district chilled water with PFP boxes</w:t>
            </w:r>
          </w:p>
        </w:tc>
        <w:tc>
          <w:tcPr>
            <w:tcW w:w="900" w:type="dxa"/>
            <w:tcBorders>
              <w:top w:val="nil"/>
              <w:left w:val="nil"/>
              <w:bottom w:val="single" w:sz="4" w:space="0" w:color="auto"/>
              <w:right w:val="single" w:sz="4" w:space="0" w:color="auto"/>
            </w:tcBorders>
            <w:noWrap/>
            <w:vAlign w:val="bottom"/>
            <w:hideMark/>
          </w:tcPr>
          <w:p w14:paraId="1EE1CB62"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0.3</w:t>
            </w:r>
          </w:p>
        </w:tc>
        <w:tc>
          <w:tcPr>
            <w:tcW w:w="900" w:type="dxa"/>
            <w:tcBorders>
              <w:top w:val="nil"/>
              <w:left w:val="nil"/>
              <w:bottom w:val="single" w:sz="4" w:space="0" w:color="auto"/>
              <w:right w:val="single" w:sz="4" w:space="0" w:color="auto"/>
            </w:tcBorders>
            <w:noWrap/>
            <w:vAlign w:val="bottom"/>
            <w:hideMark/>
          </w:tcPr>
          <w:p w14:paraId="57443961"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0.3</w:t>
            </w:r>
          </w:p>
        </w:tc>
        <w:tc>
          <w:tcPr>
            <w:tcW w:w="990" w:type="dxa"/>
            <w:tcBorders>
              <w:top w:val="nil"/>
              <w:left w:val="nil"/>
              <w:bottom w:val="single" w:sz="4" w:space="0" w:color="auto"/>
              <w:right w:val="single" w:sz="4" w:space="0" w:color="auto"/>
            </w:tcBorders>
            <w:noWrap/>
            <w:vAlign w:val="bottom"/>
            <w:hideMark/>
          </w:tcPr>
          <w:p w14:paraId="6F5A22B7"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0.0</w:t>
            </w:r>
          </w:p>
        </w:tc>
      </w:tr>
      <w:tr w:rsidR="00781543" w:rsidRPr="009E41EE" w14:paraId="7A629F56"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4D52F50D"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DOAS with fan coil district chilled water with baseboard electric</w:t>
            </w:r>
          </w:p>
        </w:tc>
        <w:tc>
          <w:tcPr>
            <w:tcW w:w="900" w:type="dxa"/>
            <w:tcBorders>
              <w:top w:val="nil"/>
              <w:left w:val="nil"/>
              <w:bottom w:val="single" w:sz="4" w:space="0" w:color="auto"/>
              <w:right w:val="single" w:sz="4" w:space="0" w:color="auto"/>
            </w:tcBorders>
            <w:noWrap/>
            <w:vAlign w:val="bottom"/>
            <w:hideMark/>
          </w:tcPr>
          <w:p w14:paraId="028FD0DD"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0.1</w:t>
            </w:r>
          </w:p>
        </w:tc>
        <w:tc>
          <w:tcPr>
            <w:tcW w:w="900" w:type="dxa"/>
            <w:tcBorders>
              <w:top w:val="nil"/>
              <w:left w:val="nil"/>
              <w:bottom w:val="single" w:sz="4" w:space="0" w:color="auto"/>
              <w:right w:val="single" w:sz="4" w:space="0" w:color="auto"/>
            </w:tcBorders>
            <w:noWrap/>
            <w:vAlign w:val="bottom"/>
            <w:hideMark/>
          </w:tcPr>
          <w:p w14:paraId="624C594B"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0.1</w:t>
            </w:r>
          </w:p>
        </w:tc>
        <w:tc>
          <w:tcPr>
            <w:tcW w:w="990" w:type="dxa"/>
            <w:tcBorders>
              <w:top w:val="nil"/>
              <w:left w:val="nil"/>
              <w:bottom w:val="single" w:sz="4" w:space="0" w:color="auto"/>
              <w:right w:val="single" w:sz="4" w:space="0" w:color="auto"/>
            </w:tcBorders>
            <w:noWrap/>
            <w:vAlign w:val="bottom"/>
            <w:hideMark/>
          </w:tcPr>
          <w:p w14:paraId="260A7621"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0.0</w:t>
            </w:r>
          </w:p>
        </w:tc>
      </w:tr>
      <w:tr w:rsidR="00781543" w:rsidRPr="009E41EE" w14:paraId="502EE7D9"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34878DCB"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PTAC with electric coil</w:t>
            </w:r>
          </w:p>
        </w:tc>
        <w:tc>
          <w:tcPr>
            <w:tcW w:w="900" w:type="dxa"/>
            <w:tcBorders>
              <w:top w:val="nil"/>
              <w:left w:val="nil"/>
              <w:bottom w:val="single" w:sz="4" w:space="0" w:color="auto"/>
              <w:right w:val="single" w:sz="4" w:space="0" w:color="auto"/>
            </w:tcBorders>
            <w:noWrap/>
            <w:vAlign w:val="bottom"/>
            <w:hideMark/>
          </w:tcPr>
          <w:p w14:paraId="4F577FC9"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3.1</w:t>
            </w:r>
          </w:p>
        </w:tc>
        <w:tc>
          <w:tcPr>
            <w:tcW w:w="900" w:type="dxa"/>
            <w:tcBorders>
              <w:top w:val="nil"/>
              <w:left w:val="nil"/>
              <w:bottom w:val="single" w:sz="4" w:space="0" w:color="auto"/>
              <w:right w:val="single" w:sz="4" w:space="0" w:color="auto"/>
            </w:tcBorders>
            <w:noWrap/>
            <w:vAlign w:val="bottom"/>
            <w:hideMark/>
          </w:tcPr>
          <w:p w14:paraId="6ACE1018"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3.2</w:t>
            </w:r>
          </w:p>
        </w:tc>
        <w:tc>
          <w:tcPr>
            <w:tcW w:w="990" w:type="dxa"/>
            <w:tcBorders>
              <w:top w:val="nil"/>
              <w:left w:val="nil"/>
              <w:bottom w:val="single" w:sz="4" w:space="0" w:color="auto"/>
              <w:right w:val="single" w:sz="4" w:space="0" w:color="auto"/>
            </w:tcBorders>
            <w:noWrap/>
            <w:vAlign w:val="bottom"/>
            <w:hideMark/>
          </w:tcPr>
          <w:p w14:paraId="7E4C4CE5"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0.1</w:t>
            </w:r>
          </w:p>
        </w:tc>
      </w:tr>
      <w:tr w:rsidR="00781543" w:rsidRPr="009E41EE" w14:paraId="27DB67F4"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32815702"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VAV district chilled water with gas boiler reheat</w:t>
            </w:r>
          </w:p>
        </w:tc>
        <w:tc>
          <w:tcPr>
            <w:tcW w:w="900" w:type="dxa"/>
            <w:tcBorders>
              <w:top w:val="nil"/>
              <w:left w:val="nil"/>
              <w:bottom w:val="single" w:sz="4" w:space="0" w:color="auto"/>
              <w:right w:val="single" w:sz="4" w:space="0" w:color="auto"/>
            </w:tcBorders>
            <w:noWrap/>
            <w:vAlign w:val="bottom"/>
            <w:hideMark/>
          </w:tcPr>
          <w:p w14:paraId="26F3C623"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0.1</w:t>
            </w:r>
          </w:p>
        </w:tc>
        <w:tc>
          <w:tcPr>
            <w:tcW w:w="900" w:type="dxa"/>
            <w:tcBorders>
              <w:top w:val="nil"/>
              <w:left w:val="nil"/>
              <w:bottom w:val="single" w:sz="4" w:space="0" w:color="auto"/>
              <w:right w:val="single" w:sz="4" w:space="0" w:color="auto"/>
            </w:tcBorders>
            <w:noWrap/>
            <w:vAlign w:val="bottom"/>
            <w:hideMark/>
          </w:tcPr>
          <w:p w14:paraId="71050175"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0.2</w:t>
            </w:r>
          </w:p>
        </w:tc>
        <w:tc>
          <w:tcPr>
            <w:tcW w:w="990" w:type="dxa"/>
            <w:tcBorders>
              <w:top w:val="nil"/>
              <w:left w:val="nil"/>
              <w:bottom w:val="single" w:sz="4" w:space="0" w:color="auto"/>
              <w:right w:val="single" w:sz="4" w:space="0" w:color="auto"/>
            </w:tcBorders>
            <w:noWrap/>
            <w:vAlign w:val="bottom"/>
            <w:hideMark/>
          </w:tcPr>
          <w:p w14:paraId="6815D00D"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0.1</w:t>
            </w:r>
          </w:p>
        </w:tc>
      </w:tr>
      <w:tr w:rsidR="00781543" w:rsidRPr="009E41EE" w14:paraId="5202202C"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272FBE54"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DOAS with fan coil chiller with baseboard electric</w:t>
            </w:r>
          </w:p>
        </w:tc>
        <w:tc>
          <w:tcPr>
            <w:tcW w:w="900" w:type="dxa"/>
            <w:tcBorders>
              <w:top w:val="nil"/>
              <w:left w:val="nil"/>
              <w:bottom w:val="single" w:sz="4" w:space="0" w:color="auto"/>
              <w:right w:val="single" w:sz="4" w:space="0" w:color="auto"/>
            </w:tcBorders>
            <w:noWrap/>
            <w:vAlign w:val="bottom"/>
            <w:hideMark/>
          </w:tcPr>
          <w:p w14:paraId="6DA56951"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0.0</w:t>
            </w:r>
          </w:p>
        </w:tc>
        <w:tc>
          <w:tcPr>
            <w:tcW w:w="900" w:type="dxa"/>
            <w:tcBorders>
              <w:top w:val="nil"/>
              <w:left w:val="nil"/>
              <w:bottom w:val="single" w:sz="4" w:space="0" w:color="auto"/>
              <w:right w:val="single" w:sz="4" w:space="0" w:color="auto"/>
            </w:tcBorders>
            <w:noWrap/>
            <w:vAlign w:val="bottom"/>
            <w:hideMark/>
          </w:tcPr>
          <w:p w14:paraId="7DC6293B"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0.3</w:t>
            </w:r>
          </w:p>
        </w:tc>
        <w:tc>
          <w:tcPr>
            <w:tcW w:w="990" w:type="dxa"/>
            <w:tcBorders>
              <w:top w:val="nil"/>
              <w:left w:val="nil"/>
              <w:bottom w:val="single" w:sz="4" w:space="0" w:color="auto"/>
              <w:right w:val="single" w:sz="4" w:space="0" w:color="auto"/>
            </w:tcBorders>
            <w:noWrap/>
            <w:vAlign w:val="bottom"/>
            <w:hideMark/>
          </w:tcPr>
          <w:p w14:paraId="3628B059"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0.3</w:t>
            </w:r>
          </w:p>
        </w:tc>
      </w:tr>
      <w:tr w:rsidR="00781543" w:rsidRPr="009E41EE" w14:paraId="62DC0DBD"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369909A8"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PVAV with PFP boxes</w:t>
            </w:r>
          </w:p>
        </w:tc>
        <w:tc>
          <w:tcPr>
            <w:tcW w:w="900" w:type="dxa"/>
            <w:tcBorders>
              <w:top w:val="nil"/>
              <w:left w:val="nil"/>
              <w:bottom w:val="single" w:sz="4" w:space="0" w:color="auto"/>
              <w:right w:val="single" w:sz="4" w:space="0" w:color="auto"/>
            </w:tcBorders>
            <w:noWrap/>
            <w:vAlign w:val="bottom"/>
            <w:hideMark/>
          </w:tcPr>
          <w:p w14:paraId="28144B6C"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3.8</w:t>
            </w:r>
          </w:p>
        </w:tc>
        <w:tc>
          <w:tcPr>
            <w:tcW w:w="900" w:type="dxa"/>
            <w:tcBorders>
              <w:top w:val="nil"/>
              <w:left w:val="nil"/>
              <w:bottom w:val="single" w:sz="4" w:space="0" w:color="auto"/>
              <w:right w:val="single" w:sz="4" w:space="0" w:color="auto"/>
            </w:tcBorders>
            <w:noWrap/>
            <w:vAlign w:val="bottom"/>
            <w:hideMark/>
          </w:tcPr>
          <w:p w14:paraId="2D9E3C76"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4.1</w:t>
            </w:r>
          </w:p>
        </w:tc>
        <w:tc>
          <w:tcPr>
            <w:tcW w:w="990" w:type="dxa"/>
            <w:tcBorders>
              <w:top w:val="nil"/>
              <w:left w:val="nil"/>
              <w:bottom w:val="single" w:sz="4" w:space="0" w:color="auto"/>
              <w:right w:val="single" w:sz="4" w:space="0" w:color="auto"/>
            </w:tcBorders>
            <w:noWrap/>
            <w:vAlign w:val="bottom"/>
            <w:hideMark/>
          </w:tcPr>
          <w:p w14:paraId="2A82469F"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0.3</w:t>
            </w:r>
          </w:p>
        </w:tc>
      </w:tr>
      <w:tr w:rsidR="00781543" w:rsidRPr="009E41EE" w14:paraId="122C40E3"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2F07EC8B"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DOAS with fan coil district chilled water with district hot water</w:t>
            </w:r>
          </w:p>
        </w:tc>
        <w:tc>
          <w:tcPr>
            <w:tcW w:w="900" w:type="dxa"/>
            <w:tcBorders>
              <w:top w:val="nil"/>
              <w:left w:val="nil"/>
              <w:bottom w:val="single" w:sz="4" w:space="0" w:color="auto"/>
              <w:right w:val="single" w:sz="4" w:space="0" w:color="auto"/>
            </w:tcBorders>
            <w:noWrap/>
            <w:vAlign w:val="bottom"/>
            <w:hideMark/>
          </w:tcPr>
          <w:p w14:paraId="5E0A6504"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0.2</w:t>
            </w:r>
          </w:p>
        </w:tc>
        <w:tc>
          <w:tcPr>
            <w:tcW w:w="900" w:type="dxa"/>
            <w:tcBorders>
              <w:top w:val="nil"/>
              <w:left w:val="nil"/>
              <w:bottom w:val="single" w:sz="4" w:space="0" w:color="auto"/>
              <w:right w:val="single" w:sz="4" w:space="0" w:color="auto"/>
            </w:tcBorders>
            <w:noWrap/>
            <w:vAlign w:val="bottom"/>
            <w:hideMark/>
          </w:tcPr>
          <w:p w14:paraId="4FD22018"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0.5</w:t>
            </w:r>
          </w:p>
        </w:tc>
        <w:tc>
          <w:tcPr>
            <w:tcW w:w="990" w:type="dxa"/>
            <w:tcBorders>
              <w:top w:val="nil"/>
              <w:left w:val="nil"/>
              <w:bottom w:val="single" w:sz="4" w:space="0" w:color="auto"/>
              <w:right w:val="single" w:sz="4" w:space="0" w:color="auto"/>
            </w:tcBorders>
            <w:noWrap/>
            <w:vAlign w:val="bottom"/>
            <w:hideMark/>
          </w:tcPr>
          <w:p w14:paraId="4B262A29"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0.3</w:t>
            </w:r>
          </w:p>
        </w:tc>
      </w:tr>
      <w:tr w:rsidR="00781543" w:rsidRPr="009E41EE" w14:paraId="7C7278F0"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46C1FDB6"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DOAS with fan coil air-cooled chiller with boiler</w:t>
            </w:r>
          </w:p>
        </w:tc>
        <w:tc>
          <w:tcPr>
            <w:tcW w:w="900" w:type="dxa"/>
            <w:tcBorders>
              <w:top w:val="nil"/>
              <w:left w:val="nil"/>
              <w:bottom w:val="single" w:sz="4" w:space="0" w:color="auto"/>
              <w:right w:val="single" w:sz="4" w:space="0" w:color="auto"/>
            </w:tcBorders>
            <w:noWrap/>
            <w:vAlign w:val="bottom"/>
            <w:hideMark/>
          </w:tcPr>
          <w:p w14:paraId="1B2F0044"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0.5</w:t>
            </w:r>
          </w:p>
        </w:tc>
        <w:tc>
          <w:tcPr>
            <w:tcW w:w="900" w:type="dxa"/>
            <w:tcBorders>
              <w:top w:val="nil"/>
              <w:left w:val="nil"/>
              <w:bottom w:val="single" w:sz="4" w:space="0" w:color="auto"/>
              <w:right w:val="single" w:sz="4" w:space="0" w:color="auto"/>
            </w:tcBorders>
            <w:noWrap/>
            <w:vAlign w:val="bottom"/>
            <w:hideMark/>
          </w:tcPr>
          <w:p w14:paraId="7529FFAD"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0.9</w:t>
            </w:r>
          </w:p>
        </w:tc>
        <w:tc>
          <w:tcPr>
            <w:tcW w:w="990" w:type="dxa"/>
            <w:tcBorders>
              <w:top w:val="nil"/>
              <w:left w:val="nil"/>
              <w:bottom w:val="single" w:sz="4" w:space="0" w:color="auto"/>
              <w:right w:val="single" w:sz="4" w:space="0" w:color="auto"/>
            </w:tcBorders>
            <w:noWrap/>
            <w:vAlign w:val="bottom"/>
            <w:hideMark/>
          </w:tcPr>
          <w:p w14:paraId="67427AEB"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0.4</w:t>
            </w:r>
          </w:p>
        </w:tc>
      </w:tr>
      <w:tr w:rsidR="00781543" w:rsidRPr="009E41EE" w14:paraId="3CAF009B"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4E967AC9"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VAV chiller with district hot water reheat</w:t>
            </w:r>
          </w:p>
        </w:tc>
        <w:tc>
          <w:tcPr>
            <w:tcW w:w="900" w:type="dxa"/>
            <w:tcBorders>
              <w:top w:val="nil"/>
              <w:left w:val="nil"/>
              <w:bottom w:val="single" w:sz="4" w:space="0" w:color="auto"/>
              <w:right w:val="single" w:sz="4" w:space="0" w:color="auto"/>
            </w:tcBorders>
            <w:noWrap/>
            <w:vAlign w:val="bottom"/>
            <w:hideMark/>
          </w:tcPr>
          <w:p w14:paraId="7DF14490"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0.4</w:t>
            </w:r>
          </w:p>
        </w:tc>
        <w:tc>
          <w:tcPr>
            <w:tcW w:w="900" w:type="dxa"/>
            <w:tcBorders>
              <w:top w:val="nil"/>
              <w:left w:val="nil"/>
              <w:bottom w:val="single" w:sz="4" w:space="0" w:color="auto"/>
              <w:right w:val="single" w:sz="4" w:space="0" w:color="auto"/>
            </w:tcBorders>
            <w:noWrap/>
            <w:vAlign w:val="bottom"/>
            <w:hideMark/>
          </w:tcPr>
          <w:p w14:paraId="2BE03675"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0.8</w:t>
            </w:r>
          </w:p>
        </w:tc>
        <w:tc>
          <w:tcPr>
            <w:tcW w:w="990" w:type="dxa"/>
            <w:tcBorders>
              <w:top w:val="nil"/>
              <w:left w:val="nil"/>
              <w:bottom w:val="single" w:sz="4" w:space="0" w:color="auto"/>
              <w:right w:val="single" w:sz="4" w:space="0" w:color="auto"/>
            </w:tcBorders>
            <w:noWrap/>
            <w:vAlign w:val="bottom"/>
            <w:hideMark/>
          </w:tcPr>
          <w:p w14:paraId="539600F1"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0.4</w:t>
            </w:r>
          </w:p>
        </w:tc>
      </w:tr>
      <w:tr w:rsidR="00781543" w:rsidRPr="009E41EE" w14:paraId="5C1E9213"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20B71918"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DOAS with fan coil chiller with district hot water</w:t>
            </w:r>
          </w:p>
        </w:tc>
        <w:tc>
          <w:tcPr>
            <w:tcW w:w="900" w:type="dxa"/>
            <w:tcBorders>
              <w:top w:val="nil"/>
              <w:left w:val="nil"/>
              <w:bottom w:val="single" w:sz="4" w:space="0" w:color="auto"/>
              <w:right w:val="single" w:sz="4" w:space="0" w:color="auto"/>
            </w:tcBorders>
            <w:noWrap/>
            <w:vAlign w:val="bottom"/>
            <w:hideMark/>
          </w:tcPr>
          <w:p w14:paraId="2B4A7EF1"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0.1</w:t>
            </w:r>
          </w:p>
        </w:tc>
        <w:tc>
          <w:tcPr>
            <w:tcW w:w="900" w:type="dxa"/>
            <w:tcBorders>
              <w:top w:val="nil"/>
              <w:left w:val="nil"/>
              <w:bottom w:val="single" w:sz="4" w:space="0" w:color="auto"/>
              <w:right w:val="single" w:sz="4" w:space="0" w:color="auto"/>
            </w:tcBorders>
            <w:noWrap/>
            <w:vAlign w:val="bottom"/>
            <w:hideMark/>
          </w:tcPr>
          <w:p w14:paraId="63F4B97E"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0.5</w:t>
            </w:r>
          </w:p>
        </w:tc>
        <w:tc>
          <w:tcPr>
            <w:tcW w:w="990" w:type="dxa"/>
            <w:tcBorders>
              <w:top w:val="nil"/>
              <w:left w:val="nil"/>
              <w:bottom w:val="single" w:sz="4" w:space="0" w:color="auto"/>
              <w:right w:val="single" w:sz="4" w:space="0" w:color="auto"/>
            </w:tcBorders>
            <w:noWrap/>
            <w:vAlign w:val="bottom"/>
            <w:hideMark/>
          </w:tcPr>
          <w:p w14:paraId="3E7CFDBA"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0.4</w:t>
            </w:r>
          </w:p>
        </w:tc>
      </w:tr>
      <w:tr w:rsidR="00781543" w:rsidRPr="009E41EE" w14:paraId="0A46729C"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1BD6C403"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DOAS with fan coil chiller with boiler</w:t>
            </w:r>
          </w:p>
        </w:tc>
        <w:tc>
          <w:tcPr>
            <w:tcW w:w="900" w:type="dxa"/>
            <w:tcBorders>
              <w:top w:val="nil"/>
              <w:left w:val="nil"/>
              <w:bottom w:val="single" w:sz="4" w:space="0" w:color="auto"/>
              <w:right w:val="single" w:sz="4" w:space="0" w:color="auto"/>
            </w:tcBorders>
            <w:noWrap/>
            <w:vAlign w:val="bottom"/>
            <w:hideMark/>
          </w:tcPr>
          <w:p w14:paraId="192A6A27"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0.5</w:t>
            </w:r>
          </w:p>
        </w:tc>
        <w:tc>
          <w:tcPr>
            <w:tcW w:w="900" w:type="dxa"/>
            <w:tcBorders>
              <w:top w:val="nil"/>
              <w:left w:val="nil"/>
              <w:bottom w:val="single" w:sz="4" w:space="0" w:color="auto"/>
              <w:right w:val="single" w:sz="4" w:space="0" w:color="auto"/>
            </w:tcBorders>
            <w:noWrap/>
            <w:vAlign w:val="bottom"/>
            <w:hideMark/>
          </w:tcPr>
          <w:p w14:paraId="0B372374"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1.2</w:t>
            </w:r>
          </w:p>
        </w:tc>
        <w:tc>
          <w:tcPr>
            <w:tcW w:w="990" w:type="dxa"/>
            <w:tcBorders>
              <w:top w:val="nil"/>
              <w:left w:val="nil"/>
              <w:bottom w:val="single" w:sz="4" w:space="0" w:color="auto"/>
              <w:right w:val="single" w:sz="4" w:space="0" w:color="auto"/>
            </w:tcBorders>
            <w:noWrap/>
            <w:vAlign w:val="bottom"/>
            <w:hideMark/>
          </w:tcPr>
          <w:p w14:paraId="5D57BEFA"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0.7</w:t>
            </w:r>
          </w:p>
        </w:tc>
      </w:tr>
      <w:tr w:rsidR="00781543" w:rsidRPr="009E41EE" w14:paraId="54FEA76F"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4BA792D4"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PTAC with gas coil</w:t>
            </w:r>
          </w:p>
        </w:tc>
        <w:tc>
          <w:tcPr>
            <w:tcW w:w="900" w:type="dxa"/>
            <w:tcBorders>
              <w:top w:val="nil"/>
              <w:left w:val="nil"/>
              <w:bottom w:val="single" w:sz="4" w:space="0" w:color="auto"/>
              <w:right w:val="single" w:sz="4" w:space="0" w:color="auto"/>
            </w:tcBorders>
            <w:noWrap/>
            <w:vAlign w:val="bottom"/>
            <w:hideMark/>
          </w:tcPr>
          <w:p w14:paraId="76B8A5C8"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0.2</w:t>
            </w:r>
          </w:p>
        </w:tc>
        <w:tc>
          <w:tcPr>
            <w:tcW w:w="900" w:type="dxa"/>
            <w:tcBorders>
              <w:top w:val="nil"/>
              <w:left w:val="nil"/>
              <w:bottom w:val="single" w:sz="4" w:space="0" w:color="auto"/>
              <w:right w:val="single" w:sz="4" w:space="0" w:color="auto"/>
            </w:tcBorders>
            <w:noWrap/>
            <w:vAlign w:val="bottom"/>
            <w:hideMark/>
          </w:tcPr>
          <w:p w14:paraId="24BCD089"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1.1</w:t>
            </w:r>
          </w:p>
        </w:tc>
        <w:tc>
          <w:tcPr>
            <w:tcW w:w="990" w:type="dxa"/>
            <w:tcBorders>
              <w:top w:val="nil"/>
              <w:left w:val="nil"/>
              <w:bottom w:val="single" w:sz="4" w:space="0" w:color="auto"/>
              <w:right w:val="single" w:sz="4" w:space="0" w:color="auto"/>
            </w:tcBorders>
            <w:noWrap/>
            <w:vAlign w:val="bottom"/>
            <w:hideMark/>
          </w:tcPr>
          <w:p w14:paraId="7A98DA61"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0.9</w:t>
            </w:r>
          </w:p>
        </w:tc>
      </w:tr>
      <w:tr w:rsidR="00781543" w:rsidRPr="009E41EE" w14:paraId="33FCB099"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486A3241"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DOAS with water source heat pumps cooling tower with boiler</w:t>
            </w:r>
          </w:p>
        </w:tc>
        <w:tc>
          <w:tcPr>
            <w:tcW w:w="900" w:type="dxa"/>
            <w:tcBorders>
              <w:top w:val="nil"/>
              <w:left w:val="nil"/>
              <w:bottom w:val="single" w:sz="4" w:space="0" w:color="auto"/>
              <w:right w:val="single" w:sz="4" w:space="0" w:color="auto"/>
            </w:tcBorders>
            <w:noWrap/>
            <w:vAlign w:val="bottom"/>
            <w:hideMark/>
          </w:tcPr>
          <w:p w14:paraId="2D16B4CA"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0.7</w:t>
            </w:r>
          </w:p>
        </w:tc>
        <w:tc>
          <w:tcPr>
            <w:tcW w:w="900" w:type="dxa"/>
            <w:tcBorders>
              <w:top w:val="nil"/>
              <w:left w:val="nil"/>
              <w:bottom w:val="single" w:sz="4" w:space="0" w:color="auto"/>
              <w:right w:val="single" w:sz="4" w:space="0" w:color="auto"/>
            </w:tcBorders>
            <w:noWrap/>
            <w:vAlign w:val="bottom"/>
            <w:hideMark/>
          </w:tcPr>
          <w:p w14:paraId="5B2286AB"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2.0</w:t>
            </w:r>
          </w:p>
        </w:tc>
        <w:tc>
          <w:tcPr>
            <w:tcW w:w="990" w:type="dxa"/>
            <w:tcBorders>
              <w:top w:val="nil"/>
              <w:left w:val="nil"/>
              <w:bottom w:val="single" w:sz="4" w:space="0" w:color="auto"/>
              <w:right w:val="single" w:sz="4" w:space="0" w:color="auto"/>
            </w:tcBorders>
            <w:noWrap/>
            <w:vAlign w:val="bottom"/>
            <w:hideMark/>
          </w:tcPr>
          <w:p w14:paraId="56952D6E"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1.3</w:t>
            </w:r>
          </w:p>
        </w:tc>
      </w:tr>
      <w:tr w:rsidR="00781543" w:rsidRPr="009E41EE" w14:paraId="36A582C0"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000FBD0B"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PVAV with gas heat with electric reheat</w:t>
            </w:r>
          </w:p>
        </w:tc>
        <w:tc>
          <w:tcPr>
            <w:tcW w:w="900" w:type="dxa"/>
            <w:tcBorders>
              <w:top w:val="nil"/>
              <w:left w:val="nil"/>
              <w:bottom w:val="single" w:sz="4" w:space="0" w:color="auto"/>
              <w:right w:val="single" w:sz="4" w:space="0" w:color="auto"/>
            </w:tcBorders>
            <w:noWrap/>
            <w:vAlign w:val="bottom"/>
            <w:hideMark/>
          </w:tcPr>
          <w:p w14:paraId="76D41234"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3.9</w:t>
            </w:r>
          </w:p>
        </w:tc>
        <w:tc>
          <w:tcPr>
            <w:tcW w:w="900" w:type="dxa"/>
            <w:tcBorders>
              <w:top w:val="nil"/>
              <w:left w:val="nil"/>
              <w:bottom w:val="single" w:sz="4" w:space="0" w:color="auto"/>
              <w:right w:val="single" w:sz="4" w:space="0" w:color="auto"/>
            </w:tcBorders>
            <w:noWrap/>
            <w:vAlign w:val="bottom"/>
            <w:hideMark/>
          </w:tcPr>
          <w:p w14:paraId="40CB5279"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5.6</w:t>
            </w:r>
          </w:p>
        </w:tc>
        <w:tc>
          <w:tcPr>
            <w:tcW w:w="990" w:type="dxa"/>
            <w:tcBorders>
              <w:top w:val="nil"/>
              <w:left w:val="nil"/>
              <w:bottom w:val="single" w:sz="4" w:space="0" w:color="auto"/>
              <w:right w:val="single" w:sz="4" w:space="0" w:color="auto"/>
            </w:tcBorders>
            <w:noWrap/>
            <w:vAlign w:val="bottom"/>
            <w:hideMark/>
          </w:tcPr>
          <w:p w14:paraId="5327BDB4"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1.7</w:t>
            </w:r>
          </w:p>
        </w:tc>
      </w:tr>
      <w:tr w:rsidR="00781543" w:rsidRPr="009E41EE" w14:paraId="01A608A4"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0695C9DC"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VAV air-cooled chiller with gas boiler reheat</w:t>
            </w:r>
          </w:p>
        </w:tc>
        <w:tc>
          <w:tcPr>
            <w:tcW w:w="900" w:type="dxa"/>
            <w:tcBorders>
              <w:top w:val="nil"/>
              <w:left w:val="nil"/>
              <w:bottom w:val="single" w:sz="4" w:space="0" w:color="auto"/>
              <w:right w:val="single" w:sz="4" w:space="0" w:color="auto"/>
            </w:tcBorders>
            <w:noWrap/>
            <w:vAlign w:val="bottom"/>
            <w:hideMark/>
          </w:tcPr>
          <w:p w14:paraId="3B6DA2B0"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2.8</w:t>
            </w:r>
          </w:p>
        </w:tc>
        <w:tc>
          <w:tcPr>
            <w:tcW w:w="900" w:type="dxa"/>
            <w:tcBorders>
              <w:top w:val="nil"/>
              <w:left w:val="nil"/>
              <w:bottom w:val="single" w:sz="4" w:space="0" w:color="auto"/>
              <w:right w:val="single" w:sz="4" w:space="0" w:color="auto"/>
            </w:tcBorders>
            <w:noWrap/>
            <w:vAlign w:val="bottom"/>
            <w:hideMark/>
          </w:tcPr>
          <w:p w14:paraId="78070264"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5.1</w:t>
            </w:r>
          </w:p>
        </w:tc>
        <w:tc>
          <w:tcPr>
            <w:tcW w:w="990" w:type="dxa"/>
            <w:tcBorders>
              <w:top w:val="nil"/>
              <w:left w:val="nil"/>
              <w:bottom w:val="single" w:sz="4" w:space="0" w:color="auto"/>
              <w:right w:val="single" w:sz="4" w:space="0" w:color="auto"/>
            </w:tcBorders>
            <w:noWrap/>
            <w:vAlign w:val="bottom"/>
            <w:hideMark/>
          </w:tcPr>
          <w:p w14:paraId="3FF3A8F8"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2.3</w:t>
            </w:r>
          </w:p>
        </w:tc>
      </w:tr>
      <w:tr w:rsidR="00781543" w:rsidRPr="009E41EE" w14:paraId="16CC4EA8"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59A6272F"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PSZ-AC with gas coil</w:t>
            </w:r>
          </w:p>
        </w:tc>
        <w:tc>
          <w:tcPr>
            <w:tcW w:w="900" w:type="dxa"/>
            <w:tcBorders>
              <w:top w:val="nil"/>
              <w:left w:val="nil"/>
              <w:bottom w:val="single" w:sz="4" w:space="0" w:color="auto"/>
              <w:right w:val="single" w:sz="4" w:space="0" w:color="auto"/>
            </w:tcBorders>
            <w:noWrap/>
            <w:vAlign w:val="bottom"/>
            <w:hideMark/>
          </w:tcPr>
          <w:p w14:paraId="563A2B56"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24.6</w:t>
            </w:r>
          </w:p>
        </w:tc>
        <w:tc>
          <w:tcPr>
            <w:tcW w:w="900" w:type="dxa"/>
            <w:tcBorders>
              <w:top w:val="nil"/>
              <w:left w:val="nil"/>
              <w:bottom w:val="single" w:sz="4" w:space="0" w:color="auto"/>
              <w:right w:val="single" w:sz="4" w:space="0" w:color="auto"/>
            </w:tcBorders>
            <w:noWrap/>
            <w:vAlign w:val="bottom"/>
            <w:hideMark/>
          </w:tcPr>
          <w:p w14:paraId="109D71D0"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27.6</w:t>
            </w:r>
          </w:p>
        </w:tc>
        <w:tc>
          <w:tcPr>
            <w:tcW w:w="990" w:type="dxa"/>
            <w:tcBorders>
              <w:top w:val="nil"/>
              <w:left w:val="nil"/>
              <w:bottom w:val="single" w:sz="4" w:space="0" w:color="auto"/>
              <w:right w:val="single" w:sz="4" w:space="0" w:color="auto"/>
            </w:tcBorders>
            <w:noWrap/>
            <w:vAlign w:val="bottom"/>
            <w:hideMark/>
          </w:tcPr>
          <w:p w14:paraId="0323FDCD"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3.0</w:t>
            </w:r>
          </w:p>
        </w:tc>
      </w:tr>
      <w:tr w:rsidR="00781543" w:rsidRPr="009E41EE" w14:paraId="2A094814"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36F24AD1"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PSZ-HP</w:t>
            </w:r>
          </w:p>
        </w:tc>
        <w:tc>
          <w:tcPr>
            <w:tcW w:w="900" w:type="dxa"/>
            <w:tcBorders>
              <w:top w:val="nil"/>
              <w:left w:val="nil"/>
              <w:bottom w:val="single" w:sz="4" w:space="0" w:color="auto"/>
              <w:right w:val="single" w:sz="4" w:space="0" w:color="auto"/>
            </w:tcBorders>
            <w:noWrap/>
            <w:vAlign w:val="bottom"/>
            <w:hideMark/>
          </w:tcPr>
          <w:p w14:paraId="082CFEDC"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0.3</w:t>
            </w:r>
          </w:p>
        </w:tc>
        <w:tc>
          <w:tcPr>
            <w:tcW w:w="900" w:type="dxa"/>
            <w:tcBorders>
              <w:top w:val="nil"/>
              <w:left w:val="nil"/>
              <w:bottom w:val="single" w:sz="4" w:space="0" w:color="auto"/>
              <w:right w:val="single" w:sz="4" w:space="0" w:color="auto"/>
            </w:tcBorders>
            <w:noWrap/>
            <w:vAlign w:val="bottom"/>
            <w:hideMark/>
          </w:tcPr>
          <w:p w14:paraId="4139E39C"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3.4</w:t>
            </w:r>
          </w:p>
        </w:tc>
        <w:tc>
          <w:tcPr>
            <w:tcW w:w="990" w:type="dxa"/>
            <w:tcBorders>
              <w:top w:val="nil"/>
              <w:left w:val="nil"/>
              <w:bottom w:val="single" w:sz="4" w:space="0" w:color="auto"/>
              <w:right w:val="single" w:sz="4" w:space="0" w:color="auto"/>
            </w:tcBorders>
            <w:noWrap/>
            <w:vAlign w:val="bottom"/>
            <w:hideMark/>
          </w:tcPr>
          <w:p w14:paraId="64DDBF85"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3.1</w:t>
            </w:r>
          </w:p>
        </w:tc>
      </w:tr>
      <w:tr w:rsidR="00781543" w:rsidRPr="009E41EE" w14:paraId="2AEB2AEC"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411EFD49"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VAV chiller with gas boiler reheat</w:t>
            </w:r>
          </w:p>
        </w:tc>
        <w:tc>
          <w:tcPr>
            <w:tcW w:w="900" w:type="dxa"/>
            <w:tcBorders>
              <w:top w:val="nil"/>
              <w:left w:val="nil"/>
              <w:bottom w:val="single" w:sz="4" w:space="0" w:color="auto"/>
              <w:right w:val="single" w:sz="4" w:space="0" w:color="auto"/>
            </w:tcBorders>
            <w:noWrap/>
            <w:vAlign w:val="bottom"/>
            <w:hideMark/>
          </w:tcPr>
          <w:p w14:paraId="5CE7A113"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2.3</w:t>
            </w:r>
          </w:p>
        </w:tc>
        <w:tc>
          <w:tcPr>
            <w:tcW w:w="900" w:type="dxa"/>
            <w:tcBorders>
              <w:top w:val="nil"/>
              <w:left w:val="nil"/>
              <w:bottom w:val="single" w:sz="4" w:space="0" w:color="auto"/>
              <w:right w:val="single" w:sz="4" w:space="0" w:color="auto"/>
            </w:tcBorders>
            <w:noWrap/>
            <w:vAlign w:val="bottom"/>
            <w:hideMark/>
          </w:tcPr>
          <w:p w14:paraId="3D1B41A6"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7.1</w:t>
            </w:r>
          </w:p>
        </w:tc>
        <w:tc>
          <w:tcPr>
            <w:tcW w:w="990" w:type="dxa"/>
            <w:tcBorders>
              <w:top w:val="nil"/>
              <w:left w:val="nil"/>
              <w:bottom w:val="single" w:sz="4" w:space="0" w:color="auto"/>
              <w:right w:val="single" w:sz="4" w:space="0" w:color="auto"/>
            </w:tcBorders>
            <w:noWrap/>
            <w:vAlign w:val="bottom"/>
            <w:hideMark/>
          </w:tcPr>
          <w:p w14:paraId="59B25EC9"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4.8</w:t>
            </w:r>
          </w:p>
        </w:tc>
      </w:tr>
      <w:tr w:rsidR="00781543" w:rsidRPr="009E41EE" w14:paraId="21892A9E"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1ADA7AC6"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lastRenderedPageBreak/>
              <w:t>PVAV with gas boiler reheat</w:t>
            </w:r>
          </w:p>
        </w:tc>
        <w:tc>
          <w:tcPr>
            <w:tcW w:w="900" w:type="dxa"/>
            <w:tcBorders>
              <w:top w:val="nil"/>
              <w:left w:val="nil"/>
              <w:bottom w:val="single" w:sz="4" w:space="0" w:color="auto"/>
              <w:right w:val="single" w:sz="4" w:space="0" w:color="auto"/>
            </w:tcBorders>
            <w:noWrap/>
            <w:vAlign w:val="bottom"/>
            <w:hideMark/>
          </w:tcPr>
          <w:p w14:paraId="4AA4CC01"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3.7</w:t>
            </w:r>
          </w:p>
        </w:tc>
        <w:tc>
          <w:tcPr>
            <w:tcW w:w="900" w:type="dxa"/>
            <w:tcBorders>
              <w:top w:val="nil"/>
              <w:left w:val="nil"/>
              <w:bottom w:val="single" w:sz="4" w:space="0" w:color="auto"/>
              <w:right w:val="single" w:sz="4" w:space="0" w:color="auto"/>
            </w:tcBorders>
            <w:noWrap/>
            <w:vAlign w:val="bottom"/>
            <w:hideMark/>
          </w:tcPr>
          <w:p w14:paraId="2F33268B"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9.8</w:t>
            </w:r>
          </w:p>
        </w:tc>
        <w:tc>
          <w:tcPr>
            <w:tcW w:w="990" w:type="dxa"/>
            <w:tcBorders>
              <w:top w:val="nil"/>
              <w:left w:val="nil"/>
              <w:bottom w:val="single" w:sz="4" w:space="0" w:color="auto"/>
              <w:right w:val="single" w:sz="4" w:space="0" w:color="auto"/>
            </w:tcBorders>
            <w:noWrap/>
            <w:vAlign w:val="bottom"/>
            <w:hideMark/>
          </w:tcPr>
          <w:p w14:paraId="585A76B7"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6.1</w:t>
            </w:r>
          </w:p>
        </w:tc>
      </w:tr>
      <w:tr w:rsidR="00781543" w:rsidRPr="009E41EE" w14:paraId="6348C122"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2634A499"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 xml:space="preserve">Direct </w:t>
            </w:r>
            <w:proofErr w:type="spellStart"/>
            <w:r w:rsidRPr="009E41EE">
              <w:rPr>
                <w:rFonts w:eastAsia="Times New Roman" w:cs="Calibri"/>
                <w:color w:val="000000"/>
              </w:rPr>
              <w:t>evap</w:t>
            </w:r>
            <w:proofErr w:type="spellEnd"/>
            <w:r w:rsidRPr="009E41EE">
              <w:rPr>
                <w:rFonts w:eastAsia="Times New Roman" w:cs="Calibri"/>
                <w:color w:val="000000"/>
              </w:rPr>
              <w:t xml:space="preserve"> coolers with baseboard gas boiler</w:t>
            </w:r>
          </w:p>
        </w:tc>
        <w:tc>
          <w:tcPr>
            <w:tcW w:w="900" w:type="dxa"/>
            <w:tcBorders>
              <w:top w:val="nil"/>
              <w:left w:val="nil"/>
              <w:bottom w:val="single" w:sz="4" w:space="0" w:color="auto"/>
              <w:right w:val="single" w:sz="4" w:space="0" w:color="auto"/>
            </w:tcBorders>
            <w:noWrap/>
            <w:vAlign w:val="bottom"/>
            <w:hideMark/>
          </w:tcPr>
          <w:p w14:paraId="4C9B5A12"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0.0</w:t>
            </w:r>
          </w:p>
        </w:tc>
        <w:tc>
          <w:tcPr>
            <w:tcW w:w="900" w:type="dxa"/>
            <w:tcBorders>
              <w:top w:val="nil"/>
              <w:left w:val="nil"/>
              <w:bottom w:val="single" w:sz="4" w:space="0" w:color="auto"/>
              <w:right w:val="single" w:sz="4" w:space="0" w:color="auto"/>
            </w:tcBorders>
            <w:noWrap/>
            <w:vAlign w:val="bottom"/>
            <w:hideMark/>
          </w:tcPr>
          <w:p w14:paraId="7EDB523B"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NA</w:t>
            </w:r>
          </w:p>
        </w:tc>
        <w:tc>
          <w:tcPr>
            <w:tcW w:w="990" w:type="dxa"/>
            <w:tcBorders>
              <w:top w:val="nil"/>
              <w:left w:val="nil"/>
              <w:bottom w:val="single" w:sz="4" w:space="0" w:color="auto"/>
              <w:right w:val="single" w:sz="4" w:space="0" w:color="auto"/>
            </w:tcBorders>
            <w:noWrap/>
            <w:vAlign w:val="bottom"/>
            <w:hideMark/>
          </w:tcPr>
          <w:p w14:paraId="3EEE9EA4"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NA</w:t>
            </w:r>
          </w:p>
        </w:tc>
      </w:tr>
      <w:tr w:rsidR="00781543" w:rsidRPr="009E41EE" w14:paraId="0D92E7C9"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79262118"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PSZ-AC district chilled water with district hot water</w:t>
            </w:r>
          </w:p>
        </w:tc>
        <w:tc>
          <w:tcPr>
            <w:tcW w:w="900" w:type="dxa"/>
            <w:tcBorders>
              <w:top w:val="nil"/>
              <w:left w:val="nil"/>
              <w:bottom w:val="single" w:sz="4" w:space="0" w:color="auto"/>
              <w:right w:val="single" w:sz="4" w:space="0" w:color="auto"/>
            </w:tcBorders>
            <w:noWrap/>
            <w:vAlign w:val="bottom"/>
            <w:hideMark/>
          </w:tcPr>
          <w:p w14:paraId="46D09D90"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0.2</w:t>
            </w:r>
          </w:p>
        </w:tc>
        <w:tc>
          <w:tcPr>
            <w:tcW w:w="900" w:type="dxa"/>
            <w:tcBorders>
              <w:top w:val="nil"/>
              <w:left w:val="nil"/>
              <w:bottom w:val="single" w:sz="4" w:space="0" w:color="auto"/>
              <w:right w:val="single" w:sz="4" w:space="0" w:color="auto"/>
            </w:tcBorders>
            <w:noWrap/>
            <w:vAlign w:val="bottom"/>
            <w:hideMark/>
          </w:tcPr>
          <w:p w14:paraId="4C39834A"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NA</w:t>
            </w:r>
          </w:p>
        </w:tc>
        <w:tc>
          <w:tcPr>
            <w:tcW w:w="990" w:type="dxa"/>
            <w:tcBorders>
              <w:top w:val="nil"/>
              <w:left w:val="nil"/>
              <w:bottom w:val="single" w:sz="4" w:space="0" w:color="auto"/>
              <w:right w:val="single" w:sz="4" w:space="0" w:color="auto"/>
            </w:tcBorders>
            <w:noWrap/>
            <w:vAlign w:val="bottom"/>
            <w:hideMark/>
          </w:tcPr>
          <w:p w14:paraId="556E8FE3"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NA</w:t>
            </w:r>
          </w:p>
        </w:tc>
      </w:tr>
      <w:tr w:rsidR="00781543" w:rsidRPr="009E41EE" w14:paraId="28D76A26" w14:textId="77777777" w:rsidTr="00781543">
        <w:trPr>
          <w:trHeight w:val="291"/>
        </w:trPr>
        <w:tc>
          <w:tcPr>
            <w:tcW w:w="6385" w:type="dxa"/>
            <w:tcBorders>
              <w:top w:val="nil"/>
              <w:left w:val="single" w:sz="4" w:space="0" w:color="auto"/>
              <w:bottom w:val="single" w:sz="4" w:space="0" w:color="auto"/>
              <w:right w:val="single" w:sz="4" w:space="0" w:color="auto"/>
            </w:tcBorders>
            <w:noWrap/>
            <w:vAlign w:val="bottom"/>
            <w:hideMark/>
          </w:tcPr>
          <w:p w14:paraId="57D2C835"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PTAC with gas boiler</w:t>
            </w:r>
          </w:p>
        </w:tc>
        <w:tc>
          <w:tcPr>
            <w:tcW w:w="900" w:type="dxa"/>
            <w:tcBorders>
              <w:top w:val="nil"/>
              <w:left w:val="nil"/>
              <w:bottom w:val="single" w:sz="4" w:space="0" w:color="auto"/>
              <w:right w:val="single" w:sz="4" w:space="0" w:color="auto"/>
            </w:tcBorders>
            <w:noWrap/>
            <w:vAlign w:val="bottom"/>
            <w:hideMark/>
          </w:tcPr>
          <w:p w14:paraId="4C579051"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NA</w:t>
            </w:r>
          </w:p>
        </w:tc>
        <w:tc>
          <w:tcPr>
            <w:tcW w:w="900" w:type="dxa"/>
            <w:tcBorders>
              <w:top w:val="nil"/>
              <w:left w:val="nil"/>
              <w:bottom w:val="single" w:sz="4" w:space="0" w:color="auto"/>
              <w:right w:val="single" w:sz="4" w:space="0" w:color="auto"/>
            </w:tcBorders>
            <w:noWrap/>
            <w:vAlign w:val="bottom"/>
            <w:hideMark/>
          </w:tcPr>
          <w:p w14:paraId="56483EF4" w14:textId="77777777" w:rsidR="009E41EE" w:rsidRPr="009E41EE" w:rsidRDefault="009E41EE" w:rsidP="009E41EE">
            <w:pPr>
              <w:spacing w:before="0" w:after="0" w:line="240" w:lineRule="auto"/>
              <w:jc w:val="right"/>
              <w:rPr>
                <w:rFonts w:eastAsia="Times New Roman" w:cs="Calibri"/>
                <w:color w:val="000000"/>
              </w:rPr>
            </w:pPr>
            <w:r w:rsidRPr="009E41EE">
              <w:rPr>
                <w:rFonts w:eastAsia="Times New Roman" w:cs="Calibri"/>
                <w:color w:val="000000"/>
              </w:rPr>
              <w:t>0.7</w:t>
            </w:r>
          </w:p>
        </w:tc>
        <w:tc>
          <w:tcPr>
            <w:tcW w:w="990" w:type="dxa"/>
            <w:tcBorders>
              <w:top w:val="nil"/>
              <w:left w:val="nil"/>
              <w:bottom w:val="single" w:sz="4" w:space="0" w:color="auto"/>
              <w:right w:val="single" w:sz="4" w:space="0" w:color="auto"/>
            </w:tcBorders>
            <w:noWrap/>
            <w:vAlign w:val="bottom"/>
            <w:hideMark/>
          </w:tcPr>
          <w:p w14:paraId="2CA3F414" w14:textId="77777777" w:rsidR="009E41EE" w:rsidRPr="009E41EE" w:rsidRDefault="009E41EE" w:rsidP="009E41EE">
            <w:pPr>
              <w:spacing w:before="0" w:after="0" w:line="240" w:lineRule="auto"/>
              <w:rPr>
                <w:rFonts w:eastAsia="Times New Roman" w:cs="Calibri"/>
                <w:color w:val="000000"/>
              </w:rPr>
            </w:pPr>
            <w:r w:rsidRPr="009E41EE">
              <w:rPr>
                <w:rFonts w:eastAsia="Times New Roman" w:cs="Calibri"/>
                <w:color w:val="000000"/>
              </w:rPr>
              <w:t>NA</w:t>
            </w:r>
          </w:p>
        </w:tc>
      </w:tr>
    </w:tbl>
    <w:p w14:paraId="533AAB11" w14:textId="77777777" w:rsidR="00805AE4" w:rsidRDefault="00805AE4" w:rsidP="00805AE4">
      <w:pPr>
        <w:keepNext/>
      </w:pPr>
    </w:p>
    <w:p w14:paraId="35FB1C7E" w14:textId="27B12DE6" w:rsidR="00805AE4" w:rsidRDefault="00805AE4" w:rsidP="00805AE4">
      <w:pPr>
        <w:keepNext/>
      </w:pPr>
      <w:r>
        <w:rPr>
          <w:noProof/>
        </w:rPr>
        <w:drawing>
          <wp:inline distT="0" distB="0" distL="0" distR="0" wp14:anchorId="52260788" wp14:editId="17FBBC82">
            <wp:extent cx="5943600" cy="1047750"/>
            <wp:effectExtent l="0" t="0" r="0" b="0"/>
            <wp:docPr id="71661950" name="Picture 71661950"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1950" name="Picture 1" descr="Graphical user interface, application, Word&#10;&#10;Description automatically generated"/>
                    <pic:cNvPicPr/>
                  </pic:nvPicPr>
                  <pic:blipFill>
                    <a:blip r:embed="rId12"/>
                    <a:stretch>
                      <a:fillRect/>
                    </a:stretch>
                  </pic:blipFill>
                  <pic:spPr>
                    <a:xfrm>
                      <a:off x="0" y="0"/>
                      <a:ext cx="5943600" cy="1047750"/>
                    </a:xfrm>
                    <a:prstGeom prst="rect">
                      <a:avLst/>
                    </a:prstGeom>
                  </pic:spPr>
                </pic:pic>
              </a:graphicData>
            </a:graphic>
          </wp:inline>
        </w:drawing>
      </w:r>
    </w:p>
    <w:p w14:paraId="7D80D2DB" w14:textId="77777777" w:rsidR="00805AE4" w:rsidRPr="00F0583D" w:rsidRDefault="00805AE4" w:rsidP="00805AE4">
      <w:pPr>
        <w:pStyle w:val="Caption"/>
        <w:rPr>
          <w:color w:val="000000" w:themeColor="text1"/>
        </w:rPr>
      </w:pPr>
      <w:bookmarkStart w:id="2" w:name="_Ref152831325"/>
      <w:r w:rsidRPr="00F0583D">
        <w:rPr>
          <w:color w:val="000000" w:themeColor="text1"/>
        </w:rPr>
        <w:t xml:space="preserve">Figure </w:t>
      </w:r>
      <w:r w:rsidRPr="00F0583D">
        <w:rPr>
          <w:color w:val="000000" w:themeColor="text1"/>
        </w:rPr>
        <w:fldChar w:fldCharType="begin"/>
      </w:r>
      <w:r w:rsidRPr="00F0583D">
        <w:rPr>
          <w:color w:val="000000" w:themeColor="text1"/>
        </w:rPr>
        <w:instrText xml:space="preserve"> SEQ Figure \* ARABIC </w:instrText>
      </w:r>
      <w:r w:rsidRPr="00F0583D">
        <w:rPr>
          <w:color w:val="000000" w:themeColor="text1"/>
        </w:rPr>
        <w:fldChar w:fldCharType="separate"/>
      </w:r>
      <w:r w:rsidRPr="00F0583D">
        <w:rPr>
          <w:noProof/>
          <w:color w:val="000000" w:themeColor="text1"/>
        </w:rPr>
        <w:t>1</w:t>
      </w:r>
      <w:r w:rsidRPr="00F0583D">
        <w:rPr>
          <w:color w:val="000000" w:themeColor="text1"/>
        </w:rPr>
        <w:fldChar w:fldCharType="end"/>
      </w:r>
      <w:bookmarkEnd w:id="2"/>
      <w:r w:rsidRPr="00F0583D">
        <w:rPr>
          <w:color w:val="000000" w:themeColor="text1"/>
        </w:rPr>
        <w:t>: Comparison of area served by boiler systems between the original HVAC distributions used in EUSS cycle 1 and the update distributions used in EUSS cycle 2.</w:t>
      </w:r>
    </w:p>
    <w:p w14:paraId="41777963" w14:textId="77777777" w:rsidR="001E3B8F" w:rsidRDefault="001E3B8F" w:rsidP="00203FA5"/>
    <w:p w14:paraId="18FEB202" w14:textId="33AB4A20" w:rsidR="009D0F8D" w:rsidRDefault="009D0F8D" w:rsidP="009D0F8D">
      <w:pPr>
        <w:pStyle w:val="Heading1"/>
      </w:pPr>
      <w:r>
        <w:t>Fuel Type Impacts</w:t>
      </w:r>
    </w:p>
    <w:p w14:paraId="30D497CD" w14:textId="2AA08FE7" w:rsidR="00D84B3F" w:rsidRDefault="00D84B3F" w:rsidP="00D84B3F">
      <w:r>
        <w:t xml:space="preserve">This section walks through comparing fuel type distributions by building type. Note, however, that fuel type </w:t>
      </w:r>
      <w:r w:rsidR="00231D07">
        <w:t>distributions are set at the county level, so this comparison is less granular than the actual implementation.</w:t>
      </w:r>
    </w:p>
    <w:p w14:paraId="37CF9C01" w14:textId="75DB594D" w:rsidR="00231D07" w:rsidRPr="00D84B3F" w:rsidRDefault="00EE5C26" w:rsidP="00D84B3F">
      <w:r>
        <w:fldChar w:fldCharType="begin"/>
      </w:r>
      <w:r>
        <w:instrText xml:space="preserve"> REF _Ref152762847 \h </w:instrText>
      </w:r>
      <w:r>
        <w:fldChar w:fldCharType="separate"/>
      </w:r>
      <w:r w:rsidRPr="00BC4261">
        <w:rPr>
          <w:color w:val="000000" w:themeColor="text1"/>
        </w:rPr>
        <w:t xml:space="preserve">Figure </w:t>
      </w:r>
      <w:r w:rsidRPr="00BC4261">
        <w:rPr>
          <w:noProof/>
          <w:color w:val="000000" w:themeColor="text1"/>
        </w:rPr>
        <w:t>2</w:t>
      </w:r>
      <w:r>
        <w:fldChar w:fldCharType="end"/>
      </w:r>
      <w:r>
        <w:t xml:space="preserve"> compares fuel type prevalence by building type for </w:t>
      </w:r>
      <w:r w:rsidR="003B7485">
        <w:t xml:space="preserve">CBECS 2012 and the updated TSV. Note that </w:t>
      </w:r>
      <w:r w:rsidR="003B7485" w:rsidRPr="00BC4261">
        <w:rPr>
          <w:color w:val="000000" w:themeColor="text1"/>
        </w:rPr>
        <w:t xml:space="preserve">the TSVs are </w:t>
      </w:r>
      <w:r w:rsidR="003B7485">
        <w:rPr>
          <w:color w:val="000000" w:themeColor="text1"/>
        </w:rPr>
        <w:t xml:space="preserve">implemented at </w:t>
      </w:r>
      <w:r w:rsidR="003B7485" w:rsidRPr="00BC4261">
        <w:rPr>
          <w:color w:val="000000" w:themeColor="text1"/>
        </w:rPr>
        <w:t xml:space="preserve">the county level, </w:t>
      </w:r>
      <w:r w:rsidR="006D573B">
        <w:rPr>
          <w:color w:val="000000" w:themeColor="text1"/>
        </w:rPr>
        <w:t xml:space="preserve">so this aggregation uses county level areas </w:t>
      </w:r>
      <w:r w:rsidR="003A7228">
        <w:rPr>
          <w:color w:val="000000" w:themeColor="text1"/>
        </w:rPr>
        <w:t xml:space="preserve">from a past ComStock run </w:t>
      </w:r>
      <w:r w:rsidR="006D573B">
        <w:rPr>
          <w:color w:val="000000" w:themeColor="text1"/>
        </w:rPr>
        <w:t>to estimate the building type level aggregation</w:t>
      </w:r>
      <w:r w:rsidR="003A7228">
        <w:rPr>
          <w:color w:val="000000" w:themeColor="text1"/>
        </w:rPr>
        <w:t>,</w:t>
      </w:r>
      <w:r w:rsidR="006D573B">
        <w:rPr>
          <w:color w:val="000000" w:themeColor="text1"/>
        </w:rPr>
        <w:t xml:space="preserve"> which is an imperfect estimation.</w:t>
      </w:r>
      <w:r w:rsidR="003A7228">
        <w:rPr>
          <w:color w:val="000000" w:themeColor="text1"/>
        </w:rPr>
        <w:t xml:space="preserve"> </w:t>
      </w:r>
      <w:r w:rsidR="003A7228">
        <w:rPr>
          <w:color w:val="000000" w:themeColor="text1"/>
        </w:rPr>
        <w:fldChar w:fldCharType="begin"/>
      </w:r>
      <w:r w:rsidR="003A7228">
        <w:rPr>
          <w:color w:val="000000" w:themeColor="text1"/>
        </w:rPr>
        <w:instrText xml:space="preserve"> REF _Ref152762847 \h </w:instrText>
      </w:r>
      <w:r w:rsidR="003A7228">
        <w:rPr>
          <w:color w:val="000000" w:themeColor="text1"/>
        </w:rPr>
      </w:r>
      <w:r w:rsidR="003A7228">
        <w:rPr>
          <w:color w:val="000000" w:themeColor="text1"/>
        </w:rPr>
        <w:fldChar w:fldCharType="separate"/>
      </w:r>
      <w:r w:rsidR="003A7228" w:rsidRPr="00BC4261">
        <w:rPr>
          <w:color w:val="000000" w:themeColor="text1"/>
        </w:rPr>
        <w:t xml:space="preserve">Figure </w:t>
      </w:r>
      <w:r w:rsidR="003A7228" w:rsidRPr="00BC4261">
        <w:rPr>
          <w:noProof/>
          <w:color w:val="000000" w:themeColor="text1"/>
        </w:rPr>
        <w:t>2</w:t>
      </w:r>
      <w:r w:rsidR="003A7228">
        <w:rPr>
          <w:color w:val="000000" w:themeColor="text1"/>
        </w:rPr>
        <w:fldChar w:fldCharType="end"/>
      </w:r>
      <w:r w:rsidR="003A7228">
        <w:rPr>
          <w:color w:val="000000" w:themeColor="text1"/>
        </w:rPr>
        <w:t xml:space="preserve"> shows </w:t>
      </w:r>
      <w:r w:rsidR="00A35C5B">
        <w:rPr>
          <w:color w:val="000000" w:themeColor="text1"/>
        </w:rPr>
        <w:t xml:space="preserve">little discrepancy between CBECS and the TSV estimation, with the largest differences generally being under </w:t>
      </w:r>
      <w:r w:rsidR="0005593E">
        <w:rPr>
          <w:color w:val="000000" w:themeColor="text1"/>
        </w:rPr>
        <w:t>7</w:t>
      </w:r>
      <w:r w:rsidR="00A35C5B">
        <w:rPr>
          <w:color w:val="000000" w:themeColor="text1"/>
        </w:rPr>
        <w:t>%</w:t>
      </w:r>
      <w:r w:rsidR="0005593E">
        <w:rPr>
          <w:color w:val="000000" w:themeColor="text1"/>
        </w:rPr>
        <w:t xml:space="preserve"> (noting that this is absolute difference, not percent difference)</w:t>
      </w:r>
      <w:r w:rsidR="00A35C5B">
        <w:rPr>
          <w:color w:val="000000" w:themeColor="text1"/>
        </w:rPr>
        <w:t>.</w:t>
      </w:r>
      <w:r w:rsidR="00B72428">
        <w:rPr>
          <w:color w:val="000000" w:themeColor="text1"/>
        </w:rPr>
        <w:t xml:space="preserve"> </w:t>
      </w:r>
      <w:r w:rsidR="006D573B">
        <w:rPr>
          <w:color w:val="000000" w:themeColor="text1"/>
        </w:rPr>
        <w:t xml:space="preserve"> </w:t>
      </w:r>
      <w:r w:rsidR="00B72428">
        <w:rPr>
          <w:color w:val="000000" w:themeColor="text1"/>
        </w:rPr>
        <w:t xml:space="preserve">Despite these differences, </w:t>
      </w:r>
      <w:r w:rsidR="00B16BD1">
        <w:rPr>
          <w:color w:val="000000" w:themeColor="text1"/>
        </w:rPr>
        <w:t>the TSV estimation seems largely adequate.</w:t>
      </w:r>
    </w:p>
    <w:p w14:paraId="4B96653F" w14:textId="77777777" w:rsidR="00231D07" w:rsidRDefault="00D84B3F" w:rsidP="00231D07">
      <w:pPr>
        <w:keepNext/>
      </w:pPr>
      <w:r w:rsidRPr="00A37764">
        <w:rPr>
          <w:noProof/>
        </w:rPr>
        <w:drawing>
          <wp:inline distT="0" distB="0" distL="0" distR="0" wp14:anchorId="6064AF4A" wp14:editId="08228146">
            <wp:extent cx="6684010" cy="1756581"/>
            <wp:effectExtent l="0" t="0" r="2540" b="0"/>
            <wp:docPr id="613849184" name="Picture 613849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13887" cy="1764433"/>
                    </a:xfrm>
                    <a:prstGeom prst="rect">
                      <a:avLst/>
                    </a:prstGeom>
                    <a:noFill/>
                    <a:ln>
                      <a:noFill/>
                    </a:ln>
                  </pic:spPr>
                </pic:pic>
              </a:graphicData>
            </a:graphic>
          </wp:inline>
        </w:drawing>
      </w:r>
    </w:p>
    <w:p w14:paraId="01DEEEA0" w14:textId="5AC22CCA" w:rsidR="00D84B3F" w:rsidRDefault="00231D07" w:rsidP="00231D07">
      <w:pPr>
        <w:pStyle w:val="Caption"/>
        <w:rPr>
          <w:color w:val="000000" w:themeColor="text1"/>
        </w:rPr>
      </w:pPr>
      <w:bookmarkStart w:id="3" w:name="_Ref152762847"/>
      <w:r w:rsidRPr="00BC4261">
        <w:rPr>
          <w:color w:val="000000" w:themeColor="text1"/>
        </w:rPr>
        <w:t xml:space="preserve">Figure </w:t>
      </w:r>
      <w:r w:rsidRPr="00BC4261">
        <w:rPr>
          <w:color w:val="000000" w:themeColor="text1"/>
        </w:rPr>
        <w:fldChar w:fldCharType="begin"/>
      </w:r>
      <w:r w:rsidRPr="00BC4261">
        <w:rPr>
          <w:color w:val="000000" w:themeColor="text1"/>
        </w:rPr>
        <w:instrText xml:space="preserve"> SEQ Figure \* ARABIC </w:instrText>
      </w:r>
      <w:r w:rsidRPr="00BC4261">
        <w:rPr>
          <w:color w:val="000000" w:themeColor="text1"/>
        </w:rPr>
        <w:fldChar w:fldCharType="separate"/>
      </w:r>
      <w:r w:rsidR="00F0583D">
        <w:rPr>
          <w:noProof/>
          <w:color w:val="000000" w:themeColor="text1"/>
        </w:rPr>
        <w:t>3</w:t>
      </w:r>
      <w:r w:rsidRPr="00BC4261">
        <w:rPr>
          <w:color w:val="000000" w:themeColor="text1"/>
        </w:rPr>
        <w:fldChar w:fldCharType="end"/>
      </w:r>
      <w:bookmarkEnd w:id="3"/>
      <w:r w:rsidRPr="00BC4261">
        <w:rPr>
          <w:color w:val="000000" w:themeColor="text1"/>
        </w:rPr>
        <w:t>: Comparison of fuel type prevalence of CBECS and the implemented ComStock TSVs. Note that</w:t>
      </w:r>
      <w:r w:rsidR="005310A7" w:rsidRPr="00BC4261">
        <w:rPr>
          <w:color w:val="000000" w:themeColor="text1"/>
        </w:rPr>
        <w:t xml:space="preserve"> the TSVs are at the county level, so this rollup uses county-level area</w:t>
      </w:r>
      <w:r w:rsidR="00BC4261" w:rsidRPr="00BC4261">
        <w:rPr>
          <w:color w:val="000000" w:themeColor="text1"/>
        </w:rPr>
        <w:t xml:space="preserve"> to estimate the building-type-level aggregations, which </w:t>
      </w:r>
      <w:proofErr w:type="gramStart"/>
      <w:r w:rsidR="00BC4261" w:rsidRPr="00BC4261">
        <w:rPr>
          <w:color w:val="000000" w:themeColor="text1"/>
        </w:rPr>
        <w:t>may be</w:t>
      </w:r>
      <w:proofErr w:type="gramEnd"/>
      <w:r w:rsidR="00BC4261" w:rsidRPr="00BC4261">
        <w:rPr>
          <w:color w:val="000000" w:themeColor="text1"/>
        </w:rPr>
        <w:t xml:space="preserve"> </w:t>
      </w:r>
      <w:r w:rsidR="00BC4261">
        <w:rPr>
          <w:color w:val="000000" w:themeColor="text1"/>
        </w:rPr>
        <w:t>cause error</w:t>
      </w:r>
      <w:r w:rsidR="00BC4261" w:rsidRPr="00BC4261">
        <w:rPr>
          <w:color w:val="000000" w:themeColor="text1"/>
        </w:rPr>
        <w:t>.</w:t>
      </w:r>
    </w:p>
    <w:p w14:paraId="10D8FE42" w14:textId="76AC710C" w:rsidR="00B16BD1" w:rsidRPr="00B16BD1" w:rsidRDefault="000B2C29" w:rsidP="00B16BD1">
      <w:r>
        <w:rPr>
          <w:color w:val="000000" w:themeColor="text1"/>
        </w:rPr>
        <w:fldChar w:fldCharType="begin"/>
      </w:r>
      <w:r>
        <w:rPr>
          <w:color w:val="000000" w:themeColor="text1"/>
        </w:rPr>
        <w:instrText xml:space="preserve"> REF _Ref152763203 \h </w:instrText>
      </w:r>
      <w:r>
        <w:rPr>
          <w:color w:val="000000" w:themeColor="text1"/>
        </w:rPr>
      </w:r>
      <w:r>
        <w:rPr>
          <w:color w:val="000000" w:themeColor="text1"/>
        </w:rPr>
        <w:fldChar w:fldCharType="separate"/>
      </w:r>
      <w:r w:rsidRPr="000B2C29">
        <w:rPr>
          <w:color w:val="000000" w:themeColor="text1"/>
        </w:rPr>
        <w:t>Figure 3</w:t>
      </w:r>
      <w:r>
        <w:rPr>
          <w:color w:val="000000" w:themeColor="text1"/>
        </w:rPr>
        <w:fldChar w:fldCharType="end"/>
      </w:r>
      <w:r>
        <w:rPr>
          <w:color w:val="000000" w:themeColor="text1"/>
        </w:rPr>
        <w:t xml:space="preserve"> compares</w:t>
      </w:r>
      <w:r w:rsidRPr="00BC4261">
        <w:rPr>
          <w:color w:val="000000" w:themeColor="text1"/>
        </w:rPr>
        <w:t xml:space="preserve"> fuel type prevalence </w:t>
      </w:r>
      <w:r>
        <w:rPr>
          <w:color w:val="000000" w:themeColor="text1"/>
        </w:rPr>
        <w:t xml:space="preserve">for the older distributions (used in EUSS Cycle 1) and the new distributions (used in EUSS cycle 2). There are some notable differences, mostly causing reductions in </w:t>
      </w:r>
      <w:r>
        <w:rPr>
          <w:color w:val="000000" w:themeColor="text1"/>
        </w:rPr>
        <w:lastRenderedPageBreak/>
        <w:t xml:space="preserve">electric heating </w:t>
      </w:r>
      <w:r w:rsidR="00391361">
        <w:rPr>
          <w:color w:val="000000" w:themeColor="text1"/>
        </w:rPr>
        <w:t xml:space="preserve">and increases in gas heating. Since ComStock has historically been low on natural gas heating compared to other data sources, this change is </w:t>
      </w:r>
      <w:r w:rsidR="004B5B2A">
        <w:rPr>
          <w:color w:val="000000" w:themeColor="text1"/>
        </w:rPr>
        <w:t>likely beneficial.</w:t>
      </w:r>
    </w:p>
    <w:p w14:paraId="5E2F30C0" w14:textId="77777777" w:rsidR="00B16BD1" w:rsidRDefault="00D84B3F" w:rsidP="00B16BD1">
      <w:pPr>
        <w:keepNext/>
      </w:pPr>
      <w:r w:rsidRPr="001A1643">
        <w:rPr>
          <w:noProof/>
        </w:rPr>
        <w:drawing>
          <wp:inline distT="0" distB="0" distL="0" distR="0" wp14:anchorId="06D991F3" wp14:editId="25692E22">
            <wp:extent cx="6666452" cy="1751163"/>
            <wp:effectExtent l="0" t="0" r="1270" b="1905"/>
            <wp:docPr id="564313801" name="Picture 56431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7864" cy="1756788"/>
                    </a:xfrm>
                    <a:prstGeom prst="rect">
                      <a:avLst/>
                    </a:prstGeom>
                    <a:noFill/>
                    <a:ln>
                      <a:noFill/>
                    </a:ln>
                  </pic:spPr>
                </pic:pic>
              </a:graphicData>
            </a:graphic>
          </wp:inline>
        </w:drawing>
      </w:r>
    </w:p>
    <w:p w14:paraId="6435CECB" w14:textId="01872008" w:rsidR="00B16BD1" w:rsidRDefault="00B16BD1" w:rsidP="00B16BD1">
      <w:pPr>
        <w:pStyle w:val="Caption"/>
        <w:rPr>
          <w:color w:val="000000" w:themeColor="text1"/>
        </w:rPr>
      </w:pPr>
      <w:bookmarkStart w:id="4" w:name="_Ref152763203"/>
      <w:r w:rsidRPr="000B2C29">
        <w:rPr>
          <w:color w:val="000000" w:themeColor="text1"/>
        </w:rPr>
        <w:t xml:space="preserve">Figure </w:t>
      </w:r>
      <w:r w:rsidRPr="000B2C29">
        <w:rPr>
          <w:color w:val="000000" w:themeColor="text1"/>
        </w:rPr>
        <w:fldChar w:fldCharType="begin"/>
      </w:r>
      <w:r w:rsidRPr="000B2C29">
        <w:rPr>
          <w:color w:val="000000" w:themeColor="text1"/>
        </w:rPr>
        <w:instrText xml:space="preserve"> SEQ Figure \* ARABIC </w:instrText>
      </w:r>
      <w:r w:rsidRPr="000B2C29">
        <w:rPr>
          <w:color w:val="000000" w:themeColor="text1"/>
        </w:rPr>
        <w:fldChar w:fldCharType="separate"/>
      </w:r>
      <w:r w:rsidR="00F0583D">
        <w:rPr>
          <w:noProof/>
          <w:color w:val="000000" w:themeColor="text1"/>
        </w:rPr>
        <w:t>4</w:t>
      </w:r>
      <w:r w:rsidRPr="000B2C29">
        <w:rPr>
          <w:color w:val="000000" w:themeColor="text1"/>
        </w:rPr>
        <w:fldChar w:fldCharType="end"/>
      </w:r>
      <w:bookmarkEnd w:id="4"/>
      <w:r w:rsidRPr="000B2C29">
        <w:rPr>
          <w:color w:val="000000" w:themeColor="text1"/>
        </w:rPr>
        <w:t xml:space="preserve">: </w:t>
      </w:r>
      <w:r w:rsidRPr="00BC4261">
        <w:rPr>
          <w:color w:val="000000" w:themeColor="text1"/>
        </w:rPr>
        <w:t xml:space="preserve">Comparison of fuel type prevalence </w:t>
      </w:r>
      <w:r w:rsidR="000B2C29">
        <w:rPr>
          <w:color w:val="000000" w:themeColor="text1"/>
        </w:rPr>
        <w:t xml:space="preserve">for the older distributions (used in EUSS Cycle 1) and the new distributions (used in EUSS cycle 2). </w:t>
      </w:r>
    </w:p>
    <w:p w14:paraId="6B37F6AE" w14:textId="182D6B7B" w:rsidR="004B5B2A" w:rsidRPr="004B5B2A" w:rsidRDefault="00D26984" w:rsidP="004B5B2A">
      <w:r>
        <w:fldChar w:fldCharType="begin"/>
      </w:r>
      <w:r>
        <w:instrText xml:space="preserve"> REF _Ref152763347 \h </w:instrText>
      </w:r>
      <w:r>
        <w:fldChar w:fldCharType="separate"/>
      </w:r>
      <w:r w:rsidRPr="004B5B2A">
        <w:rPr>
          <w:color w:val="000000" w:themeColor="text1"/>
        </w:rPr>
        <w:t>Figure 4</w:t>
      </w:r>
      <w:r>
        <w:fldChar w:fldCharType="end"/>
      </w:r>
      <w:r>
        <w:t xml:space="preserve"> compares the fuel type distribution between EUSS Cycle 1 and CBECS 2012</w:t>
      </w:r>
      <w:r w:rsidR="00FF1E40">
        <w:t>, where we can see notably large differences</w:t>
      </w:r>
      <w:r w:rsidR="00E51537">
        <w:t xml:space="preserve"> across many building types</w:t>
      </w:r>
      <w:r w:rsidR="00FF1E40">
        <w:t xml:space="preserve">. Much of the discrepancy </w:t>
      </w:r>
      <w:r w:rsidR="00E3442A">
        <w:t>shows</w:t>
      </w:r>
      <w:r w:rsidR="00EC250A">
        <w:t xml:space="preserve"> ComStock having too much electric heating and not enough natural gas heating</w:t>
      </w:r>
      <w:r w:rsidR="00E3442A">
        <w:t xml:space="preserve"> relative to CBECS.</w:t>
      </w:r>
    </w:p>
    <w:p w14:paraId="13B82C46" w14:textId="77777777" w:rsidR="004B5B2A" w:rsidRDefault="00D84B3F" w:rsidP="004B5B2A">
      <w:pPr>
        <w:keepNext/>
      </w:pPr>
      <w:r w:rsidRPr="001A1643">
        <w:rPr>
          <w:noProof/>
        </w:rPr>
        <w:drawing>
          <wp:inline distT="0" distB="0" distL="0" distR="0" wp14:anchorId="579E7B4A" wp14:editId="747FB666">
            <wp:extent cx="6666230" cy="1751261"/>
            <wp:effectExtent l="0" t="0" r="1270" b="1905"/>
            <wp:docPr id="1297287604" name="Picture 129728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98733" cy="1759800"/>
                    </a:xfrm>
                    <a:prstGeom prst="rect">
                      <a:avLst/>
                    </a:prstGeom>
                    <a:noFill/>
                    <a:ln>
                      <a:noFill/>
                    </a:ln>
                  </pic:spPr>
                </pic:pic>
              </a:graphicData>
            </a:graphic>
          </wp:inline>
        </w:drawing>
      </w:r>
    </w:p>
    <w:p w14:paraId="1B969322" w14:textId="7D5E1274" w:rsidR="00D84B3F" w:rsidRPr="004B5B2A" w:rsidRDefault="004B5B2A" w:rsidP="004B5B2A">
      <w:pPr>
        <w:pStyle w:val="Caption"/>
        <w:rPr>
          <w:color w:val="000000" w:themeColor="text1"/>
        </w:rPr>
      </w:pPr>
      <w:bookmarkStart w:id="5" w:name="_Ref152763347"/>
      <w:r w:rsidRPr="004B5B2A">
        <w:rPr>
          <w:color w:val="000000" w:themeColor="text1"/>
        </w:rPr>
        <w:t xml:space="preserve">Figure </w:t>
      </w:r>
      <w:r w:rsidRPr="004B5B2A">
        <w:rPr>
          <w:color w:val="000000" w:themeColor="text1"/>
        </w:rPr>
        <w:fldChar w:fldCharType="begin"/>
      </w:r>
      <w:r w:rsidRPr="004B5B2A">
        <w:rPr>
          <w:color w:val="000000" w:themeColor="text1"/>
        </w:rPr>
        <w:instrText xml:space="preserve"> SEQ Figure \* ARABIC </w:instrText>
      </w:r>
      <w:r w:rsidRPr="004B5B2A">
        <w:rPr>
          <w:color w:val="000000" w:themeColor="text1"/>
        </w:rPr>
        <w:fldChar w:fldCharType="separate"/>
      </w:r>
      <w:r w:rsidR="00F0583D">
        <w:rPr>
          <w:noProof/>
          <w:color w:val="000000" w:themeColor="text1"/>
        </w:rPr>
        <w:t>5</w:t>
      </w:r>
      <w:r w:rsidRPr="004B5B2A">
        <w:rPr>
          <w:color w:val="000000" w:themeColor="text1"/>
        </w:rPr>
        <w:fldChar w:fldCharType="end"/>
      </w:r>
      <w:bookmarkEnd w:id="5"/>
      <w:r w:rsidRPr="004B5B2A">
        <w:rPr>
          <w:color w:val="000000" w:themeColor="text1"/>
        </w:rPr>
        <w:t xml:space="preserve">: </w:t>
      </w:r>
      <w:r w:rsidRPr="00BC4261">
        <w:rPr>
          <w:color w:val="000000" w:themeColor="text1"/>
        </w:rPr>
        <w:t xml:space="preserve">Comparison of fuel type prevalence </w:t>
      </w:r>
      <w:r>
        <w:rPr>
          <w:color w:val="000000" w:themeColor="text1"/>
        </w:rPr>
        <w:t>for the older distributions (used in EUSS Cycle 1) and CBECS 2012.</w:t>
      </w:r>
    </w:p>
    <w:p w14:paraId="6C783AAD" w14:textId="375C3C0C" w:rsidR="00E3442A" w:rsidRDefault="00FC5353" w:rsidP="009D0F8D">
      <w:r>
        <w:fldChar w:fldCharType="begin"/>
      </w:r>
      <w:r>
        <w:instrText xml:space="preserve"> REF _Ref152827980 \h </w:instrText>
      </w:r>
      <w:r>
        <w:fldChar w:fldCharType="separate"/>
      </w:r>
      <w:r>
        <w:t xml:space="preserve">Figure </w:t>
      </w:r>
      <w:r>
        <w:rPr>
          <w:noProof/>
        </w:rPr>
        <w:t>5</w:t>
      </w:r>
      <w:r>
        <w:fldChar w:fldCharType="end"/>
      </w:r>
      <w:r>
        <w:t xml:space="preserve"> compares the fuel type prevalence of CBECS 2012 and the updated </w:t>
      </w:r>
      <w:r w:rsidR="0048617E">
        <w:t>fuel type distributions used in EUSS cycle 2.</w:t>
      </w:r>
      <w:r w:rsidR="002D749B">
        <w:t xml:space="preserve"> These show large improvements over the EUSS cycle 1 comparisons.</w:t>
      </w:r>
      <w:r w:rsidR="00A82AB8">
        <w:t xml:space="preserve"> There is still some deviation from CBECS, however. Part of this is due to randomness in the sampling process. </w:t>
      </w:r>
      <w:r w:rsidR="0017748C">
        <w:t xml:space="preserve">Additionally, error can be introduced </w:t>
      </w:r>
      <w:r w:rsidR="00F1033C">
        <w:t>through the process of adding county level granularity</w:t>
      </w:r>
      <w:r w:rsidR="008A7BB4">
        <w:t xml:space="preserve"> for fuel type</w:t>
      </w:r>
      <w:r w:rsidR="003C1F38">
        <w:t xml:space="preserve">. Each county needs to be assigned a weight, per building type, when calculating a solution for aligning </w:t>
      </w:r>
      <w:r w:rsidR="006A79B7">
        <w:t xml:space="preserve">census regions to CBECS 2012. A past ComStock run is used for this, but ComStock </w:t>
      </w:r>
      <w:r w:rsidR="00B31206">
        <w:t>samples can be thin by building type at the county level which increases uncertainty in this process.</w:t>
      </w:r>
      <w:r w:rsidR="00F43072">
        <w:t xml:space="preserve"> The largest error comes from small and large hotels tha</w:t>
      </w:r>
      <w:r w:rsidR="00932281">
        <w:t xml:space="preserve">t show ~10% too much electric heat and </w:t>
      </w:r>
      <w:r w:rsidR="00567475">
        <w:t>~10% low on gas heat (these are absolute differences in the distribution, not percent change).</w:t>
      </w:r>
    </w:p>
    <w:p w14:paraId="2D8012CE" w14:textId="77777777" w:rsidR="00E3442A" w:rsidRDefault="009D0F8D" w:rsidP="00E3442A">
      <w:pPr>
        <w:keepNext/>
      </w:pPr>
      <w:r w:rsidRPr="00DC1203">
        <w:rPr>
          <w:noProof/>
        </w:rPr>
        <w:lastRenderedPageBreak/>
        <w:drawing>
          <wp:inline distT="0" distB="0" distL="0" distR="0" wp14:anchorId="0E3481C8" wp14:editId="4017A814">
            <wp:extent cx="6708988" cy="1761897"/>
            <wp:effectExtent l="0" t="0" r="0" b="0"/>
            <wp:docPr id="1455197352" name="Picture 1455197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61392" cy="1775659"/>
                    </a:xfrm>
                    <a:prstGeom prst="rect">
                      <a:avLst/>
                    </a:prstGeom>
                    <a:noFill/>
                    <a:ln>
                      <a:noFill/>
                    </a:ln>
                  </pic:spPr>
                </pic:pic>
              </a:graphicData>
            </a:graphic>
          </wp:inline>
        </w:drawing>
      </w:r>
    </w:p>
    <w:p w14:paraId="4B41BFAE" w14:textId="5A3AB1E9" w:rsidR="009D0F8D" w:rsidRDefault="00E3442A" w:rsidP="00567475">
      <w:pPr>
        <w:pStyle w:val="Caption"/>
      </w:pPr>
      <w:bookmarkStart w:id="6" w:name="_Ref152827980"/>
      <w:r>
        <w:t xml:space="preserve">Figure </w:t>
      </w:r>
      <w:fldSimple w:instr=" SEQ Figure \* ARABIC ">
        <w:r w:rsidR="00F0583D">
          <w:rPr>
            <w:noProof/>
          </w:rPr>
          <w:t>6</w:t>
        </w:r>
      </w:fldSimple>
      <w:bookmarkEnd w:id="6"/>
      <w:r>
        <w:t xml:space="preserve">: </w:t>
      </w:r>
      <w:r w:rsidRPr="00BC4261">
        <w:rPr>
          <w:color w:val="000000" w:themeColor="text1"/>
        </w:rPr>
        <w:t xml:space="preserve">Comparison of fuel type prevalence </w:t>
      </w:r>
      <w:r>
        <w:rPr>
          <w:color w:val="000000" w:themeColor="text1"/>
        </w:rPr>
        <w:t xml:space="preserve">for the updated </w:t>
      </w:r>
      <w:r w:rsidR="00FC5353">
        <w:rPr>
          <w:color w:val="000000" w:themeColor="text1"/>
        </w:rPr>
        <w:t>distributions (used in EUSS cycle 2)</w:t>
      </w:r>
      <w:r>
        <w:rPr>
          <w:color w:val="000000" w:themeColor="text1"/>
        </w:rPr>
        <w:t xml:space="preserve"> and CBECS 2012.</w:t>
      </w:r>
    </w:p>
    <w:p w14:paraId="5C940D44" w14:textId="7AE1BBBE" w:rsidR="00C2076B" w:rsidRDefault="00330740" w:rsidP="00330740">
      <w:pPr>
        <w:pStyle w:val="Heading1"/>
      </w:pPr>
      <w:r>
        <w:t>Energy Impacts</w:t>
      </w:r>
    </w:p>
    <w:p w14:paraId="1C96F8C6" w14:textId="118BBE2D" w:rsidR="00FC0FA7" w:rsidRPr="00FC0FA7" w:rsidRDefault="004965EB" w:rsidP="00FC0FA7">
      <w:r>
        <w:fldChar w:fldCharType="begin"/>
      </w:r>
      <w:r>
        <w:instrText xml:space="preserve"> REF _Ref152830503 \h </w:instrText>
      </w:r>
      <w:r>
        <w:fldChar w:fldCharType="separate"/>
      </w:r>
      <w:r w:rsidRPr="00FC0FA7">
        <w:rPr>
          <w:color w:val="000000" w:themeColor="text1"/>
        </w:rPr>
        <w:t xml:space="preserve">Figure </w:t>
      </w:r>
      <w:r w:rsidRPr="00FC0FA7">
        <w:rPr>
          <w:noProof/>
          <w:color w:val="000000" w:themeColor="text1"/>
        </w:rPr>
        <w:t>6</w:t>
      </w:r>
      <w:r>
        <w:fldChar w:fldCharType="end"/>
      </w:r>
      <w:r>
        <w:t xml:space="preserve"> compares the </w:t>
      </w:r>
      <w:r w:rsidR="00E17F96">
        <w:t xml:space="preserve">annual energy by end use and fuel type for the </w:t>
      </w:r>
      <w:r w:rsidR="00F55E5D">
        <w:t>old (Baseline) and updated (V21) ComStock versions. Note that some end uses</w:t>
      </w:r>
      <w:r w:rsidR="003B35E9">
        <w:t xml:space="preserve"> show differences due to rerunning sampling, which includes some randomness. For example, lighting energy increased between runs, </w:t>
      </w:r>
      <w:r w:rsidR="007A3237">
        <w:t>but no change was made to the lighting. The</w:t>
      </w:r>
      <w:r w:rsidR="006B63AC">
        <w:t xml:space="preserve"> most notable change is in gas heating, where ComStock increased from 5</w:t>
      </w:r>
      <w:r w:rsidR="00B4592F">
        <w:t xml:space="preserve">50 TBtu/year to 720 TBtu/year. This change is welcomed since CBECS suggests this value to be over 800 for the building types we model in ComStock, so the new V21 value is much closer. The reduction in electric heating energy from 282 to 224 is also </w:t>
      </w:r>
      <w:r w:rsidR="00A22BC2">
        <w:t xml:space="preserve">preferred, since ComStock is high on electric heating compared to CBECS. CBECS suggests stock electric heating should be </w:t>
      </w:r>
      <w:r w:rsidR="00EE3293">
        <w:t>less than 100 TBtu, but it is unclear how accurately this value is disaggregated, and if further reductions in electric heating should be pursued.</w:t>
      </w:r>
    </w:p>
    <w:p w14:paraId="6274B9C4" w14:textId="77777777" w:rsidR="00FC0FA7" w:rsidRDefault="00FC0FA7" w:rsidP="00FC0FA7">
      <w:pPr>
        <w:keepNext/>
        <w:jc w:val="center"/>
      </w:pPr>
      <w:r w:rsidRPr="00FC0FA7">
        <w:rPr>
          <w:noProof/>
        </w:rPr>
        <w:drawing>
          <wp:inline distT="0" distB="0" distL="0" distR="0" wp14:anchorId="626AA80A" wp14:editId="7BFE824F">
            <wp:extent cx="2908300" cy="2643909"/>
            <wp:effectExtent l="0" t="0" r="6350" b="4445"/>
            <wp:docPr id="119424280" name="Picture 119424280" descr="Timeline,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4280" name="Picture 1" descr="Timeline, bar chart&#10;&#10;Description automatically generated with medium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21968" cy="2656335"/>
                    </a:xfrm>
                    <a:prstGeom prst="rect">
                      <a:avLst/>
                    </a:prstGeom>
                    <a:noFill/>
                    <a:ln>
                      <a:noFill/>
                    </a:ln>
                  </pic:spPr>
                </pic:pic>
              </a:graphicData>
            </a:graphic>
          </wp:inline>
        </w:drawing>
      </w:r>
    </w:p>
    <w:p w14:paraId="4C31EE4F" w14:textId="333F5850" w:rsidR="00FC0FA7" w:rsidRPr="0009332B" w:rsidRDefault="00FC0FA7" w:rsidP="0009332B">
      <w:pPr>
        <w:pStyle w:val="Caption"/>
        <w:jc w:val="center"/>
        <w:rPr>
          <w:color w:val="000000" w:themeColor="text1"/>
        </w:rPr>
      </w:pPr>
      <w:bookmarkStart w:id="7" w:name="_Ref152830503"/>
      <w:r w:rsidRPr="00FC0FA7">
        <w:rPr>
          <w:color w:val="000000" w:themeColor="text1"/>
        </w:rPr>
        <w:t xml:space="preserve">Figure </w:t>
      </w:r>
      <w:r w:rsidRPr="00FC0FA7">
        <w:rPr>
          <w:color w:val="000000" w:themeColor="text1"/>
        </w:rPr>
        <w:fldChar w:fldCharType="begin"/>
      </w:r>
      <w:r w:rsidRPr="00FC0FA7">
        <w:rPr>
          <w:color w:val="000000" w:themeColor="text1"/>
        </w:rPr>
        <w:instrText xml:space="preserve"> SEQ Figure \* ARABIC </w:instrText>
      </w:r>
      <w:r w:rsidRPr="00FC0FA7">
        <w:rPr>
          <w:color w:val="000000" w:themeColor="text1"/>
        </w:rPr>
        <w:fldChar w:fldCharType="separate"/>
      </w:r>
      <w:r w:rsidR="00F0583D">
        <w:rPr>
          <w:noProof/>
          <w:color w:val="000000" w:themeColor="text1"/>
        </w:rPr>
        <w:t>7</w:t>
      </w:r>
      <w:r w:rsidRPr="00FC0FA7">
        <w:rPr>
          <w:color w:val="000000" w:themeColor="text1"/>
        </w:rPr>
        <w:fldChar w:fldCharType="end"/>
      </w:r>
      <w:bookmarkEnd w:id="7"/>
      <w:r w:rsidRPr="00FC0FA7">
        <w:rPr>
          <w:color w:val="000000" w:themeColor="text1"/>
        </w:rPr>
        <w:t xml:space="preserve">: End use comparison of ComStock version V19 "Baseline" and the </w:t>
      </w:r>
      <w:r>
        <w:rPr>
          <w:color w:val="000000" w:themeColor="text1"/>
        </w:rPr>
        <w:t>updated</w:t>
      </w:r>
      <w:r w:rsidRPr="00FC0FA7">
        <w:rPr>
          <w:color w:val="000000" w:themeColor="text1"/>
        </w:rPr>
        <w:t xml:space="preserve"> ComStock V21.</w:t>
      </w:r>
    </w:p>
    <w:p w14:paraId="12ECADF8" w14:textId="5366F3EB" w:rsidR="00C2076B" w:rsidRDefault="00330740" w:rsidP="00203FA5">
      <w:r>
        <w:fldChar w:fldCharType="begin"/>
      </w:r>
      <w:r>
        <w:instrText xml:space="preserve"> REF _Ref152761751 \h </w:instrText>
      </w:r>
      <w:r>
        <w:fldChar w:fldCharType="separate"/>
      </w:r>
      <w:r w:rsidR="0009332B" w:rsidRPr="00F51CD7">
        <w:rPr>
          <w:color w:val="000000" w:themeColor="text1"/>
        </w:rPr>
        <w:t xml:space="preserve">Figure </w:t>
      </w:r>
      <w:r w:rsidR="0009332B">
        <w:rPr>
          <w:noProof/>
          <w:color w:val="000000" w:themeColor="text1"/>
        </w:rPr>
        <w:t>7</w:t>
      </w:r>
      <w:r>
        <w:fldChar w:fldCharType="end"/>
      </w:r>
      <w:r>
        <w:t xml:space="preserve"> compares electricity consumption by building type</w:t>
      </w:r>
      <w:r w:rsidR="00D01303">
        <w:t xml:space="preserve"> for V19 vs. V21</w:t>
      </w:r>
      <w:proofErr w:type="gramStart"/>
      <w:r w:rsidR="00D01303">
        <w:t>.</w:t>
      </w:r>
      <w:r w:rsidR="00CA350C">
        <w:t>Strip</w:t>
      </w:r>
      <w:proofErr w:type="gramEnd"/>
      <w:r w:rsidR="00CA350C">
        <w:t xml:space="preserve"> malls and primary/secondary schools show notable improvements</w:t>
      </w:r>
      <w:r w:rsidR="00177630">
        <w:t xml:space="preserve"> towards CBECS 2018.</w:t>
      </w:r>
      <w:r w:rsidR="0040338C">
        <w:t xml:space="preserve"> Note that the distributions were generated using CBECS 2012, so perfect alignment is not expected.</w:t>
      </w:r>
      <w:r w:rsidR="005E744F">
        <w:t xml:space="preserve"> </w:t>
      </w:r>
      <w:r w:rsidR="008349C5">
        <w:t>The results vary by building type, but most</w:t>
      </w:r>
      <w:r w:rsidR="005E744F">
        <w:t xml:space="preserve"> building types show improved alignment with CBECS 2012 vs. the older V19 </w:t>
      </w:r>
      <w:r w:rsidR="005E744F">
        <w:lastRenderedPageBreak/>
        <w:t>run</w:t>
      </w:r>
      <w:r w:rsidR="00451306">
        <w:t>.</w:t>
      </w:r>
      <w:r w:rsidR="002055BB">
        <w:t xml:space="preserve"> </w:t>
      </w:r>
      <w:r w:rsidR="00B01CD7">
        <w:t>The biggest improvements are</w:t>
      </w:r>
      <w:r w:rsidR="002A5C2B">
        <w:t xml:space="preserve"> in strip malls and schools</w:t>
      </w:r>
      <w:r w:rsidR="002055BB">
        <w:t xml:space="preserve">. </w:t>
      </w:r>
      <w:r w:rsidR="00FA595C">
        <w:t xml:space="preserve">Warehouses show the largest increase in deviation from CBECS, but ComStock aggregate warehouse energy consumption </w:t>
      </w:r>
      <w:r w:rsidR="00CE0C3F">
        <w:t>has historically not aligned closely with CBECS</w:t>
      </w:r>
      <w:r w:rsidR="009D0F8D">
        <w:t>, so this is not being considered heavily</w:t>
      </w:r>
      <w:r w:rsidR="00CE0C3F">
        <w:t>.</w:t>
      </w:r>
      <w:r w:rsidR="009D0F8D">
        <w:t xml:space="preserve"> Other building types show small changes.</w:t>
      </w:r>
      <w:r w:rsidR="00CF6EE9">
        <w:t xml:space="preserve"> Note that both large hotels and secondary schools overestimate electric</w:t>
      </w:r>
      <w:r w:rsidR="001D377D">
        <w:t>ity consumption by about 10% or more, which may be in part due to the fuel type distributions overestimating electric heating by 10% or more</w:t>
      </w:r>
      <w:r w:rsidR="00845A60">
        <w:t>, although other factors are likely at play here too.</w:t>
      </w:r>
    </w:p>
    <w:p w14:paraId="0C55FF54" w14:textId="77777777" w:rsidR="00C2076B" w:rsidRDefault="00C2076B" w:rsidP="00203FA5"/>
    <w:p w14:paraId="72882E30" w14:textId="4F54FE2A" w:rsidR="009062BC" w:rsidRDefault="002574BF" w:rsidP="009062BC">
      <w:pPr>
        <w:keepNext/>
      </w:pPr>
      <w:r>
        <w:rPr>
          <w:noProof/>
        </w:rPr>
        <w:drawing>
          <wp:inline distT="0" distB="0" distL="0" distR="0" wp14:anchorId="251D88A8" wp14:editId="2BAE0DD2">
            <wp:extent cx="5935345" cy="2630805"/>
            <wp:effectExtent l="0" t="0" r="8255" b="0"/>
            <wp:docPr id="1195684915" name="Picture 1195684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345" cy="2630805"/>
                    </a:xfrm>
                    <a:prstGeom prst="rect">
                      <a:avLst/>
                    </a:prstGeom>
                    <a:noFill/>
                    <a:ln>
                      <a:noFill/>
                    </a:ln>
                  </pic:spPr>
                </pic:pic>
              </a:graphicData>
            </a:graphic>
          </wp:inline>
        </w:drawing>
      </w:r>
    </w:p>
    <w:p w14:paraId="6D60E889" w14:textId="032CCD82" w:rsidR="009062BC" w:rsidRDefault="009062BC" w:rsidP="00F51CD7">
      <w:pPr>
        <w:pStyle w:val="Caption"/>
        <w:rPr>
          <w:color w:val="000000" w:themeColor="text1"/>
        </w:rPr>
      </w:pPr>
      <w:bookmarkStart w:id="8" w:name="_Ref152761751"/>
      <w:r w:rsidRPr="00F51CD7">
        <w:rPr>
          <w:color w:val="000000" w:themeColor="text1"/>
        </w:rPr>
        <w:t xml:space="preserve">Figure </w:t>
      </w:r>
      <w:r w:rsidRPr="00F51CD7">
        <w:rPr>
          <w:color w:val="000000" w:themeColor="text1"/>
        </w:rPr>
        <w:fldChar w:fldCharType="begin"/>
      </w:r>
      <w:r w:rsidRPr="00F51CD7">
        <w:rPr>
          <w:color w:val="000000" w:themeColor="text1"/>
        </w:rPr>
        <w:instrText xml:space="preserve"> SEQ Figure \* ARABIC </w:instrText>
      </w:r>
      <w:r w:rsidRPr="00F51CD7">
        <w:rPr>
          <w:color w:val="000000" w:themeColor="text1"/>
        </w:rPr>
        <w:fldChar w:fldCharType="separate"/>
      </w:r>
      <w:r w:rsidR="00F0583D">
        <w:rPr>
          <w:noProof/>
          <w:color w:val="000000" w:themeColor="text1"/>
        </w:rPr>
        <w:t>8</w:t>
      </w:r>
      <w:r w:rsidRPr="00F51CD7">
        <w:rPr>
          <w:color w:val="000000" w:themeColor="text1"/>
        </w:rPr>
        <w:fldChar w:fldCharType="end"/>
      </w:r>
      <w:bookmarkEnd w:id="8"/>
      <w:r w:rsidRPr="00F51CD7">
        <w:rPr>
          <w:color w:val="000000" w:themeColor="text1"/>
        </w:rPr>
        <w:t>: Electricity</w:t>
      </w:r>
      <w:r w:rsidR="00966CE0" w:rsidRPr="00F51CD7">
        <w:rPr>
          <w:color w:val="000000" w:themeColor="text1"/>
        </w:rPr>
        <w:t xml:space="preserve"> comparison </w:t>
      </w:r>
      <w:r w:rsidR="00F51CD7" w:rsidRPr="00F51CD7">
        <w:rPr>
          <w:color w:val="000000" w:themeColor="text1"/>
        </w:rPr>
        <w:t>by building type.</w:t>
      </w:r>
    </w:p>
    <w:p w14:paraId="0129459F" w14:textId="77777777" w:rsidR="00845A60" w:rsidRDefault="00845A60" w:rsidP="00845A60"/>
    <w:p w14:paraId="41B15755" w14:textId="50757B32" w:rsidR="00845A60" w:rsidRPr="00845A60" w:rsidRDefault="00845A60" w:rsidP="00845A60">
      <w:r>
        <w:fldChar w:fldCharType="begin"/>
      </w:r>
      <w:r>
        <w:instrText xml:space="preserve"> REF _Ref152828805 \h </w:instrText>
      </w:r>
      <w:r>
        <w:fldChar w:fldCharType="separate"/>
      </w:r>
      <w:r w:rsidR="0009332B" w:rsidRPr="00F51CD7">
        <w:rPr>
          <w:color w:val="000000" w:themeColor="text1"/>
        </w:rPr>
        <w:t xml:space="preserve">Figure </w:t>
      </w:r>
      <w:r w:rsidR="0009332B">
        <w:rPr>
          <w:noProof/>
          <w:color w:val="000000" w:themeColor="text1"/>
        </w:rPr>
        <w:t>8</w:t>
      </w:r>
      <w:r>
        <w:fldChar w:fldCharType="end"/>
      </w:r>
      <w:r>
        <w:t xml:space="preserve"> shows </w:t>
      </w:r>
      <w:r w:rsidR="00DC6681">
        <w:t>t</w:t>
      </w:r>
      <w:r>
        <w:t xml:space="preserve">he results for a </w:t>
      </w:r>
      <w:proofErr w:type="gramStart"/>
      <w:r>
        <w:t>schools</w:t>
      </w:r>
      <w:proofErr w:type="gramEnd"/>
      <w:r w:rsidR="008368DC">
        <w:t>-</w:t>
      </w:r>
      <w:r>
        <w:t>only run that removes</w:t>
      </w:r>
      <w:r w:rsidR="00825C96">
        <w:t xml:space="preserve"> the nighttime ventilation functionality. This means school AHU operation is no longer modified </w:t>
      </w:r>
      <w:r w:rsidR="00C76952">
        <w:t>to reflect BAS data introduced during EULP calibration. This was tried since schools are</w:t>
      </w:r>
      <w:r w:rsidR="00F6050B">
        <w:t xml:space="preserve"> showing large overestimation of both gas and electricity consumption compared to CBECS.</w:t>
      </w:r>
      <w:r w:rsidR="001D19F7">
        <w:t xml:space="preserve"> Overall, electricity consumption is more closely aligned to CBECS than the cooking V4 run, or the original fuel type distribution run shown in </w:t>
      </w:r>
      <w:r w:rsidR="001D19F7">
        <w:fldChar w:fldCharType="begin"/>
      </w:r>
      <w:r w:rsidR="001D19F7">
        <w:instrText xml:space="preserve"> REF _Ref152761751 \h </w:instrText>
      </w:r>
      <w:r w:rsidR="001D19F7">
        <w:fldChar w:fldCharType="separate"/>
      </w:r>
      <w:r w:rsidR="001D19F7" w:rsidRPr="00F51CD7">
        <w:rPr>
          <w:color w:val="000000" w:themeColor="text1"/>
        </w:rPr>
        <w:t xml:space="preserve">Figure </w:t>
      </w:r>
      <w:r w:rsidR="001D19F7">
        <w:rPr>
          <w:noProof/>
          <w:color w:val="000000" w:themeColor="text1"/>
        </w:rPr>
        <w:t>6</w:t>
      </w:r>
      <w:r w:rsidR="001D19F7">
        <w:fldChar w:fldCharType="end"/>
      </w:r>
      <w:r w:rsidR="001D19F7">
        <w:t>. However, ComStock is still overestimating electricity consumption compared to CBECS by large margins despite these changes.</w:t>
      </w:r>
    </w:p>
    <w:p w14:paraId="0DCA951C" w14:textId="77777777" w:rsidR="00F51CD7" w:rsidRDefault="005B5BAF" w:rsidP="00F51CD7">
      <w:pPr>
        <w:keepNext/>
      </w:pPr>
      <w:r>
        <w:rPr>
          <w:noProof/>
        </w:rPr>
        <w:lastRenderedPageBreak/>
        <w:drawing>
          <wp:inline distT="0" distB="0" distL="0" distR="0" wp14:anchorId="781C40CE" wp14:editId="731E7BD6">
            <wp:extent cx="5943600" cy="2612390"/>
            <wp:effectExtent l="0" t="0" r="0" b="0"/>
            <wp:docPr id="789345393" name="Picture 78934539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5393" name="Picture 2" descr="Chart, histo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612390"/>
                    </a:xfrm>
                    <a:prstGeom prst="rect">
                      <a:avLst/>
                    </a:prstGeom>
                    <a:noFill/>
                    <a:ln>
                      <a:noFill/>
                    </a:ln>
                  </pic:spPr>
                </pic:pic>
              </a:graphicData>
            </a:graphic>
          </wp:inline>
        </w:drawing>
      </w:r>
    </w:p>
    <w:p w14:paraId="2FC70467" w14:textId="1724E0E3" w:rsidR="00F51CD7" w:rsidRDefault="00F51CD7" w:rsidP="00F51CD7">
      <w:pPr>
        <w:pStyle w:val="Caption"/>
        <w:rPr>
          <w:color w:val="000000" w:themeColor="text1"/>
        </w:rPr>
      </w:pPr>
      <w:bookmarkStart w:id="9" w:name="_Ref152828805"/>
      <w:r w:rsidRPr="00F51CD7">
        <w:rPr>
          <w:color w:val="000000" w:themeColor="text1"/>
        </w:rPr>
        <w:t xml:space="preserve">Figure </w:t>
      </w:r>
      <w:r w:rsidRPr="00F51CD7">
        <w:rPr>
          <w:color w:val="000000" w:themeColor="text1"/>
        </w:rPr>
        <w:fldChar w:fldCharType="begin"/>
      </w:r>
      <w:r w:rsidRPr="00F51CD7">
        <w:rPr>
          <w:color w:val="000000" w:themeColor="text1"/>
        </w:rPr>
        <w:instrText xml:space="preserve"> SEQ Figure \* ARABIC </w:instrText>
      </w:r>
      <w:r w:rsidRPr="00F51CD7">
        <w:rPr>
          <w:color w:val="000000" w:themeColor="text1"/>
        </w:rPr>
        <w:fldChar w:fldCharType="separate"/>
      </w:r>
      <w:r w:rsidR="00F0583D">
        <w:rPr>
          <w:noProof/>
          <w:color w:val="000000" w:themeColor="text1"/>
        </w:rPr>
        <w:t>9</w:t>
      </w:r>
      <w:r w:rsidRPr="00F51CD7">
        <w:rPr>
          <w:color w:val="000000" w:themeColor="text1"/>
        </w:rPr>
        <w:fldChar w:fldCharType="end"/>
      </w:r>
      <w:bookmarkEnd w:id="9"/>
      <w:r w:rsidRPr="00F51CD7">
        <w:rPr>
          <w:color w:val="000000" w:themeColor="text1"/>
        </w:rPr>
        <w:t>: Electricity comparison by building type; schools only, after removing night ventilation functionality.</w:t>
      </w:r>
    </w:p>
    <w:p w14:paraId="1DC3FB80" w14:textId="4A122EB1" w:rsidR="001D19F7" w:rsidRPr="001D19F7" w:rsidRDefault="001D19F7" w:rsidP="001D19F7">
      <w:r>
        <w:fldChar w:fldCharType="begin"/>
      </w:r>
      <w:r>
        <w:instrText xml:space="preserve"> REF _Ref152829127 \h </w:instrText>
      </w:r>
      <w:r>
        <w:fldChar w:fldCharType="separate"/>
      </w:r>
      <w:r w:rsidR="0009332B" w:rsidRPr="00C2076B">
        <w:rPr>
          <w:color w:val="000000" w:themeColor="text1"/>
        </w:rPr>
        <w:t xml:space="preserve">Figure </w:t>
      </w:r>
      <w:r w:rsidR="0009332B">
        <w:rPr>
          <w:noProof/>
          <w:color w:val="000000" w:themeColor="text1"/>
        </w:rPr>
        <w:t>9</w:t>
      </w:r>
      <w:r>
        <w:fldChar w:fldCharType="end"/>
      </w:r>
      <w:r>
        <w:t xml:space="preserve"> compares natural gas usage </w:t>
      </w:r>
      <w:r w:rsidR="0023376D">
        <w:t xml:space="preserve">of the V19 and </w:t>
      </w:r>
      <w:r w:rsidR="00DF3D68">
        <w:t>V21 ComStock runs versus CBECS 2018.</w:t>
      </w:r>
      <w:r w:rsidR="001B2B26">
        <w:t xml:space="preserve"> Some building types show closer alignment </w:t>
      </w:r>
      <w:r w:rsidR="00EB1198">
        <w:t>to CBECS for the V21 run versus the V19 run. Strip mall</w:t>
      </w:r>
      <w:r w:rsidR="00FC331F">
        <w:t>, retail, medium office, large office, outpatient and warehouse are some examples of these.</w:t>
      </w:r>
      <w:r w:rsidR="00016BF5">
        <w:t xml:space="preserve"> </w:t>
      </w:r>
      <w:r w:rsidR="0079471B">
        <w:t>Strip malls, retail, large offices</w:t>
      </w:r>
      <w:r w:rsidR="00EA300D">
        <w:t>, and outpatient have</w:t>
      </w:r>
      <w:r w:rsidR="000746CF">
        <w:t xml:space="preserve"> improved to the point that they could be considered calibrated to CBECS 2018 for natural gas at this granularity.</w:t>
      </w:r>
      <w:r w:rsidR="00960FD6">
        <w:t xml:space="preserve"> Note the shortfalls are large and small hotels could be somewhat attributed to ComStock underestimating natural gas heating for these building types b</w:t>
      </w:r>
      <w:r w:rsidR="00804207">
        <w:t>y a magnitude of 10%. However, some building types moved further from CBECS 2018, noting once again that the distributions are from CBECS 2012, not 2018.</w:t>
      </w:r>
      <w:r w:rsidR="00846F29">
        <w:t xml:space="preserve"> The primary examples of this are </w:t>
      </w:r>
      <w:proofErr w:type="gramStart"/>
      <w:r w:rsidR="00846F29">
        <w:t>full service</w:t>
      </w:r>
      <w:proofErr w:type="gramEnd"/>
      <w:r w:rsidR="00846F29">
        <w:t xml:space="preserve"> </w:t>
      </w:r>
      <w:proofErr w:type="gramStart"/>
      <w:r w:rsidR="00846F29">
        <w:t>restaurant</w:t>
      </w:r>
      <w:proofErr w:type="gramEnd"/>
      <w:r w:rsidR="00846F29">
        <w:t xml:space="preserve">, </w:t>
      </w:r>
      <w:r w:rsidR="0003532F">
        <w:t xml:space="preserve">hospitals (to a small degree), and secondary schools. Secondary schools </w:t>
      </w:r>
      <w:r w:rsidR="00A917DF">
        <w:t xml:space="preserve">especially show a large overcorrection as they now exceed CBECS 2018 by over 30%. </w:t>
      </w:r>
    </w:p>
    <w:p w14:paraId="54FFE74C" w14:textId="17C61166" w:rsidR="00C2076B" w:rsidRDefault="00DF3D68" w:rsidP="00C2076B">
      <w:pPr>
        <w:keepNext/>
      </w:pPr>
      <w:r>
        <w:rPr>
          <w:noProof/>
        </w:rPr>
        <w:drawing>
          <wp:inline distT="0" distB="0" distL="0" distR="0" wp14:anchorId="20A4E757" wp14:editId="5DAB82CE">
            <wp:extent cx="5937250" cy="2641600"/>
            <wp:effectExtent l="0" t="0" r="6350" b="6350"/>
            <wp:docPr id="108657407" name="Picture 10865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7250" cy="2641600"/>
                    </a:xfrm>
                    <a:prstGeom prst="rect">
                      <a:avLst/>
                    </a:prstGeom>
                    <a:noFill/>
                    <a:ln>
                      <a:noFill/>
                    </a:ln>
                  </pic:spPr>
                </pic:pic>
              </a:graphicData>
            </a:graphic>
          </wp:inline>
        </w:drawing>
      </w:r>
    </w:p>
    <w:p w14:paraId="355D30B3" w14:textId="4BE9B7E1" w:rsidR="00626EC1" w:rsidRDefault="00C2076B" w:rsidP="00C2076B">
      <w:pPr>
        <w:pStyle w:val="Caption"/>
        <w:rPr>
          <w:color w:val="000000" w:themeColor="text1"/>
        </w:rPr>
      </w:pPr>
      <w:bookmarkStart w:id="10" w:name="_Ref152829127"/>
      <w:r w:rsidRPr="00C2076B">
        <w:rPr>
          <w:color w:val="000000" w:themeColor="text1"/>
        </w:rPr>
        <w:t xml:space="preserve">Figure </w:t>
      </w:r>
      <w:r w:rsidRPr="00C2076B">
        <w:rPr>
          <w:color w:val="000000" w:themeColor="text1"/>
        </w:rPr>
        <w:fldChar w:fldCharType="begin"/>
      </w:r>
      <w:r w:rsidRPr="00C2076B">
        <w:rPr>
          <w:color w:val="000000" w:themeColor="text1"/>
        </w:rPr>
        <w:instrText xml:space="preserve"> SEQ Figure \* ARABIC </w:instrText>
      </w:r>
      <w:r w:rsidRPr="00C2076B">
        <w:rPr>
          <w:color w:val="000000" w:themeColor="text1"/>
        </w:rPr>
        <w:fldChar w:fldCharType="separate"/>
      </w:r>
      <w:r w:rsidR="00F0583D">
        <w:rPr>
          <w:noProof/>
          <w:color w:val="000000" w:themeColor="text1"/>
        </w:rPr>
        <w:t>10</w:t>
      </w:r>
      <w:r w:rsidRPr="00C2076B">
        <w:rPr>
          <w:color w:val="000000" w:themeColor="text1"/>
        </w:rPr>
        <w:fldChar w:fldCharType="end"/>
      </w:r>
      <w:bookmarkEnd w:id="10"/>
      <w:r w:rsidRPr="00C2076B">
        <w:rPr>
          <w:color w:val="000000" w:themeColor="text1"/>
        </w:rPr>
        <w:t>: Natural gas comparison by building type.</w:t>
      </w:r>
    </w:p>
    <w:p w14:paraId="797BB2CE" w14:textId="6CEA8508" w:rsidR="00A917DF" w:rsidRPr="00A917DF" w:rsidRDefault="00A917DF" w:rsidP="00A917DF">
      <w:r>
        <w:lastRenderedPageBreak/>
        <w:fldChar w:fldCharType="begin"/>
      </w:r>
      <w:r>
        <w:instrText xml:space="preserve"> REF _Ref152829798 \h </w:instrText>
      </w:r>
      <w:r>
        <w:fldChar w:fldCharType="separate"/>
      </w:r>
      <w:r w:rsidR="0009332B" w:rsidRPr="00C2076B">
        <w:rPr>
          <w:color w:val="000000" w:themeColor="text1"/>
        </w:rPr>
        <w:t xml:space="preserve">Figure </w:t>
      </w:r>
      <w:r w:rsidR="0009332B">
        <w:rPr>
          <w:noProof/>
          <w:color w:val="000000" w:themeColor="text1"/>
        </w:rPr>
        <w:t>10</w:t>
      </w:r>
      <w:r>
        <w:fldChar w:fldCharType="end"/>
      </w:r>
      <w:r>
        <w:t xml:space="preserve"> shows the same “schools only” rerun</w:t>
      </w:r>
      <w:r w:rsidR="00E13138">
        <w:t xml:space="preserve"> that eliminates the nighttime AHU operation variability. </w:t>
      </w:r>
      <w:r w:rsidR="00F57BDE">
        <w:t xml:space="preserve">This was done to address the large gas and electric </w:t>
      </w:r>
      <w:r w:rsidR="00FE0195">
        <w:t xml:space="preserve">overestimation of new updated ComStock distributions. </w:t>
      </w:r>
      <w:r w:rsidR="00B85AB1">
        <w:t xml:space="preserve">Compared to </w:t>
      </w:r>
      <w:r w:rsidR="00B85AB1">
        <w:fldChar w:fldCharType="begin"/>
      </w:r>
      <w:r w:rsidR="00B85AB1">
        <w:instrText xml:space="preserve"> REF _Ref152829127 \h </w:instrText>
      </w:r>
      <w:r w:rsidR="00B85AB1">
        <w:fldChar w:fldCharType="separate"/>
      </w:r>
      <w:r w:rsidR="0009332B" w:rsidRPr="00C2076B">
        <w:rPr>
          <w:color w:val="000000" w:themeColor="text1"/>
        </w:rPr>
        <w:t xml:space="preserve">Figure </w:t>
      </w:r>
      <w:r w:rsidR="0009332B">
        <w:rPr>
          <w:noProof/>
          <w:color w:val="000000" w:themeColor="text1"/>
        </w:rPr>
        <w:t>9</w:t>
      </w:r>
      <w:r w:rsidR="00B85AB1">
        <w:fldChar w:fldCharType="end"/>
      </w:r>
      <w:r w:rsidR="00B85AB1">
        <w:t>, this updated run shows better alignment to CBECS 2018.</w:t>
      </w:r>
      <w:r w:rsidR="000434FD">
        <w:t xml:space="preserve"> Primary schools could be considered largely calibrated for natural gas at this granularity. </w:t>
      </w:r>
      <w:r w:rsidR="0026477F">
        <w:t xml:space="preserve">Secondary schools show similar error to the V4 run, except now they overestimate natural gas whereas before they were underestimating. </w:t>
      </w:r>
      <w:r w:rsidR="00D465F8">
        <w:t xml:space="preserve">It is unclear if </w:t>
      </w:r>
      <w:r w:rsidR="00DB0EBE">
        <w:t xml:space="preserve">removing the nighttime AHU operation change is appropriate for </w:t>
      </w:r>
      <w:r w:rsidR="009D25FF">
        <w:t>this improvement. However, schools are large periods of unoccupied times compared to other building types, so they are far more impacted by this measure.</w:t>
      </w:r>
      <w:r w:rsidR="004257DC">
        <w:t xml:space="preserve"> </w:t>
      </w:r>
      <w:r w:rsidR="00D75923">
        <w:t>My</w:t>
      </w:r>
      <w:r w:rsidR="004257DC">
        <w:t xml:space="preserve"> recommendation is to keep this change with the assumption that the end use data used</w:t>
      </w:r>
      <w:r w:rsidR="00EC4DDD">
        <w:t xml:space="preserve"> to implement </w:t>
      </w:r>
      <w:r w:rsidR="00D75923">
        <w:t>the original nighttime operation behavior</w:t>
      </w:r>
      <w:r w:rsidR="00EC4DDD">
        <w:t xml:space="preserve"> may not represent the larger picture of school AHU operation. For example, it is not clear if the </w:t>
      </w:r>
      <w:r w:rsidR="00F4431E">
        <w:t xml:space="preserve">end use </w:t>
      </w:r>
      <w:r w:rsidR="00EC4DDD">
        <w:t xml:space="preserve">data </w:t>
      </w:r>
      <w:r w:rsidR="00F4431E">
        <w:t>covered all spaces in schools, including higher ventilation area</w:t>
      </w:r>
      <w:r w:rsidR="002B2A14">
        <w:t>s</w:t>
      </w:r>
      <w:r w:rsidR="00F4431E">
        <w:t xml:space="preserve"> like auditoriums, gymnasiums, and cafeterias.  </w:t>
      </w:r>
      <w:r w:rsidR="00DB0EBE">
        <w:t xml:space="preserve"> </w:t>
      </w:r>
      <w:r w:rsidR="00E13138">
        <w:t xml:space="preserve"> </w:t>
      </w:r>
    </w:p>
    <w:p w14:paraId="509BB834" w14:textId="77777777" w:rsidR="00C2076B" w:rsidRDefault="005B5BAF" w:rsidP="00C2076B">
      <w:pPr>
        <w:keepNext/>
      </w:pPr>
      <w:r>
        <w:rPr>
          <w:noProof/>
        </w:rPr>
        <w:drawing>
          <wp:inline distT="0" distB="0" distL="0" distR="0" wp14:anchorId="66C5C44B" wp14:editId="4EF33888">
            <wp:extent cx="5939790" cy="2616200"/>
            <wp:effectExtent l="0" t="0" r="3810" b="0"/>
            <wp:docPr id="1557233776" name="Picture 155723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790" cy="2616200"/>
                    </a:xfrm>
                    <a:prstGeom prst="rect">
                      <a:avLst/>
                    </a:prstGeom>
                    <a:noFill/>
                    <a:ln>
                      <a:noFill/>
                    </a:ln>
                  </pic:spPr>
                </pic:pic>
              </a:graphicData>
            </a:graphic>
          </wp:inline>
        </w:drawing>
      </w:r>
    </w:p>
    <w:p w14:paraId="57478ACC" w14:textId="02AC1197" w:rsidR="00121E94" w:rsidRDefault="00C2076B" w:rsidP="002B2A14">
      <w:pPr>
        <w:pStyle w:val="Caption"/>
        <w:rPr>
          <w:color w:val="000000" w:themeColor="text1"/>
        </w:rPr>
      </w:pPr>
      <w:bookmarkStart w:id="11" w:name="_Ref152829798"/>
      <w:r w:rsidRPr="00C2076B">
        <w:rPr>
          <w:color w:val="000000" w:themeColor="text1"/>
        </w:rPr>
        <w:t xml:space="preserve">Figure </w:t>
      </w:r>
      <w:r w:rsidRPr="00C2076B">
        <w:rPr>
          <w:color w:val="000000" w:themeColor="text1"/>
        </w:rPr>
        <w:fldChar w:fldCharType="begin"/>
      </w:r>
      <w:r w:rsidRPr="00C2076B">
        <w:rPr>
          <w:color w:val="000000" w:themeColor="text1"/>
        </w:rPr>
        <w:instrText xml:space="preserve"> SEQ Figure \* ARABIC </w:instrText>
      </w:r>
      <w:r w:rsidRPr="00C2076B">
        <w:rPr>
          <w:color w:val="000000" w:themeColor="text1"/>
        </w:rPr>
        <w:fldChar w:fldCharType="separate"/>
      </w:r>
      <w:r w:rsidR="00F0583D">
        <w:rPr>
          <w:noProof/>
          <w:color w:val="000000" w:themeColor="text1"/>
        </w:rPr>
        <w:t>11</w:t>
      </w:r>
      <w:r w:rsidRPr="00C2076B">
        <w:rPr>
          <w:color w:val="000000" w:themeColor="text1"/>
        </w:rPr>
        <w:fldChar w:fldCharType="end"/>
      </w:r>
      <w:bookmarkEnd w:id="11"/>
      <w:r w:rsidRPr="00C2076B">
        <w:rPr>
          <w:color w:val="000000" w:themeColor="text1"/>
        </w:rPr>
        <w:t>: Natural gas comparison by building type; schools only, after removing night ventilation functionality.</w:t>
      </w:r>
    </w:p>
    <w:p w14:paraId="48737758" w14:textId="77777777" w:rsidR="00477480" w:rsidRDefault="00477480" w:rsidP="00477480"/>
    <w:p w14:paraId="3DF5CE4A" w14:textId="71FAED9F" w:rsidR="00477480" w:rsidRPr="00477480" w:rsidRDefault="00477480" w:rsidP="00477480"/>
    <w:p w14:paraId="72CF3DCE" w14:textId="26A7B688" w:rsidR="003637C3" w:rsidRPr="003637C3" w:rsidRDefault="003637C3" w:rsidP="003637C3"/>
    <w:p w14:paraId="5334B332" w14:textId="77777777" w:rsidR="00FC0FA7" w:rsidRPr="00FC0FA7" w:rsidRDefault="00FC0FA7" w:rsidP="00FC0FA7"/>
    <w:p w14:paraId="405BD749" w14:textId="77777777" w:rsidR="00FC0FA7" w:rsidRDefault="00FC0FA7" w:rsidP="00121E94">
      <w:pPr>
        <w:jc w:val="center"/>
        <w:rPr>
          <w:noProof/>
          <w:highlight w:val="yellow"/>
        </w:rPr>
      </w:pPr>
    </w:p>
    <w:p w14:paraId="1D825374" w14:textId="2B318000" w:rsidR="00F562B8" w:rsidRPr="003A0F9A" w:rsidRDefault="00F562B8" w:rsidP="00121E94">
      <w:pPr>
        <w:jc w:val="center"/>
        <w:rPr>
          <w:highlight w:val="yellow"/>
        </w:rPr>
      </w:pPr>
    </w:p>
    <w:p w14:paraId="0679AC87" w14:textId="77777777" w:rsidR="00C1709E" w:rsidRPr="003A0F9A" w:rsidRDefault="00C1709E" w:rsidP="005F34E7">
      <w:pPr>
        <w:rPr>
          <w:highlight w:val="yellow"/>
        </w:rPr>
      </w:pPr>
    </w:p>
    <w:sectPr w:rsidR="00C1709E" w:rsidRPr="003A0F9A" w:rsidSect="004D7C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29B57" w14:textId="77777777" w:rsidR="00070C3F" w:rsidRDefault="00070C3F" w:rsidP="000F449D">
      <w:pPr>
        <w:spacing w:before="0" w:after="0" w:line="240" w:lineRule="auto"/>
      </w:pPr>
      <w:r>
        <w:separator/>
      </w:r>
    </w:p>
  </w:endnote>
  <w:endnote w:type="continuationSeparator" w:id="0">
    <w:p w14:paraId="4F215464" w14:textId="77777777" w:rsidR="00070C3F" w:rsidRDefault="00070C3F" w:rsidP="000F449D">
      <w:pPr>
        <w:spacing w:before="0" w:after="0" w:line="240" w:lineRule="auto"/>
      </w:pPr>
      <w:r>
        <w:continuationSeparator/>
      </w:r>
    </w:p>
  </w:endnote>
  <w:endnote w:type="continuationNotice" w:id="1">
    <w:p w14:paraId="7FF1C078" w14:textId="77777777" w:rsidR="00070C3F" w:rsidRDefault="00070C3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D038B" w14:textId="77777777" w:rsidR="00070C3F" w:rsidRDefault="00070C3F" w:rsidP="000F449D">
      <w:pPr>
        <w:spacing w:before="0" w:after="0" w:line="240" w:lineRule="auto"/>
      </w:pPr>
      <w:r>
        <w:separator/>
      </w:r>
    </w:p>
  </w:footnote>
  <w:footnote w:type="continuationSeparator" w:id="0">
    <w:p w14:paraId="33DBFD70" w14:textId="77777777" w:rsidR="00070C3F" w:rsidRDefault="00070C3F" w:rsidP="000F449D">
      <w:pPr>
        <w:spacing w:before="0" w:after="0" w:line="240" w:lineRule="auto"/>
      </w:pPr>
      <w:r>
        <w:continuationSeparator/>
      </w:r>
    </w:p>
  </w:footnote>
  <w:footnote w:type="continuationNotice" w:id="1">
    <w:p w14:paraId="3BCD55BF" w14:textId="77777777" w:rsidR="00070C3F" w:rsidRDefault="00070C3F">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45A7"/>
    <w:multiLevelType w:val="hybridMultilevel"/>
    <w:tmpl w:val="94E6E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F47370"/>
    <w:multiLevelType w:val="hybridMultilevel"/>
    <w:tmpl w:val="DC60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0E5A7E"/>
    <w:multiLevelType w:val="hybridMultilevel"/>
    <w:tmpl w:val="CFA457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34033699">
    <w:abstractNumId w:val="2"/>
  </w:num>
  <w:num w:numId="2" w16cid:durableId="1461411727">
    <w:abstractNumId w:val="0"/>
  </w:num>
  <w:num w:numId="3" w16cid:durableId="601953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DDA"/>
    <w:rsid w:val="00002895"/>
    <w:rsid w:val="00003814"/>
    <w:rsid w:val="00004AAA"/>
    <w:rsid w:val="00005316"/>
    <w:rsid w:val="00005AB8"/>
    <w:rsid w:val="00013667"/>
    <w:rsid w:val="00015342"/>
    <w:rsid w:val="000159C9"/>
    <w:rsid w:val="00016BF5"/>
    <w:rsid w:val="00016E96"/>
    <w:rsid w:val="00021EC1"/>
    <w:rsid w:val="000225A0"/>
    <w:rsid w:val="000253AB"/>
    <w:rsid w:val="00026205"/>
    <w:rsid w:val="00026E97"/>
    <w:rsid w:val="00027918"/>
    <w:rsid w:val="0003532F"/>
    <w:rsid w:val="00036EA1"/>
    <w:rsid w:val="000425A1"/>
    <w:rsid w:val="00043494"/>
    <w:rsid w:val="000434FD"/>
    <w:rsid w:val="00043500"/>
    <w:rsid w:val="00045592"/>
    <w:rsid w:val="000464C7"/>
    <w:rsid w:val="00051EAF"/>
    <w:rsid w:val="0005593E"/>
    <w:rsid w:val="00061F03"/>
    <w:rsid w:val="00063413"/>
    <w:rsid w:val="00064621"/>
    <w:rsid w:val="00067797"/>
    <w:rsid w:val="00070C3F"/>
    <w:rsid w:val="000746CF"/>
    <w:rsid w:val="00081F9A"/>
    <w:rsid w:val="00085B6F"/>
    <w:rsid w:val="00085C4F"/>
    <w:rsid w:val="00085D51"/>
    <w:rsid w:val="00087374"/>
    <w:rsid w:val="000913CB"/>
    <w:rsid w:val="00091E8D"/>
    <w:rsid w:val="000922D8"/>
    <w:rsid w:val="0009332B"/>
    <w:rsid w:val="0009483C"/>
    <w:rsid w:val="000A0573"/>
    <w:rsid w:val="000A1E80"/>
    <w:rsid w:val="000A2FB6"/>
    <w:rsid w:val="000A66FC"/>
    <w:rsid w:val="000A7C62"/>
    <w:rsid w:val="000B2C29"/>
    <w:rsid w:val="000B73BE"/>
    <w:rsid w:val="000B7D4F"/>
    <w:rsid w:val="000C2175"/>
    <w:rsid w:val="000C218E"/>
    <w:rsid w:val="000C4134"/>
    <w:rsid w:val="000C50C6"/>
    <w:rsid w:val="000C64BB"/>
    <w:rsid w:val="000D253F"/>
    <w:rsid w:val="000D45DF"/>
    <w:rsid w:val="000D638B"/>
    <w:rsid w:val="000D7CAD"/>
    <w:rsid w:val="000E473E"/>
    <w:rsid w:val="000E69E9"/>
    <w:rsid w:val="000F2417"/>
    <w:rsid w:val="000F449D"/>
    <w:rsid w:val="000F6C66"/>
    <w:rsid w:val="000F7CBB"/>
    <w:rsid w:val="00100313"/>
    <w:rsid w:val="00102140"/>
    <w:rsid w:val="00103273"/>
    <w:rsid w:val="00107749"/>
    <w:rsid w:val="00110EA1"/>
    <w:rsid w:val="001113EA"/>
    <w:rsid w:val="00111DFD"/>
    <w:rsid w:val="0011213E"/>
    <w:rsid w:val="001139D5"/>
    <w:rsid w:val="001156C1"/>
    <w:rsid w:val="001171DC"/>
    <w:rsid w:val="001204E4"/>
    <w:rsid w:val="00121082"/>
    <w:rsid w:val="00121E94"/>
    <w:rsid w:val="001238B2"/>
    <w:rsid w:val="00124596"/>
    <w:rsid w:val="00125061"/>
    <w:rsid w:val="001266CE"/>
    <w:rsid w:val="00133706"/>
    <w:rsid w:val="00134AE1"/>
    <w:rsid w:val="00136CA4"/>
    <w:rsid w:val="0013700D"/>
    <w:rsid w:val="00137449"/>
    <w:rsid w:val="00137F76"/>
    <w:rsid w:val="0014187B"/>
    <w:rsid w:val="0014326D"/>
    <w:rsid w:val="00143E08"/>
    <w:rsid w:val="00146BC7"/>
    <w:rsid w:val="001471E2"/>
    <w:rsid w:val="001521FF"/>
    <w:rsid w:val="001720C1"/>
    <w:rsid w:val="0017617C"/>
    <w:rsid w:val="00176A3D"/>
    <w:rsid w:val="001772EE"/>
    <w:rsid w:val="0017748C"/>
    <w:rsid w:val="00177630"/>
    <w:rsid w:val="00181EA2"/>
    <w:rsid w:val="00184B8B"/>
    <w:rsid w:val="001908A1"/>
    <w:rsid w:val="001943A1"/>
    <w:rsid w:val="001A1643"/>
    <w:rsid w:val="001A6ACC"/>
    <w:rsid w:val="001B05C5"/>
    <w:rsid w:val="001B2B26"/>
    <w:rsid w:val="001B45A0"/>
    <w:rsid w:val="001B6DC3"/>
    <w:rsid w:val="001B7243"/>
    <w:rsid w:val="001C1F24"/>
    <w:rsid w:val="001C3520"/>
    <w:rsid w:val="001C372D"/>
    <w:rsid w:val="001C4157"/>
    <w:rsid w:val="001C4F03"/>
    <w:rsid w:val="001C751A"/>
    <w:rsid w:val="001D19F7"/>
    <w:rsid w:val="001D1E6A"/>
    <w:rsid w:val="001D3378"/>
    <w:rsid w:val="001D377D"/>
    <w:rsid w:val="001D5048"/>
    <w:rsid w:val="001D553C"/>
    <w:rsid w:val="001E1B5E"/>
    <w:rsid w:val="001E20AE"/>
    <w:rsid w:val="001E3B8F"/>
    <w:rsid w:val="001E5B07"/>
    <w:rsid w:val="001F1B7B"/>
    <w:rsid w:val="001F308B"/>
    <w:rsid w:val="001F5328"/>
    <w:rsid w:val="00203FA5"/>
    <w:rsid w:val="002042BF"/>
    <w:rsid w:val="00204527"/>
    <w:rsid w:val="002055BB"/>
    <w:rsid w:val="0020684F"/>
    <w:rsid w:val="00211237"/>
    <w:rsid w:val="00220CDC"/>
    <w:rsid w:val="002216F4"/>
    <w:rsid w:val="00225628"/>
    <w:rsid w:val="00231D07"/>
    <w:rsid w:val="0023376D"/>
    <w:rsid w:val="00236509"/>
    <w:rsid w:val="0024239B"/>
    <w:rsid w:val="00247CA7"/>
    <w:rsid w:val="002507CE"/>
    <w:rsid w:val="00252206"/>
    <w:rsid w:val="00252F7B"/>
    <w:rsid w:val="00255906"/>
    <w:rsid w:val="002574BF"/>
    <w:rsid w:val="00260883"/>
    <w:rsid w:val="00262660"/>
    <w:rsid w:val="00263F2E"/>
    <w:rsid w:val="0026477F"/>
    <w:rsid w:val="002675E0"/>
    <w:rsid w:val="00267740"/>
    <w:rsid w:val="002679A2"/>
    <w:rsid w:val="00274843"/>
    <w:rsid w:val="002749A3"/>
    <w:rsid w:val="00277DF3"/>
    <w:rsid w:val="00280DBD"/>
    <w:rsid w:val="00283BF8"/>
    <w:rsid w:val="00283C5F"/>
    <w:rsid w:val="0029302E"/>
    <w:rsid w:val="002965CE"/>
    <w:rsid w:val="002A2914"/>
    <w:rsid w:val="002A4ACE"/>
    <w:rsid w:val="002A5C2B"/>
    <w:rsid w:val="002A5C9B"/>
    <w:rsid w:val="002B1291"/>
    <w:rsid w:val="002B2A14"/>
    <w:rsid w:val="002B2FDB"/>
    <w:rsid w:val="002B5550"/>
    <w:rsid w:val="002B5A5F"/>
    <w:rsid w:val="002B6400"/>
    <w:rsid w:val="002B687E"/>
    <w:rsid w:val="002B6F5F"/>
    <w:rsid w:val="002C118D"/>
    <w:rsid w:val="002C1F64"/>
    <w:rsid w:val="002C21B1"/>
    <w:rsid w:val="002C6EF8"/>
    <w:rsid w:val="002D08BE"/>
    <w:rsid w:val="002D1C18"/>
    <w:rsid w:val="002D26B4"/>
    <w:rsid w:val="002D2F8E"/>
    <w:rsid w:val="002D749B"/>
    <w:rsid w:val="002E2D5A"/>
    <w:rsid w:val="002F3D06"/>
    <w:rsid w:val="002F7ED7"/>
    <w:rsid w:val="00300467"/>
    <w:rsid w:val="003115B2"/>
    <w:rsid w:val="003125B0"/>
    <w:rsid w:val="00314C7A"/>
    <w:rsid w:val="00320219"/>
    <w:rsid w:val="00324F7A"/>
    <w:rsid w:val="00327931"/>
    <w:rsid w:val="00330740"/>
    <w:rsid w:val="00330D0A"/>
    <w:rsid w:val="003335A0"/>
    <w:rsid w:val="0033422C"/>
    <w:rsid w:val="00334F8F"/>
    <w:rsid w:val="00337255"/>
    <w:rsid w:val="00342096"/>
    <w:rsid w:val="00345F8E"/>
    <w:rsid w:val="00352409"/>
    <w:rsid w:val="003549F4"/>
    <w:rsid w:val="00356B69"/>
    <w:rsid w:val="0036011D"/>
    <w:rsid w:val="0036018C"/>
    <w:rsid w:val="0036204E"/>
    <w:rsid w:val="00362E78"/>
    <w:rsid w:val="003634A8"/>
    <w:rsid w:val="003637C3"/>
    <w:rsid w:val="00363C80"/>
    <w:rsid w:val="00363CEF"/>
    <w:rsid w:val="003643C2"/>
    <w:rsid w:val="00365EA4"/>
    <w:rsid w:val="0036619C"/>
    <w:rsid w:val="00372528"/>
    <w:rsid w:val="00374E09"/>
    <w:rsid w:val="00375A28"/>
    <w:rsid w:val="003767C2"/>
    <w:rsid w:val="00384E17"/>
    <w:rsid w:val="0038724D"/>
    <w:rsid w:val="003878D8"/>
    <w:rsid w:val="00391361"/>
    <w:rsid w:val="00391FF2"/>
    <w:rsid w:val="00392968"/>
    <w:rsid w:val="00393E5E"/>
    <w:rsid w:val="003974D2"/>
    <w:rsid w:val="003A05F2"/>
    <w:rsid w:val="003A0F9A"/>
    <w:rsid w:val="003A5977"/>
    <w:rsid w:val="003A7228"/>
    <w:rsid w:val="003A7D67"/>
    <w:rsid w:val="003B333C"/>
    <w:rsid w:val="003B35E9"/>
    <w:rsid w:val="003B4C71"/>
    <w:rsid w:val="003B6F6F"/>
    <w:rsid w:val="003B7485"/>
    <w:rsid w:val="003C1F38"/>
    <w:rsid w:val="003C21ED"/>
    <w:rsid w:val="003F2C2A"/>
    <w:rsid w:val="003F3B2A"/>
    <w:rsid w:val="003F6ACD"/>
    <w:rsid w:val="00400420"/>
    <w:rsid w:val="00401A56"/>
    <w:rsid w:val="0040338C"/>
    <w:rsid w:val="0040541B"/>
    <w:rsid w:val="00406911"/>
    <w:rsid w:val="004108E5"/>
    <w:rsid w:val="00411062"/>
    <w:rsid w:val="00413A8C"/>
    <w:rsid w:val="00415665"/>
    <w:rsid w:val="004164BC"/>
    <w:rsid w:val="004169FE"/>
    <w:rsid w:val="00422FA3"/>
    <w:rsid w:val="004257DC"/>
    <w:rsid w:val="004279E6"/>
    <w:rsid w:val="00431095"/>
    <w:rsid w:val="004312F2"/>
    <w:rsid w:val="004344AA"/>
    <w:rsid w:val="004371B2"/>
    <w:rsid w:val="004423AB"/>
    <w:rsid w:val="004450C6"/>
    <w:rsid w:val="00445B12"/>
    <w:rsid w:val="00447513"/>
    <w:rsid w:val="00451306"/>
    <w:rsid w:val="00451D2A"/>
    <w:rsid w:val="00451D70"/>
    <w:rsid w:val="004523D4"/>
    <w:rsid w:val="00452A4A"/>
    <w:rsid w:val="00453114"/>
    <w:rsid w:val="00453BB4"/>
    <w:rsid w:val="00457296"/>
    <w:rsid w:val="00457304"/>
    <w:rsid w:val="00457745"/>
    <w:rsid w:val="0046383D"/>
    <w:rsid w:val="00463966"/>
    <w:rsid w:val="00465AFA"/>
    <w:rsid w:val="00466AAB"/>
    <w:rsid w:val="0047279D"/>
    <w:rsid w:val="004735A3"/>
    <w:rsid w:val="00477480"/>
    <w:rsid w:val="004826D7"/>
    <w:rsid w:val="00485E00"/>
    <w:rsid w:val="0048617E"/>
    <w:rsid w:val="004943B3"/>
    <w:rsid w:val="004955C1"/>
    <w:rsid w:val="004965EB"/>
    <w:rsid w:val="004A050C"/>
    <w:rsid w:val="004A27E8"/>
    <w:rsid w:val="004A29C9"/>
    <w:rsid w:val="004A581C"/>
    <w:rsid w:val="004A5EAA"/>
    <w:rsid w:val="004A69E9"/>
    <w:rsid w:val="004A72E5"/>
    <w:rsid w:val="004B2E90"/>
    <w:rsid w:val="004B458F"/>
    <w:rsid w:val="004B5B2A"/>
    <w:rsid w:val="004B7EDE"/>
    <w:rsid w:val="004C0199"/>
    <w:rsid w:val="004C073E"/>
    <w:rsid w:val="004D6B4D"/>
    <w:rsid w:val="004D75E4"/>
    <w:rsid w:val="004D796C"/>
    <w:rsid w:val="004D79AE"/>
    <w:rsid w:val="004D7CFC"/>
    <w:rsid w:val="004E0ED7"/>
    <w:rsid w:val="004E2ED7"/>
    <w:rsid w:val="004E33D0"/>
    <w:rsid w:val="004E71A4"/>
    <w:rsid w:val="004F0635"/>
    <w:rsid w:val="004F2C0B"/>
    <w:rsid w:val="004F3428"/>
    <w:rsid w:val="004F58EE"/>
    <w:rsid w:val="00500551"/>
    <w:rsid w:val="00501A57"/>
    <w:rsid w:val="005117A8"/>
    <w:rsid w:val="00513EF8"/>
    <w:rsid w:val="00516723"/>
    <w:rsid w:val="005310A7"/>
    <w:rsid w:val="00534777"/>
    <w:rsid w:val="0053528D"/>
    <w:rsid w:val="00535514"/>
    <w:rsid w:val="00537FDA"/>
    <w:rsid w:val="0054224B"/>
    <w:rsid w:val="005429EE"/>
    <w:rsid w:val="00545AED"/>
    <w:rsid w:val="005525A3"/>
    <w:rsid w:val="0055462A"/>
    <w:rsid w:val="00555B89"/>
    <w:rsid w:val="00561537"/>
    <w:rsid w:val="0056200B"/>
    <w:rsid w:val="00562C60"/>
    <w:rsid w:val="005662EF"/>
    <w:rsid w:val="005670C5"/>
    <w:rsid w:val="00567475"/>
    <w:rsid w:val="00577CCF"/>
    <w:rsid w:val="0058067E"/>
    <w:rsid w:val="00582833"/>
    <w:rsid w:val="00586F66"/>
    <w:rsid w:val="005921AC"/>
    <w:rsid w:val="00592610"/>
    <w:rsid w:val="00594765"/>
    <w:rsid w:val="00594D7B"/>
    <w:rsid w:val="00595B5D"/>
    <w:rsid w:val="005A3699"/>
    <w:rsid w:val="005A43D5"/>
    <w:rsid w:val="005A7723"/>
    <w:rsid w:val="005B2468"/>
    <w:rsid w:val="005B5BAF"/>
    <w:rsid w:val="005B5FC9"/>
    <w:rsid w:val="005C5705"/>
    <w:rsid w:val="005D0274"/>
    <w:rsid w:val="005D0D6C"/>
    <w:rsid w:val="005D1AB1"/>
    <w:rsid w:val="005D77A2"/>
    <w:rsid w:val="005E3842"/>
    <w:rsid w:val="005E6E98"/>
    <w:rsid w:val="005E744F"/>
    <w:rsid w:val="005F085F"/>
    <w:rsid w:val="005F2973"/>
    <w:rsid w:val="005F34E7"/>
    <w:rsid w:val="005F73B9"/>
    <w:rsid w:val="0060412A"/>
    <w:rsid w:val="0060507E"/>
    <w:rsid w:val="00612A06"/>
    <w:rsid w:val="006143D4"/>
    <w:rsid w:val="0061534B"/>
    <w:rsid w:val="00615414"/>
    <w:rsid w:val="0062140F"/>
    <w:rsid w:val="00624170"/>
    <w:rsid w:val="00625755"/>
    <w:rsid w:val="00625CC1"/>
    <w:rsid w:val="00625FC7"/>
    <w:rsid w:val="00626EC1"/>
    <w:rsid w:val="00627679"/>
    <w:rsid w:val="00627806"/>
    <w:rsid w:val="00630DBC"/>
    <w:rsid w:val="00636992"/>
    <w:rsid w:val="006426D5"/>
    <w:rsid w:val="0064465F"/>
    <w:rsid w:val="00652741"/>
    <w:rsid w:val="00653FC2"/>
    <w:rsid w:val="00657102"/>
    <w:rsid w:val="00657616"/>
    <w:rsid w:val="00665D92"/>
    <w:rsid w:val="00666B08"/>
    <w:rsid w:val="006707D4"/>
    <w:rsid w:val="00670BC2"/>
    <w:rsid w:val="006729BF"/>
    <w:rsid w:val="00672D5F"/>
    <w:rsid w:val="00674E7A"/>
    <w:rsid w:val="006762D3"/>
    <w:rsid w:val="00682F44"/>
    <w:rsid w:val="00683533"/>
    <w:rsid w:val="00686614"/>
    <w:rsid w:val="006871D3"/>
    <w:rsid w:val="00687832"/>
    <w:rsid w:val="00692041"/>
    <w:rsid w:val="006945FA"/>
    <w:rsid w:val="0069472F"/>
    <w:rsid w:val="00695E4E"/>
    <w:rsid w:val="006A389E"/>
    <w:rsid w:val="006A79B7"/>
    <w:rsid w:val="006B1536"/>
    <w:rsid w:val="006B18CE"/>
    <w:rsid w:val="006B2C7F"/>
    <w:rsid w:val="006B2D10"/>
    <w:rsid w:val="006B3AE3"/>
    <w:rsid w:val="006B58FE"/>
    <w:rsid w:val="006B63AC"/>
    <w:rsid w:val="006B6883"/>
    <w:rsid w:val="006C13F3"/>
    <w:rsid w:val="006C236B"/>
    <w:rsid w:val="006C240B"/>
    <w:rsid w:val="006C6468"/>
    <w:rsid w:val="006D573B"/>
    <w:rsid w:val="006D628C"/>
    <w:rsid w:val="006E525F"/>
    <w:rsid w:val="006E5571"/>
    <w:rsid w:val="006E74F8"/>
    <w:rsid w:val="006E7B4F"/>
    <w:rsid w:val="006F0B07"/>
    <w:rsid w:val="006F346E"/>
    <w:rsid w:val="006F4F14"/>
    <w:rsid w:val="006F6907"/>
    <w:rsid w:val="007069C5"/>
    <w:rsid w:val="0070768E"/>
    <w:rsid w:val="007125F6"/>
    <w:rsid w:val="00717F96"/>
    <w:rsid w:val="00720C80"/>
    <w:rsid w:val="007237BE"/>
    <w:rsid w:val="007242E0"/>
    <w:rsid w:val="007265B3"/>
    <w:rsid w:val="00751984"/>
    <w:rsid w:val="0075293E"/>
    <w:rsid w:val="007624F1"/>
    <w:rsid w:val="00766EE1"/>
    <w:rsid w:val="00767516"/>
    <w:rsid w:val="007717D5"/>
    <w:rsid w:val="00771D88"/>
    <w:rsid w:val="0077696B"/>
    <w:rsid w:val="00781543"/>
    <w:rsid w:val="0079015E"/>
    <w:rsid w:val="00790697"/>
    <w:rsid w:val="007943B6"/>
    <w:rsid w:val="0079471B"/>
    <w:rsid w:val="0079650A"/>
    <w:rsid w:val="007A3237"/>
    <w:rsid w:val="007B46E2"/>
    <w:rsid w:val="007B565A"/>
    <w:rsid w:val="007B69F2"/>
    <w:rsid w:val="007B6CB6"/>
    <w:rsid w:val="007C00CB"/>
    <w:rsid w:val="007C3D75"/>
    <w:rsid w:val="007D09C8"/>
    <w:rsid w:val="007D0D5E"/>
    <w:rsid w:val="007D17B5"/>
    <w:rsid w:val="007E1FCD"/>
    <w:rsid w:val="007E2867"/>
    <w:rsid w:val="007E2E42"/>
    <w:rsid w:val="007E495C"/>
    <w:rsid w:val="007E5510"/>
    <w:rsid w:val="007E638D"/>
    <w:rsid w:val="007E75D7"/>
    <w:rsid w:val="007F30F2"/>
    <w:rsid w:val="007F3C7E"/>
    <w:rsid w:val="007F41B6"/>
    <w:rsid w:val="007F5D53"/>
    <w:rsid w:val="007F66DD"/>
    <w:rsid w:val="007F7480"/>
    <w:rsid w:val="007F7FA8"/>
    <w:rsid w:val="00801D03"/>
    <w:rsid w:val="00804207"/>
    <w:rsid w:val="00804B38"/>
    <w:rsid w:val="00804DA2"/>
    <w:rsid w:val="00805AE4"/>
    <w:rsid w:val="00805F4E"/>
    <w:rsid w:val="008073C0"/>
    <w:rsid w:val="0082022D"/>
    <w:rsid w:val="00821A4F"/>
    <w:rsid w:val="00821F6F"/>
    <w:rsid w:val="00823065"/>
    <w:rsid w:val="00825C96"/>
    <w:rsid w:val="00827053"/>
    <w:rsid w:val="00830ADA"/>
    <w:rsid w:val="0083301E"/>
    <w:rsid w:val="00833970"/>
    <w:rsid w:val="008349C5"/>
    <w:rsid w:val="0083506A"/>
    <w:rsid w:val="008359BC"/>
    <w:rsid w:val="008368DC"/>
    <w:rsid w:val="008413EB"/>
    <w:rsid w:val="0084474C"/>
    <w:rsid w:val="00845035"/>
    <w:rsid w:val="00845A60"/>
    <w:rsid w:val="00846F29"/>
    <w:rsid w:val="0084748C"/>
    <w:rsid w:val="00852131"/>
    <w:rsid w:val="008552FA"/>
    <w:rsid w:val="00855A8E"/>
    <w:rsid w:val="00856BC7"/>
    <w:rsid w:val="00863C5D"/>
    <w:rsid w:val="00870931"/>
    <w:rsid w:val="00871BD7"/>
    <w:rsid w:val="00874821"/>
    <w:rsid w:val="0087618A"/>
    <w:rsid w:val="0087683E"/>
    <w:rsid w:val="00881681"/>
    <w:rsid w:val="00885612"/>
    <w:rsid w:val="00890287"/>
    <w:rsid w:val="00890F96"/>
    <w:rsid w:val="00891984"/>
    <w:rsid w:val="00891D97"/>
    <w:rsid w:val="008927AE"/>
    <w:rsid w:val="00894BD6"/>
    <w:rsid w:val="008954E2"/>
    <w:rsid w:val="008A0806"/>
    <w:rsid w:val="008A5EEB"/>
    <w:rsid w:val="008A7BB4"/>
    <w:rsid w:val="008A7F24"/>
    <w:rsid w:val="008B02D6"/>
    <w:rsid w:val="008B0D37"/>
    <w:rsid w:val="008B628C"/>
    <w:rsid w:val="008C0F0B"/>
    <w:rsid w:val="008C12BC"/>
    <w:rsid w:val="008C2AE3"/>
    <w:rsid w:val="008C6B84"/>
    <w:rsid w:val="008C6F67"/>
    <w:rsid w:val="008C7931"/>
    <w:rsid w:val="008D442D"/>
    <w:rsid w:val="008D4827"/>
    <w:rsid w:val="008D5747"/>
    <w:rsid w:val="008E0CD2"/>
    <w:rsid w:val="008E30CA"/>
    <w:rsid w:val="008E3E59"/>
    <w:rsid w:val="008E43CF"/>
    <w:rsid w:val="008F1109"/>
    <w:rsid w:val="008F3138"/>
    <w:rsid w:val="008F4EC3"/>
    <w:rsid w:val="008F512B"/>
    <w:rsid w:val="00901C08"/>
    <w:rsid w:val="00903B36"/>
    <w:rsid w:val="009062BC"/>
    <w:rsid w:val="0090679D"/>
    <w:rsid w:val="009111C4"/>
    <w:rsid w:val="00916529"/>
    <w:rsid w:val="0091789A"/>
    <w:rsid w:val="0092234A"/>
    <w:rsid w:val="009257DC"/>
    <w:rsid w:val="009275BF"/>
    <w:rsid w:val="00927FB3"/>
    <w:rsid w:val="00931DF9"/>
    <w:rsid w:val="00932281"/>
    <w:rsid w:val="00932BB2"/>
    <w:rsid w:val="00933609"/>
    <w:rsid w:val="00934548"/>
    <w:rsid w:val="00935455"/>
    <w:rsid w:val="009363E7"/>
    <w:rsid w:val="0093663A"/>
    <w:rsid w:val="00940E0C"/>
    <w:rsid w:val="0094164D"/>
    <w:rsid w:val="00943AF8"/>
    <w:rsid w:val="009456B1"/>
    <w:rsid w:val="00946BD0"/>
    <w:rsid w:val="009522B7"/>
    <w:rsid w:val="0095551E"/>
    <w:rsid w:val="00956552"/>
    <w:rsid w:val="00957FC9"/>
    <w:rsid w:val="00960F27"/>
    <w:rsid w:val="00960FD6"/>
    <w:rsid w:val="00961725"/>
    <w:rsid w:val="00966CE0"/>
    <w:rsid w:val="009741D4"/>
    <w:rsid w:val="0097643E"/>
    <w:rsid w:val="009772AE"/>
    <w:rsid w:val="009779A3"/>
    <w:rsid w:val="00977BF6"/>
    <w:rsid w:val="0098089A"/>
    <w:rsid w:val="00984550"/>
    <w:rsid w:val="009871C6"/>
    <w:rsid w:val="0099244D"/>
    <w:rsid w:val="00993019"/>
    <w:rsid w:val="009971EB"/>
    <w:rsid w:val="009B3DF7"/>
    <w:rsid w:val="009B5A52"/>
    <w:rsid w:val="009B67E6"/>
    <w:rsid w:val="009C030D"/>
    <w:rsid w:val="009C3569"/>
    <w:rsid w:val="009C4EA1"/>
    <w:rsid w:val="009C7C03"/>
    <w:rsid w:val="009D041F"/>
    <w:rsid w:val="009D0F8D"/>
    <w:rsid w:val="009D25FF"/>
    <w:rsid w:val="009D2D43"/>
    <w:rsid w:val="009D3182"/>
    <w:rsid w:val="009D37EB"/>
    <w:rsid w:val="009D4232"/>
    <w:rsid w:val="009D4B02"/>
    <w:rsid w:val="009D6B77"/>
    <w:rsid w:val="009E2D80"/>
    <w:rsid w:val="009E3F20"/>
    <w:rsid w:val="009E41EE"/>
    <w:rsid w:val="009E5AF4"/>
    <w:rsid w:val="009F27BB"/>
    <w:rsid w:val="009F4702"/>
    <w:rsid w:val="009F582D"/>
    <w:rsid w:val="009F72FD"/>
    <w:rsid w:val="009F7843"/>
    <w:rsid w:val="00A039BC"/>
    <w:rsid w:val="00A06400"/>
    <w:rsid w:val="00A070FE"/>
    <w:rsid w:val="00A135BA"/>
    <w:rsid w:val="00A14BFF"/>
    <w:rsid w:val="00A17141"/>
    <w:rsid w:val="00A177B7"/>
    <w:rsid w:val="00A17DC5"/>
    <w:rsid w:val="00A22BC2"/>
    <w:rsid w:val="00A24D4B"/>
    <w:rsid w:val="00A32866"/>
    <w:rsid w:val="00A3485A"/>
    <w:rsid w:val="00A35C5B"/>
    <w:rsid w:val="00A37764"/>
    <w:rsid w:val="00A40143"/>
    <w:rsid w:val="00A41B58"/>
    <w:rsid w:val="00A41BBE"/>
    <w:rsid w:val="00A45721"/>
    <w:rsid w:val="00A45F81"/>
    <w:rsid w:val="00A47D95"/>
    <w:rsid w:val="00A51186"/>
    <w:rsid w:val="00A610F7"/>
    <w:rsid w:val="00A63C05"/>
    <w:rsid w:val="00A63E86"/>
    <w:rsid w:val="00A64374"/>
    <w:rsid w:val="00A73268"/>
    <w:rsid w:val="00A75F19"/>
    <w:rsid w:val="00A761F6"/>
    <w:rsid w:val="00A76B8D"/>
    <w:rsid w:val="00A81333"/>
    <w:rsid w:val="00A81E48"/>
    <w:rsid w:val="00A82AB8"/>
    <w:rsid w:val="00A85610"/>
    <w:rsid w:val="00A907DA"/>
    <w:rsid w:val="00A917DF"/>
    <w:rsid w:val="00A938F4"/>
    <w:rsid w:val="00A9511F"/>
    <w:rsid w:val="00AA4DF6"/>
    <w:rsid w:val="00AA7D40"/>
    <w:rsid w:val="00AB02FA"/>
    <w:rsid w:val="00AB1081"/>
    <w:rsid w:val="00AB1611"/>
    <w:rsid w:val="00AB18CC"/>
    <w:rsid w:val="00AB4E2C"/>
    <w:rsid w:val="00AB5583"/>
    <w:rsid w:val="00AB71E9"/>
    <w:rsid w:val="00AD1FE2"/>
    <w:rsid w:val="00AD4974"/>
    <w:rsid w:val="00AD6C60"/>
    <w:rsid w:val="00AE12C8"/>
    <w:rsid w:val="00AE1B9E"/>
    <w:rsid w:val="00AE231E"/>
    <w:rsid w:val="00AE50F1"/>
    <w:rsid w:val="00AE7DEC"/>
    <w:rsid w:val="00AF068B"/>
    <w:rsid w:val="00B01CD7"/>
    <w:rsid w:val="00B02E86"/>
    <w:rsid w:val="00B057D5"/>
    <w:rsid w:val="00B13F55"/>
    <w:rsid w:val="00B16BD1"/>
    <w:rsid w:val="00B17CD2"/>
    <w:rsid w:val="00B227F3"/>
    <w:rsid w:val="00B25244"/>
    <w:rsid w:val="00B305B9"/>
    <w:rsid w:val="00B31206"/>
    <w:rsid w:val="00B37C5B"/>
    <w:rsid w:val="00B420F5"/>
    <w:rsid w:val="00B42A6F"/>
    <w:rsid w:val="00B4592F"/>
    <w:rsid w:val="00B466C4"/>
    <w:rsid w:val="00B47A4A"/>
    <w:rsid w:val="00B47E60"/>
    <w:rsid w:val="00B55738"/>
    <w:rsid w:val="00B55A63"/>
    <w:rsid w:val="00B64743"/>
    <w:rsid w:val="00B65C52"/>
    <w:rsid w:val="00B70204"/>
    <w:rsid w:val="00B72428"/>
    <w:rsid w:val="00B72818"/>
    <w:rsid w:val="00B7758B"/>
    <w:rsid w:val="00B77F49"/>
    <w:rsid w:val="00B84841"/>
    <w:rsid w:val="00B84BA1"/>
    <w:rsid w:val="00B85AB1"/>
    <w:rsid w:val="00B901CD"/>
    <w:rsid w:val="00B90618"/>
    <w:rsid w:val="00B92A6F"/>
    <w:rsid w:val="00B93FC5"/>
    <w:rsid w:val="00B97120"/>
    <w:rsid w:val="00BA282E"/>
    <w:rsid w:val="00BA3672"/>
    <w:rsid w:val="00BA46F0"/>
    <w:rsid w:val="00BB1BE5"/>
    <w:rsid w:val="00BB27C3"/>
    <w:rsid w:val="00BB3DA2"/>
    <w:rsid w:val="00BB51C9"/>
    <w:rsid w:val="00BC1C8C"/>
    <w:rsid w:val="00BC3769"/>
    <w:rsid w:val="00BC4261"/>
    <w:rsid w:val="00BD23A5"/>
    <w:rsid w:val="00BD49B1"/>
    <w:rsid w:val="00BD7DAB"/>
    <w:rsid w:val="00BE0FC2"/>
    <w:rsid w:val="00BE15D5"/>
    <w:rsid w:val="00BE2290"/>
    <w:rsid w:val="00BE52BE"/>
    <w:rsid w:val="00BE6442"/>
    <w:rsid w:val="00BF0489"/>
    <w:rsid w:val="00BF2DDA"/>
    <w:rsid w:val="00BF55FD"/>
    <w:rsid w:val="00C028D3"/>
    <w:rsid w:val="00C068D4"/>
    <w:rsid w:val="00C07D53"/>
    <w:rsid w:val="00C111A3"/>
    <w:rsid w:val="00C14BAD"/>
    <w:rsid w:val="00C14D2E"/>
    <w:rsid w:val="00C14E5E"/>
    <w:rsid w:val="00C150B8"/>
    <w:rsid w:val="00C15394"/>
    <w:rsid w:val="00C1709E"/>
    <w:rsid w:val="00C17ACC"/>
    <w:rsid w:val="00C205BF"/>
    <w:rsid w:val="00C2076B"/>
    <w:rsid w:val="00C2435C"/>
    <w:rsid w:val="00C2784E"/>
    <w:rsid w:val="00C2784F"/>
    <w:rsid w:val="00C31530"/>
    <w:rsid w:val="00C347F4"/>
    <w:rsid w:val="00C369DD"/>
    <w:rsid w:val="00C413EC"/>
    <w:rsid w:val="00C43BD8"/>
    <w:rsid w:val="00C43FE6"/>
    <w:rsid w:val="00C46BD4"/>
    <w:rsid w:val="00C47CCC"/>
    <w:rsid w:val="00C546BD"/>
    <w:rsid w:val="00C5634C"/>
    <w:rsid w:val="00C56601"/>
    <w:rsid w:val="00C62975"/>
    <w:rsid w:val="00C73184"/>
    <w:rsid w:val="00C73572"/>
    <w:rsid w:val="00C73D46"/>
    <w:rsid w:val="00C76952"/>
    <w:rsid w:val="00C83FA9"/>
    <w:rsid w:val="00C84169"/>
    <w:rsid w:val="00C87C2F"/>
    <w:rsid w:val="00C90B62"/>
    <w:rsid w:val="00C939DA"/>
    <w:rsid w:val="00C93EAB"/>
    <w:rsid w:val="00C94AE9"/>
    <w:rsid w:val="00C94FB5"/>
    <w:rsid w:val="00C95EB9"/>
    <w:rsid w:val="00CA350C"/>
    <w:rsid w:val="00CA3742"/>
    <w:rsid w:val="00CA4E2B"/>
    <w:rsid w:val="00CA78A4"/>
    <w:rsid w:val="00CB374D"/>
    <w:rsid w:val="00CB6BDA"/>
    <w:rsid w:val="00CB6C9C"/>
    <w:rsid w:val="00CC0D25"/>
    <w:rsid w:val="00CD1FE9"/>
    <w:rsid w:val="00CD2CB9"/>
    <w:rsid w:val="00CD364B"/>
    <w:rsid w:val="00CD3B95"/>
    <w:rsid w:val="00CD4832"/>
    <w:rsid w:val="00CD5C81"/>
    <w:rsid w:val="00CD6204"/>
    <w:rsid w:val="00CE0C3F"/>
    <w:rsid w:val="00CE13EF"/>
    <w:rsid w:val="00CE2D58"/>
    <w:rsid w:val="00CE5003"/>
    <w:rsid w:val="00CF6082"/>
    <w:rsid w:val="00CF6707"/>
    <w:rsid w:val="00CF6EE9"/>
    <w:rsid w:val="00D01303"/>
    <w:rsid w:val="00D065FA"/>
    <w:rsid w:val="00D06937"/>
    <w:rsid w:val="00D071FB"/>
    <w:rsid w:val="00D105CE"/>
    <w:rsid w:val="00D1193D"/>
    <w:rsid w:val="00D11965"/>
    <w:rsid w:val="00D1236B"/>
    <w:rsid w:val="00D166DE"/>
    <w:rsid w:val="00D17C45"/>
    <w:rsid w:val="00D21DC2"/>
    <w:rsid w:val="00D23026"/>
    <w:rsid w:val="00D247EF"/>
    <w:rsid w:val="00D25EA4"/>
    <w:rsid w:val="00D26749"/>
    <w:rsid w:val="00D26984"/>
    <w:rsid w:val="00D2724F"/>
    <w:rsid w:val="00D27C07"/>
    <w:rsid w:val="00D33BCD"/>
    <w:rsid w:val="00D33C53"/>
    <w:rsid w:val="00D362F1"/>
    <w:rsid w:val="00D407CD"/>
    <w:rsid w:val="00D407E4"/>
    <w:rsid w:val="00D41D1E"/>
    <w:rsid w:val="00D42715"/>
    <w:rsid w:val="00D436EC"/>
    <w:rsid w:val="00D45F03"/>
    <w:rsid w:val="00D465F8"/>
    <w:rsid w:val="00D467CB"/>
    <w:rsid w:val="00D502B0"/>
    <w:rsid w:val="00D5360C"/>
    <w:rsid w:val="00D5393C"/>
    <w:rsid w:val="00D54ABA"/>
    <w:rsid w:val="00D55C91"/>
    <w:rsid w:val="00D60846"/>
    <w:rsid w:val="00D60D4B"/>
    <w:rsid w:val="00D611D4"/>
    <w:rsid w:val="00D64D9C"/>
    <w:rsid w:val="00D64E84"/>
    <w:rsid w:val="00D65D96"/>
    <w:rsid w:val="00D73B70"/>
    <w:rsid w:val="00D75923"/>
    <w:rsid w:val="00D77996"/>
    <w:rsid w:val="00D84B3F"/>
    <w:rsid w:val="00D8524D"/>
    <w:rsid w:val="00D90D86"/>
    <w:rsid w:val="00DA0786"/>
    <w:rsid w:val="00DA54C7"/>
    <w:rsid w:val="00DA7D9C"/>
    <w:rsid w:val="00DB0EBE"/>
    <w:rsid w:val="00DB20C6"/>
    <w:rsid w:val="00DB78D1"/>
    <w:rsid w:val="00DC1203"/>
    <w:rsid w:val="00DC148A"/>
    <w:rsid w:val="00DC22E7"/>
    <w:rsid w:val="00DC336B"/>
    <w:rsid w:val="00DC389E"/>
    <w:rsid w:val="00DC472C"/>
    <w:rsid w:val="00DC6681"/>
    <w:rsid w:val="00DD021C"/>
    <w:rsid w:val="00DD0DCF"/>
    <w:rsid w:val="00DD194D"/>
    <w:rsid w:val="00DD369F"/>
    <w:rsid w:val="00DD68B2"/>
    <w:rsid w:val="00DD6EAD"/>
    <w:rsid w:val="00DE3834"/>
    <w:rsid w:val="00DF3D68"/>
    <w:rsid w:val="00DF4714"/>
    <w:rsid w:val="00E04AC3"/>
    <w:rsid w:val="00E04C6F"/>
    <w:rsid w:val="00E04DF1"/>
    <w:rsid w:val="00E058BF"/>
    <w:rsid w:val="00E05CA1"/>
    <w:rsid w:val="00E06089"/>
    <w:rsid w:val="00E13138"/>
    <w:rsid w:val="00E14819"/>
    <w:rsid w:val="00E14B40"/>
    <w:rsid w:val="00E17F96"/>
    <w:rsid w:val="00E2263C"/>
    <w:rsid w:val="00E2301E"/>
    <w:rsid w:val="00E23AB1"/>
    <w:rsid w:val="00E33169"/>
    <w:rsid w:val="00E3442A"/>
    <w:rsid w:val="00E348AE"/>
    <w:rsid w:val="00E35760"/>
    <w:rsid w:val="00E35B56"/>
    <w:rsid w:val="00E36F5D"/>
    <w:rsid w:val="00E4003C"/>
    <w:rsid w:val="00E42BAF"/>
    <w:rsid w:val="00E43D25"/>
    <w:rsid w:val="00E4417F"/>
    <w:rsid w:val="00E44AD9"/>
    <w:rsid w:val="00E45E5E"/>
    <w:rsid w:val="00E50598"/>
    <w:rsid w:val="00E51537"/>
    <w:rsid w:val="00E56D25"/>
    <w:rsid w:val="00E56DCB"/>
    <w:rsid w:val="00E63635"/>
    <w:rsid w:val="00E64B8F"/>
    <w:rsid w:val="00E66207"/>
    <w:rsid w:val="00E70E81"/>
    <w:rsid w:val="00E71E2B"/>
    <w:rsid w:val="00E76AC4"/>
    <w:rsid w:val="00E83C2F"/>
    <w:rsid w:val="00E86699"/>
    <w:rsid w:val="00E92C0B"/>
    <w:rsid w:val="00E955CA"/>
    <w:rsid w:val="00E95622"/>
    <w:rsid w:val="00EA17C2"/>
    <w:rsid w:val="00EA300D"/>
    <w:rsid w:val="00EA6042"/>
    <w:rsid w:val="00EB1198"/>
    <w:rsid w:val="00EB6B3D"/>
    <w:rsid w:val="00EC16FC"/>
    <w:rsid w:val="00EC250A"/>
    <w:rsid w:val="00EC4DDD"/>
    <w:rsid w:val="00ED7265"/>
    <w:rsid w:val="00EE02FB"/>
    <w:rsid w:val="00EE22A5"/>
    <w:rsid w:val="00EE22B1"/>
    <w:rsid w:val="00EE2EDC"/>
    <w:rsid w:val="00EE3293"/>
    <w:rsid w:val="00EE515B"/>
    <w:rsid w:val="00EE5C26"/>
    <w:rsid w:val="00EF0B57"/>
    <w:rsid w:val="00EF0D6F"/>
    <w:rsid w:val="00F05818"/>
    <w:rsid w:val="00F0583D"/>
    <w:rsid w:val="00F1033C"/>
    <w:rsid w:val="00F10409"/>
    <w:rsid w:val="00F12CE8"/>
    <w:rsid w:val="00F1358F"/>
    <w:rsid w:val="00F26B9E"/>
    <w:rsid w:val="00F270E8"/>
    <w:rsid w:val="00F30C8A"/>
    <w:rsid w:val="00F31460"/>
    <w:rsid w:val="00F33E14"/>
    <w:rsid w:val="00F43072"/>
    <w:rsid w:val="00F43E18"/>
    <w:rsid w:val="00F4431E"/>
    <w:rsid w:val="00F45C32"/>
    <w:rsid w:val="00F46588"/>
    <w:rsid w:val="00F46DA9"/>
    <w:rsid w:val="00F46DD3"/>
    <w:rsid w:val="00F51CD7"/>
    <w:rsid w:val="00F54E72"/>
    <w:rsid w:val="00F55284"/>
    <w:rsid w:val="00F55E5D"/>
    <w:rsid w:val="00F562B8"/>
    <w:rsid w:val="00F57BDE"/>
    <w:rsid w:val="00F6050B"/>
    <w:rsid w:val="00F7160A"/>
    <w:rsid w:val="00F7246C"/>
    <w:rsid w:val="00F7500B"/>
    <w:rsid w:val="00F80177"/>
    <w:rsid w:val="00F82A31"/>
    <w:rsid w:val="00F82CB2"/>
    <w:rsid w:val="00F8368C"/>
    <w:rsid w:val="00F908AA"/>
    <w:rsid w:val="00F91631"/>
    <w:rsid w:val="00F954C7"/>
    <w:rsid w:val="00F97167"/>
    <w:rsid w:val="00FA19BB"/>
    <w:rsid w:val="00FA48CF"/>
    <w:rsid w:val="00FA5297"/>
    <w:rsid w:val="00FA595C"/>
    <w:rsid w:val="00FB1A89"/>
    <w:rsid w:val="00FB200D"/>
    <w:rsid w:val="00FB41C8"/>
    <w:rsid w:val="00FB488F"/>
    <w:rsid w:val="00FB49FF"/>
    <w:rsid w:val="00FC0962"/>
    <w:rsid w:val="00FC0FA7"/>
    <w:rsid w:val="00FC3227"/>
    <w:rsid w:val="00FC331F"/>
    <w:rsid w:val="00FC34B1"/>
    <w:rsid w:val="00FC5353"/>
    <w:rsid w:val="00FC57AD"/>
    <w:rsid w:val="00FC5B05"/>
    <w:rsid w:val="00FD0A4E"/>
    <w:rsid w:val="00FD14D2"/>
    <w:rsid w:val="00FD2755"/>
    <w:rsid w:val="00FD29D5"/>
    <w:rsid w:val="00FD4DD3"/>
    <w:rsid w:val="00FE0195"/>
    <w:rsid w:val="00FE2DDB"/>
    <w:rsid w:val="00FE6070"/>
    <w:rsid w:val="00FE6148"/>
    <w:rsid w:val="00FE70A4"/>
    <w:rsid w:val="00FF1E40"/>
    <w:rsid w:val="00FF27AD"/>
    <w:rsid w:val="00FF6339"/>
    <w:rsid w:val="02BBC602"/>
    <w:rsid w:val="045C76FA"/>
    <w:rsid w:val="0636FFCE"/>
    <w:rsid w:val="06E2E093"/>
    <w:rsid w:val="0E62C16E"/>
    <w:rsid w:val="13B48272"/>
    <w:rsid w:val="14C989A3"/>
    <w:rsid w:val="182D59D9"/>
    <w:rsid w:val="190CE306"/>
    <w:rsid w:val="1CBF6227"/>
    <w:rsid w:val="1EC354C3"/>
    <w:rsid w:val="2312C1BD"/>
    <w:rsid w:val="2585003D"/>
    <w:rsid w:val="27B7BDAA"/>
    <w:rsid w:val="2847D66F"/>
    <w:rsid w:val="2C4A596C"/>
    <w:rsid w:val="2F6016F1"/>
    <w:rsid w:val="3112380B"/>
    <w:rsid w:val="3114631D"/>
    <w:rsid w:val="3280D819"/>
    <w:rsid w:val="36288C2A"/>
    <w:rsid w:val="386004C5"/>
    <w:rsid w:val="389A4C7E"/>
    <w:rsid w:val="3B3BE4F2"/>
    <w:rsid w:val="3C2BD097"/>
    <w:rsid w:val="41FC9D77"/>
    <w:rsid w:val="45296143"/>
    <w:rsid w:val="45776D63"/>
    <w:rsid w:val="463607D3"/>
    <w:rsid w:val="467CEF34"/>
    <w:rsid w:val="4787AF22"/>
    <w:rsid w:val="490B94CF"/>
    <w:rsid w:val="4A171A8B"/>
    <w:rsid w:val="4C628779"/>
    <w:rsid w:val="4C935590"/>
    <w:rsid w:val="4CA5A18C"/>
    <w:rsid w:val="4DF990D0"/>
    <w:rsid w:val="4E06EBC3"/>
    <w:rsid w:val="51A479F8"/>
    <w:rsid w:val="53DB9F2B"/>
    <w:rsid w:val="56FA2AC6"/>
    <w:rsid w:val="5719D6CF"/>
    <w:rsid w:val="5DA58628"/>
    <w:rsid w:val="60B6325B"/>
    <w:rsid w:val="61163A1C"/>
    <w:rsid w:val="61C73651"/>
    <w:rsid w:val="66DAE0A3"/>
    <w:rsid w:val="696ACD66"/>
    <w:rsid w:val="6B64B6D6"/>
    <w:rsid w:val="6BA1AB0E"/>
    <w:rsid w:val="6DDDFC84"/>
    <w:rsid w:val="740C0DE3"/>
    <w:rsid w:val="7626B975"/>
    <w:rsid w:val="792FAD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A2B0"/>
  <w15:chartTrackingRefBased/>
  <w15:docId w15:val="{68D6430B-CAB3-48D7-A71D-D8642E765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FA5"/>
    <w:pPr>
      <w:spacing w:before="120"/>
    </w:pPr>
    <w:rPr>
      <w:rFonts w:ascii="Calibri" w:eastAsia="Calibri" w:hAnsi="Calibri" w:cs="Arial"/>
    </w:rPr>
  </w:style>
  <w:style w:type="paragraph" w:styleId="Heading1">
    <w:name w:val="heading 1"/>
    <w:basedOn w:val="Normal"/>
    <w:next w:val="Normal"/>
    <w:link w:val="Heading1Char"/>
    <w:uiPriority w:val="9"/>
    <w:qFormat/>
    <w:rsid w:val="00085B6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462A"/>
    <w:pPr>
      <w:keepNext/>
      <w:keepLines/>
      <w:spacing w:before="40" w:line="27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5462A"/>
    <w:pPr>
      <w:keepNext/>
      <w:keepLines/>
      <w:spacing w:before="40" w:line="276" w:lineRule="auto"/>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55462A"/>
    <w:pPr>
      <w:keepNext/>
      <w:keepLines/>
      <w:spacing w:before="40" w:line="276" w:lineRule="auto"/>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462A"/>
    <w:rPr>
      <w:rFonts w:ascii="Tahoma" w:hAnsi="Tahoma" w:cs="Tahoma"/>
      <w:sz w:val="16"/>
      <w:szCs w:val="16"/>
    </w:rPr>
  </w:style>
  <w:style w:type="character" w:customStyle="1" w:styleId="BalloonTextChar">
    <w:name w:val="Balloon Text Char"/>
    <w:basedOn w:val="DefaultParagraphFont"/>
    <w:link w:val="BalloonText"/>
    <w:uiPriority w:val="99"/>
    <w:semiHidden/>
    <w:rsid w:val="0055462A"/>
    <w:rPr>
      <w:rFonts w:ascii="Tahoma" w:eastAsia="Times New Roman" w:hAnsi="Tahoma" w:cs="Tahoma"/>
      <w:sz w:val="16"/>
      <w:szCs w:val="16"/>
    </w:rPr>
  </w:style>
  <w:style w:type="paragraph" w:styleId="Caption">
    <w:name w:val="caption"/>
    <w:basedOn w:val="Normal"/>
    <w:next w:val="Normal"/>
    <w:uiPriority w:val="35"/>
    <w:unhideWhenUsed/>
    <w:qFormat/>
    <w:rsid w:val="0055462A"/>
    <w:pPr>
      <w:spacing w:after="200"/>
    </w:pPr>
    <w:rPr>
      <w:rFonts w:asciiTheme="minorHAnsi" w:eastAsiaTheme="minorHAnsi" w:hAnsiTheme="minorHAnsi" w:cstheme="minorBidi"/>
      <w:i/>
      <w:iCs/>
      <w:color w:val="44546A" w:themeColor="text2"/>
      <w:sz w:val="18"/>
      <w:szCs w:val="18"/>
    </w:rPr>
  </w:style>
  <w:style w:type="character" w:styleId="CommentReference">
    <w:name w:val="annotation reference"/>
    <w:basedOn w:val="DefaultParagraphFont"/>
    <w:uiPriority w:val="99"/>
    <w:semiHidden/>
    <w:unhideWhenUsed/>
    <w:rsid w:val="0055462A"/>
    <w:rPr>
      <w:sz w:val="16"/>
      <w:szCs w:val="16"/>
    </w:rPr>
  </w:style>
  <w:style w:type="paragraph" w:styleId="CommentText">
    <w:name w:val="annotation text"/>
    <w:basedOn w:val="Normal"/>
    <w:link w:val="CommentTextChar"/>
    <w:uiPriority w:val="99"/>
    <w:unhideWhenUsed/>
    <w:rsid w:val="0055462A"/>
    <w:rPr>
      <w:sz w:val="20"/>
      <w:szCs w:val="20"/>
    </w:rPr>
  </w:style>
  <w:style w:type="character" w:customStyle="1" w:styleId="CommentTextChar">
    <w:name w:val="Comment Text Char"/>
    <w:basedOn w:val="DefaultParagraphFont"/>
    <w:link w:val="CommentText"/>
    <w:uiPriority w:val="99"/>
    <w:rsid w:val="0055462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5462A"/>
    <w:rPr>
      <w:b/>
      <w:bCs/>
    </w:rPr>
  </w:style>
  <w:style w:type="character" w:customStyle="1" w:styleId="CommentSubjectChar">
    <w:name w:val="Comment Subject Char"/>
    <w:basedOn w:val="CommentTextChar"/>
    <w:link w:val="CommentSubject"/>
    <w:uiPriority w:val="99"/>
    <w:semiHidden/>
    <w:rsid w:val="0055462A"/>
    <w:rPr>
      <w:rFonts w:ascii="Times New Roman" w:eastAsia="Times New Roman" w:hAnsi="Times New Roman" w:cs="Times New Roman"/>
      <w:b/>
      <w:bCs/>
      <w:sz w:val="20"/>
      <w:szCs w:val="20"/>
    </w:rPr>
  </w:style>
  <w:style w:type="paragraph" w:styleId="Footer">
    <w:name w:val="footer"/>
    <w:basedOn w:val="Normal"/>
    <w:link w:val="FooterChar"/>
    <w:rsid w:val="0055462A"/>
    <w:pPr>
      <w:tabs>
        <w:tab w:val="center" w:pos="4320"/>
        <w:tab w:val="right" w:pos="8640"/>
      </w:tabs>
    </w:pPr>
  </w:style>
  <w:style w:type="character" w:customStyle="1" w:styleId="FooterChar">
    <w:name w:val="Footer Char"/>
    <w:basedOn w:val="DefaultParagraphFont"/>
    <w:link w:val="Footer"/>
    <w:rsid w:val="0055462A"/>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55462A"/>
    <w:rPr>
      <w:vertAlign w:val="superscript"/>
    </w:rPr>
  </w:style>
  <w:style w:type="paragraph" w:styleId="FootnoteText">
    <w:name w:val="footnote text"/>
    <w:basedOn w:val="Normal"/>
    <w:link w:val="FootnoteTextChar"/>
    <w:uiPriority w:val="99"/>
    <w:semiHidden/>
    <w:unhideWhenUsed/>
    <w:rsid w:val="0055462A"/>
    <w:rPr>
      <w:sz w:val="20"/>
      <w:szCs w:val="20"/>
    </w:rPr>
  </w:style>
  <w:style w:type="character" w:customStyle="1" w:styleId="FootnoteTextChar">
    <w:name w:val="Footnote Text Char"/>
    <w:basedOn w:val="DefaultParagraphFont"/>
    <w:link w:val="FootnoteText"/>
    <w:uiPriority w:val="99"/>
    <w:semiHidden/>
    <w:rsid w:val="0055462A"/>
    <w:rPr>
      <w:rFonts w:ascii="Times New Roman" w:eastAsia="Times New Roman" w:hAnsi="Times New Roman" w:cs="Times New Roman"/>
      <w:sz w:val="20"/>
      <w:szCs w:val="20"/>
    </w:rPr>
  </w:style>
  <w:style w:type="paragraph" w:styleId="Header">
    <w:name w:val="header"/>
    <w:basedOn w:val="Normal"/>
    <w:link w:val="HeaderChar"/>
    <w:rsid w:val="0055462A"/>
    <w:pPr>
      <w:tabs>
        <w:tab w:val="center" w:pos="4320"/>
        <w:tab w:val="right" w:pos="8640"/>
      </w:tabs>
    </w:pPr>
  </w:style>
  <w:style w:type="character" w:customStyle="1" w:styleId="HeaderChar">
    <w:name w:val="Header Char"/>
    <w:basedOn w:val="DefaultParagraphFont"/>
    <w:link w:val="Header"/>
    <w:rsid w:val="0055462A"/>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5462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5462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5462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55462A"/>
    <w:pPr>
      <w:spacing w:after="200" w:line="276" w:lineRule="auto"/>
      <w:ind w:left="720"/>
      <w:contextualSpacing/>
    </w:pPr>
    <w:rPr>
      <w:rFonts w:asciiTheme="minorHAnsi" w:eastAsiaTheme="minorHAnsi" w:hAnsiTheme="minorHAnsi" w:cstheme="minorBidi"/>
    </w:rPr>
  </w:style>
  <w:style w:type="table" w:styleId="TableGrid">
    <w:name w:val="Table Grid"/>
    <w:basedOn w:val="TableNormal"/>
    <w:uiPriority w:val="59"/>
    <w:rsid w:val="0055462A"/>
    <w:pPr>
      <w:spacing w:after="0" w:line="240" w:lineRule="auto"/>
    </w:pPr>
    <w:rPr>
      <w:rFonts w:ascii="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rsid w:val="00BF2DD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7CE"/>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507CE"/>
    <w:rPr>
      <w:rFonts w:eastAsiaTheme="minorEastAsia"/>
      <w:color w:val="5A5A5A" w:themeColor="text1" w:themeTint="A5"/>
      <w:spacing w:val="15"/>
    </w:rPr>
  </w:style>
  <w:style w:type="character" w:styleId="Hyperlink">
    <w:name w:val="Hyperlink"/>
    <w:basedOn w:val="DefaultParagraphFont"/>
    <w:uiPriority w:val="99"/>
    <w:unhideWhenUsed/>
    <w:rsid w:val="0036204E"/>
    <w:rPr>
      <w:color w:val="0563C1" w:themeColor="hyperlink"/>
      <w:u w:val="single"/>
    </w:rPr>
  </w:style>
  <w:style w:type="character" w:styleId="UnresolvedMention">
    <w:name w:val="Unresolved Mention"/>
    <w:basedOn w:val="DefaultParagraphFont"/>
    <w:uiPriority w:val="99"/>
    <w:semiHidden/>
    <w:unhideWhenUsed/>
    <w:rsid w:val="0036204E"/>
    <w:rPr>
      <w:color w:val="605E5C"/>
      <w:shd w:val="clear" w:color="auto" w:fill="E1DFDD"/>
    </w:rPr>
  </w:style>
  <w:style w:type="character" w:customStyle="1" w:styleId="Heading1Char">
    <w:name w:val="Heading 1 Char"/>
    <w:basedOn w:val="DefaultParagraphFont"/>
    <w:link w:val="Heading1"/>
    <w:uiPriority w:val="9"/>
    <w:rsid w:val="00085B6F"/>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AE50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683533"/>
    <w:pPr>
      <w:spacing w:after="0" w:line="240" w:lineRule="auto"/>
    </w:pPr>
    <w:rPr>
      <w:rFonts w:ascii="Calibri" w:eastAsia="Calibri" w:hAnsi="Calibri" w:cs="Arial"/>
    </w:rPr>
  </w:style>
  <w:style w:type="table" w:styleId="PlainTable2">
    <w:name w:val="Plain Table 2"/>
    <w:basedOn w:val="TableNormal"/>
    <w:uiPriority w:val="42"/>
    <w:rsid w:val="004735A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7578">
      <w:bodyDiv w:val="1"/>
      <w:marLeft w:val="0"/>
      <w:marRight w:val="0"/>
      <w:marTop w:val="0"/>
      <w:marBottom w:val="0"/>
      <w:divBdr>
        <w:top w:val="none" w:sz="0" w:space="0" w:color="auto"/>
        <w:left w:val="none" w:sz="0" w:space="0" w:color="auto"/>
        <w:bottom w:val="none" w:sz="0" w:space="0" w:color="auto"/>
        <w:right w:val="none" w:sz="0" w:space="0" w:color="auto"/>
      </w:divBdr>
    </w:div>
    <w:div w:id="112217737">
      <w:bodyDiv w:val="1"/>
      <w:marLeft w:val="0"/>
      <w:marRight w:val="0"/>
      <w:marTop w:val="0"/>
      <w:marBottom w:val="0"/>
      <w:divBdr>
        <w:top w:val="none" w:sz="0" w:space="0" w:color="auto"/>
        <w:left w:val="none" w:sz="0" w:space="0" w:color="auto"/>
        <w:bottom w:val="none" w:sz="0" w:space="0" w:color="auto"/>
        <w:right w:val="none" w:sz="0" w:space="0" w:color="auto"/>
      </w:divBdr>
    </w:div>
    <w:div w:id="210850203">
      <w:bodyDiv w:val="1"/>
      <w:marLeft w:val="0"/>
      <w:marRight w:val="0"/>
      <w:marTop w:val="0"/>
      <w:marBottom w:val="0"/>
      <w:divBdr>
        <w:top w:val="none" w:sz="0" w:space="0" w:color="auto"/>
        <w:left w:val="none" w:sz="0" w:space="0" w:color="auto"/>
        <w:bottom w:val="none" w:sz="0" w:space="0" w:color="auto"/>
        <w:right w:val="none" w:sz="0" w:space="0" w:color="auto"/>
      </w:divBdr>
    </w:div>
    <w:div w:id="291785522">
      <w:bodyDiv w:val="1"/>
      <w:marLeft w:val="0"/>
      <w:marRight w:val="0"/>
      <w:marTop w:val="0"/>
      <w:marBottom w:val="0"/>
      <w:divBdr>
        <w:top w:val="none" w:sz="0" w:space="0" w:color="auto"/>
        <w:left w:val="none" w:sz="0" w:space="0" w:color="auto"/>
        <w:bottom w:val="none" w:sz="0" w:space="0" w:color="auto"/>
        <w:right w:val="none" w:sz="0" w:space="0" w:color="auto"/>
      </w:divBdr>
    </w:div>
    <w:div w:id="299922422">
      <w:bodyDiv w:val="1"/>
      <w:marLeft w:val="0"/>
      <w:marRight w:val="0"/>
      <w:marTop w:val="0"/>
      <w:marBottom w:val="0"/>
      <w:divBdr>
        <w:top w:val="none" w:sz="0" w:space="0" w:color="auto"/>
        <w:left w:val="none" w:sz="0" w:space="0" w:color="auto"/>
        <w:bottom w:val="none" w:sz="0" w:space="0" w:color="auto"/>
        <w:right w:val="none" w:sz="0" w:space="0" w:color="auto"/>
      </w:divBdr>
    </w:div>
    <w:div w:id="333340731">
      <w:bodyDiv w:val="1"/>
      <w:marLeft w:val="0"/>
      <w:marRight w:val="0"/>
      <w:marTop w:val="0"/>
      <w:marBottom w:val="0"/>
      <w:divBdr>
        <w:top w:val="none" w:sz="0" w:space="0" w:color="auto"/>
        <w:left w:val="none" w:sz="0" w:space="0" w:color="auto"/>
        <w:bottom w:val="none" w:sz="0" w:space="0" w:color="auto"/>
        <w:right w:val="none" w:sz="0" w:space="0" w:color="auto"/>
      </w:divBdr>
    </w:div>
    <w:div w:id="457601165">
      <w:bodyDiv w:val="1"/>
      <w:marLeft w:val="0"/>
      <w:marRight w:val="0"/>
      <w:marTop w:val="0"/>
      <w:marBottom w:val="0"/>
      <w:divBdr>
        <w:top w:val="none" w:sz="0" w:space="0" w:color="auto"/>
        <w:left w:val="none" w:sz="0" w:space="0" w:color="auto"/>
        <w:bottom w:val="none" w:sz="0" w:space="0" w:color="auto"/>
        <w:right w:val="none" w:sz="0" w:space="0" w:color="auto"/>
      </w:divBdr>
    </w:div>
    <w:div w:id="483814470">
      <w:bodyDiv w:val="1"/>
      <w:marLeft w:val="0"/>
      <w:marRight w:val="0"/>
      <w:marTop w:val="0"/>
      <w:marBottom w:val="0"/>
      <w:divBdr>
        <w:top w:val="none" w:sz="0" w:space="0" w:color="auto"/>
        <w:left w:val="none" w:sz="0" w:space="0" w:color="auto"/>
        <w:bottom w:val="none" w:sz="0" w:space="0" w:color="auto"/>
        <w:right w:val="none" w:sz="0" w:space="0" w:color="auto"/>
      </w:divBdr>
    </w:div>
    <w:div w:id="631716746">
      <w:bodyDiv w:val="1"/>
      <w:marLeft w:val="0"/>
      <w:marRight w:val="0"/>
      <w:marTop w:val="0"/>
      <w:marBottom w:val="0"/>
      <w:divBdr>
        <w:top w:val="none" w:sz="0" w:space="0" w:color="auto"/>
        <w:left w:val="none" w:sz="0" w:space="0" w:color="auto"/>
        <w:bottom w:val="none" w:sz="0" w:space="0" w:color="auto"/>
        <w:right w:val="none" w:sz="0" w:space="0" w:color="auto"/>
      </w:divBdr>
    </w:div>
    <w:div w:id="724986250">
      <w:bodyDiv w:val="1"/>
      <w:marLeft w:val="0"/>
      <w:marRight w:val="0"/>
      <w:marTop w:val="0"/>
      <w:marBottom w:val="0"/>
      <w:divBdr>
        <w:top w:val="none" w:sz="0" w:space="0" w:color="auto"/>
        <w:left w:val="none" w:sz="0" w:space="0" w:color="auto"/>
        <w:bottom w:val="none" w:sz="0" w:space="0" w:color="auto"/>
        <w:right w:val="none" w:sz="0" w:space="0" w:color="auto"/>
      </w:divBdr>
    </w:div>
    <w:div w:id="791166517">
      <w:bodyDiv w:val="1"/>
      <w:marLeft w:val="0"/>
      <w:marRight w:val="0"/>
      <w:marTop w:val="0"/>
      <w:marBottom w:val="0"/>
      <w:divBdr>
        <w:top w:val="none" w:sz="0" w:space="0" w:color="auto"/>
        <w:left w:val="none" w:sz="0" w:space="0" w:color="auto"/>
        <w:bottom w:val="none" w:sz="0" w:space="0" w:color="auto"/>
        <w:right w:val="none" w:sz="0" w:space="0" w:color="auto"/>
      </w:divBdr>
    </w:div>
    <w:div w:id="890657833">
      <w:bodyDiv w:val="1"/>
      <w:marLeft w:val="0"/>
      <w:marRight w:val="0"/>
      <w:marTop w:val="0"/>
      <w:marBottom w:val="0"/>
      <w:divBdr>
        <w:top w:val="none" w:sz="0" w:space="0" w:color="auto"/>
        <w:left w:val="none" w:sz="0" w:space="0" w:color="auto"/>
        <w:bottom w:val="none" w:sz="0" w:space="0" w:color="auto"/>
        <w:right w:val="none" w:sz="0" w:space="0" w:color="auto"/>
      </w:divBdr>
    </w:div>
    <w:div w:id="1344867503">
      <w:bodyDiv w:val="1"/>
      <w:marLeft w:val="0"/>
      <w:marRight w:val="0"/>
      <w:marTop w:val="0"/>
      <w:marBottom w:val="0"/>
      <w:divBdr>
        <w:top w:val="none" w:sz="0" w:space="0" w:color="auto"/>
        <w:left w:val="none" w:sz="0" w:space="0" w:color="auto"/>
        <w:bottom w:val="none" w:sz="0" w:space="0" w:color="auto"/>
        <w:right w:val="none" w:sz="0" w:space="0" w:color="auto"/>
      </w:divBdr>
    </w:div>
    <w:div w:id="1385444139">
      <w:bodyDiv w:val="1"/>
      <w:marLeft w:val="0"/>
      <w:marRight w:val="0"/>
      <w:marTop w:val="0"/>
      <w:marBottom w:val="0"/>
      <w:divBdr>
        <w:top w:val="none" w:sz="0" w:space="0" w:color="auto"/>
        <w:left w:val="none" w:sz="0" w:space="0" w:color="auto"/>
        <w:bottom w:val="none" w:sz="0" w:space="0" w:color="auto"/>
        <w:right w:val="none" w:sz="0" w:space="0" w:color="auto"/>
      </w:divBdr>
    </w:div>
    <w:div w:id="1442804045">
      <w:bodyDiv w:val="1"/>
      <w:marLeft w:val="0"/>
      <w:marRight w:val="0"/>
      <w:marTop w:val="0"/>
      <w:marBottom w:val="0"/>
      <w:divBdr>
        <w:top w:val="none" w:sz="0" w:space="0" w:color="auto"/>
        <w:left w:val="none" w:sz="0" w:space="0" w:color="auto"/>
        <w:bottom w:val="none" w:sz="0" w:space="0" w:color="auto"/>
        <w:right w:val="none" w:sz="0" w:space="0" w:color="auto"/>
      </w:divBdr>
    </w:div>
    <w:div w:id="1670597694">
      <w:bodyDiv w:val="1"/>
      <w:marLeft w:val="0"/>
      <w:marRight w:val="0"/>
      <w:marTop w:val="0"/>
      <w:marBottom w:val="0"/>
      <w:divBdr>
        <w:top w:val="none" w:sz="0" w:space="0" w:color="auto"/>
        <w:left w:val="none" w:sz="0" w:space="0" w:color="auto"/>
        <w:bottom w:val="none" w:sz="0" w:space="0" w:color="auto"/>
        <w:right w:val="none" w:sz="0" w:space="0" w:color="auto"/>
      </w:divBdr>
    </w:div>
    <w:div w:id="1724987400">
      <w:bodyDiv w:val="1"/>
      <w:marLeft w:val="0"/>
      <w:marRight w:val="0"/>
      <w:marTop w:val="0"/>
      <w:marBottom w:val="0"/>
      <w:divBdr>
        <w:top w:val="none" w:sz="0" w:space="0" w:color="auto"/>
        <w:left w:val="none" w:sz="0" w:space="0" w:color="auto"/>
        <w:bottom w:val="none" w:sz="0" w:space="0" w:color="auto"/>
        <w:right w:val="none" w:sz="0" w:space="0" w:color="auto"/>
      </w:divBdr>
    </w:div>
    <w:div w:id="1773210243">
      <w:bodyDiv w:val="1"/>
      <w:marLeft w:val="0"/>
      <w:marRight w:val="0"/>
      <w:marTop w:val="0"/>
      <w:marBottom w:val="0"/>
      <w:divBdr>
        <w:top w:val="none" w:sz="0" w:space="0" w:color="auto"/>
        <w:left w:val="none" w:sz="0" w:space="0" w:color="auto"/>
        <w:bottom w:val="none" w:sz="0" w:space="0" w:color="auto"/>
        <w:right w:val="none" w:sz="0" w:space="0" w:color="auto"/>
      </w:divBdr>
      <w:divsChild>
        <w:div w:id="405033088">
          <w:marLeft w:val="0"/>
          <w:marRight w:val="0"/>
          <w:marTop w:val="0"/>
          <w:marBottom w:val="0"/>
          <w:divBdr>
            <w:top w:val="none" w:sz="0" w:space="0" w:color="auto"/>
            <w:left w:val="none" w:sz="0" w:space="0" w:color="auto"/>
            <w:bottom w:val="none" w:sz="0" w:space="0" w:color="auto"/>
            <w:right w:val="none" w:sz="0" w:space="0" w:color="auto"/>
          </w:divBdr>
          <w:divsChild>
            <w:div w:id="91778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24131">
      <w:bodyDiv w:val="1"/>
      <w:marLeft w:val="0"/>
      <w:marRight w:val="0"/>
      <w:marTop w:val="0"/>
      <w:marBottom w:val="0"/>
      <w:divBdr>
        <w:top w:val="none" w:sz="0" w:space="0" w:color="auto"/>
        <w:left w:val="none" w:sz="0" w:space="0" w:color="auto"/>
        <w:bottom w:val="none" w:sz="0" w:space="0" w:color="auto"/>
        <w:right w:val="none" w:sz="0" w:space="0" w:color="auto"/>
      </w:divBdr>
    </w:div>
    <w:div w:id="1942835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481fc2a-e230-47f7-a716-4f7f4b27a8e6" xsi:nil="true"/>
    <lcf76f155ced4ddcb4097134ff3c332f xmlns="8baa01ab-7cf8-4360-9f3f-f87b1ec95c2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2C688F-5F05-493D-B7F8-A9C377F9D101}">
  <ds:schemaRefs>
    <ds:schemaRef ds:uri="http://schemas.openxmlformats.org/officeDocument/2006/bibliography"/>
  </ds:schemaRefs>
</ds:datastoreItem>
</file>

<file path=customXml/itemProps2.xml><?xml version="1.0" encoding="utf-8"?>
<ds:datastoreItem xmlns:ds="http://schemas.openxmlformats.org/officeDocument/2006/customXml" ds:itemID="{95F54931-9F33-48B1-ABD9-AB06DF38472F}">
  <ds:schemaRefs>
    <ds:schemaRef ds:uri="http://schemas.microsoft.com/sharepoint/v3/contenttype/forms"/>
  </ds:schemaRefs>
</ds:datastoreItem>
</file>

<file path=customXml/itemProps3.xml><?xml version="1.0" encoding="utf-8"?>
<ds:datastoreItem xmlns:ds="http://schemas.openxmlformats.org/officeDocument/2006/customXml" ds:itemID="{C348EEC2-14E9-4808-9FA0-3FAD28791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aa01ab-7cf8-4360-9f3f-f87b1ec95c26"/>
    <ds:schemaRef ds:uri="d481fc2a-e230-47f7-a716-4f7f4b27a8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FFBAD9-AEC3-48F7-A75E-09C1742483CE}">
  <ds:schemaRefs>
    <ds:schemaRef ds:uri="http://schemas.microsoft.com/office/2006/metadata/properties"/>
    <ds:schemaRef ds:uri="http://schemas.microsoft.com/office/infopath/2007/PartnerControls"/>
    <ds:schemaRef ds:uri="d481fc2a-e230-47f7-a716-4f7f4b27a8e6"/>
    <ds:schemaRef ds:uri="8baa01ab-7cf8-4360-9f3f-f87b1ec95c26"/>
  </ds:schemaRefs>
</ds:datastoreItem>
</file>

<file path=docMetadata/LabelInfo.xml><?xml version="1.0" encoding="utf-8"?>
<clbl:labelList xmlns:clbl="http://schemas.microsoft.com/office/2020/mipLabelMetadata">
  <clbl:label id="{95965d95-ecc0-4720-b759-1f33c42ed7da}" enabled="1" method="Standard" siteId="{a0f29d7e-28cd-4f54-8442-7885aee7c080}" contentBits="0" removed="0"/>
</clbl:labelList>
</file>

<file path=docProps/app.xml><?xml version="1.0" encoding="utf-8"?>
<Properties xmlns="http://schemas.openxmlformats.org/officeDocument/2006/extended-properties" xmlns:vt="http://schemas.openxmlformats.org/officeDocument/2006/docPropsVTypes">
  <Template>Normal.dotm</Template>
  <TotalTime>14361</TotalTime>
  <Pages>13</Pages>
  <Words>4060</Words>
  <Characters>21567</Characters>
  <Application>Microsoft Office Word</Application>
  <DocSecurity>0</DocSecurity>
  <Lines>576</Lines>
  <Paragraphs>375</Paragraphs>
  <ScaleCrop>false</ScaleCrop>
  <Company/>
  <LinksUpToDate>false</LinksUpToDate>
  <CharactersWithSpaces>25268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Parker</dc:creator>
  <cp:keywords/>
  <dc:description/>
  <cp:lastModifiedBy>Klun, Lauren</cp:lastModifiedBy>
  <cp:revision>966</cp:revision>
  <dcterms:created xsi:type="dcterms:W3CDTF">2023-11-14T21:12:00Z</dcterms:created>
  <dcterms:modified xsi:type="dcterms:W3CDTF">2026-01-06T23:29:00Z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0x010100A788E4FEB44D0B4CB1AD2E9A3A83F076</vt:lpwstr>
  </property>
  <property fmtid="{D5CDD505-2E9C-101B-9397-08002B2CF9AE}" pid="4" name="MSIP_Label_95965d95-ecc0-4720-b759-1f33c42ed7da_Enabled">
    <vt:lpwstr>true</vt:lpwstr>
  </property>
  <property fmtid="{D5CDD505-2E9C-101B-9397-08002B2CF9AE}" pid="5" name="MSIP_Label_95965d95-ecc0-4720-b759-1f33c42ed7da_SetDate">
    <vt:lpwstr>2023-11-14T21:12:28Z</vt:lpwstr>
  </property>
  <property fmtid="{D5CDD505-2E9C-101B-9397-08002B2CF9AE}" pid="6" name="MSIP_Label_95965d95-ecc0-4720-b759-1f33c42ed7da_Method">
    <vt:lpwstr>Standard</vt:lpwstr>
  </property>
  <property fmtid="{D5CDD505-2E9C-101B-9397-08002B2CF9AE}" pid="7" name="MSIP_Label_95965d95-ecc0-4720-b759-1f33c42ed7da_Name">
    <vt:lpwstr>General</vt:lpwstr>
  </property>
  <property fmtid="{D5CDD505-2E9C-101B-9397-08002B2CF9AE}" pid="8" name="MSIP_Label_95965d95-ecc0-4720-b759-1f33c42ed7da_SiteId">
    <vt:lpwstr>a0f29d7e-28cd-4f54-8442-7885aee7c080</vt:lpwstr>
  </property>
  <property fmtid="{D5CDD505-2E9C-101B-9397-08002B2CF9AE}" pid="9" name="MSIP_Label_95965d95-ecc0-4720-b759-1f33c42ed7da_ActionId">
    <vt:lpwstr>ed1238da-fc7e-4a6b-97b0-03bcd8a0d7cd</vt:lpwstr>
  </property>
  <property fmtid="{D5CDD505-2E9C-101B-9397-08002B2CF9AE}" pid="10" name="MSIP_Label_95965d95-ecc0-4720-b759-1f33c42ed7da_ContentBits">
    <vt:lpwstr>0</vt:lpwstr>
  </property>
</Properties>
</file>