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6DBB0" w14:textId="77777777" w:rsidR="00D25FFC" w:rsidRDefault="7D792C56" w:rsidP="007D5831">
      <w:pPr>
        <w:pStyle w:val="Title"/>
      </w:pPr>
      <w:r>
        <w:t>ComStock C</w:t>
      </w:r>
      <w:r w:rsidR="007A26CA">
        <w:t>hange</w:t>
      </w:r>
    </w:p>
    <w:p w14:paraId="2C078E63" w14:textId="683EA992" w:rsidR="00E55DBE" w:rsidRDefault="00D25FFC" w:rsidP="00D25FFC">
      <w:pPr>
        <w:pStyle w:val="Subtitle"/>
      </w:pPr>
      <w:r>
        <w:t>v11 Ground Heat Transfe</w:t>
      </w:r>
      <w:r w:rsidR="00DF5A50">
        <w:t>r Correction</w:t>
      </w:r>
    </w:p>
    <w:p w14:paraId="46FC2AE4" w14:textId="233519B2" w:rsidR="00F53F4B" w:rsidRPr="001A12FC" w:rsidRDefault="00F53F4B" w:rsidP="00F53F4B">
      <w:pPr>
        <w:rPr>
          <w:b/>
          <w:bCs/>
        </w:rPr>
      </w:pPr>
      <w:r w:rsidRPr="001A12FC">
        <w:rPr>
          <w:b/>
          <w:bCs/>
        </w:rPr>
        <w:t>Implementer: Matthew Dahlhausen</w:t>
      </w:r>
    </w:p>
    <w:p w14:paraId="47277AD6" w14:textId="6C48E01E" w:rsidR="00F53F4B" w:rsidRPr="001A12FC" w:rsidRDefault="00F53F4B" w:rsidP="00F53F4B">
      <w:pPr>
        <w:rPr>
          <w:b/>
          <w:bCs/>
        </w:rPr>
      </w:pPr>
      <w:r w:rsidRPr="001A12FC">
        <w:rPr>
          <w:b/>
          <w:bCs/>
        </w:rPr>
        <w:t>Change Document Author: Matthew Dahlhausen</w:t>
      </w:r>
    </w:p>
    <w:p w14:paraId="42CAD031" w14:textId="01991CE5" w:rsidR="00F53F4B" w:rsidRPr="001A12FC" w:rsidRDefault="00F53F4B" w:rsidP="00F53F4B">
      <w:pPr>
        <w:rPr>
          <w:b/>
          <w:bCs/>
        </w:rPr>
      </w:pPr>
      <w:r w:rsidRPr="001A12FC">
        <w:rPr>
          <w:b/>
          <w:bCs/>
        </w:rPr>
        <w:t>Reviewer:</w:t>
      </w:r>
      <w:r w:rsidR="002D0A4E">
        <w:rPr>
          <w:b/>
          <w:bCs/>
        </w:rPr>
        <w:t xml:space="preserve"> Andrew Parker</w:t>
      </w:r>
    </w:p>
    <w:p w14:paraId="7ED05D6C" w14:textId="0D3ACAE1" w:rsidR="007A26CA" w:rsidRDefault="009C2B70" w:rsidP="007A26CA">
      <w:pPr>
        <w:pStyle w:val="Heading1"/>
      </w:pPr>
      <w:r>
        <w:t>Description</w:t>
      </w:r>
      <w:r w:rsidR="007A26CA">
        <w:t xml:space="preserve"> of Change</w:t>
      </w:r>
    </w:p>
    <w:p w14:paraId="43F746A2" w14:textId="07E4D476" w:rsidR="009C374D" w:rsidRDefault="009C374D" w:rsidP="009C374D">
      <w:pPr>
        <w:pStyle w:val="Heading2"/>
      </w:pPr>
      <w:r>
        <w:t>Summary</w:t>
      </w:r>
    </w:p>
    <w:p w14:paraId="7FABE67D" w14:textId="508D16D1" w:rsidR="007F7D4E" w:rsidRDefault="00611117" w:rsidP="001C2639">
      <w:r>
        <w:t>This updates the floor constructions in ComStock to use FC factor constructions.  FC factor constructions assumes the domina</w:t>
      </w:r>
      <w:r w:rsidR="00506075">
        <w:t>nt</w:t>
      </w:r>
      <w:r>
        <w:t xml:space="preserve"> means of ground heat transfer occurs at the slab perimeter, with the ground temperature being a three-month lag of the monthly average outdoor drybulb temperature.  Prior to this, the model was assuming a default 18°C </w:t>
      </w:r>
      <w:r w:rsidR="004637C9">
        <w:t xml:space="preserve">(64.4°F) </w:t>
      </w:r>
      <w:r>
        <w:t>ground contact temperature across the entire uninsulated slab surface area.</w:t>
      </w:r>
    </w:p>
    <w:p w14:paraId="2954E9CD" w14:textId="7967A48A" w:rsidR="007A26CA" w:rsidRDefault="00F41FB6" w:rsidP="007F7D4E">
      <w:pPr>
        <w:pStyle w:val="Heading2"/>
      </w:pPr>
      <w:r>
        <w:t>Existing</w:t>
      </w:r>
      <w:r w:rsidR="007F7D4E">
        <w:t xml:space="preserve"> </w:t>
      </w:r>
      <w:r w:rsidR="009C2B70">
        <w:t>M</w:t>
      </w:r>
      <w:r w:rsidR="007F7D4E">
        <w:t>ethodology</w:t>
      </w:r>
    </w:p>
    <w:p w14:paraId="188EC782" w14:textId="7DD5FDE2" w:rsidR="00AB7A1E" w:rsidRPr="008C0A0A" w:rsidRDefault="00A0093F" w:rsidP="00AB7A1E">
      <w:pPr>
        <w:pStyle w:val="Heading3"/>
      </w:pPr>
      <w:r>
        <w:t>Ground contact floor</w:t>
      </w:r>
      <w:r w:rsidR="00AB7A1E">
        <w:t xml:space="preserve"> construction type</w:t>
      </w:r>
      <w:r w:rsidR="009E7E5E">
        <w:t xml:space="preserve"> (</w:t>
      </w:r>
      <w:r w:rsidR="00394AF8">
        <w:t>existing</w:t>
      </w:r>
      <w:r w:rsidR="009E7E5E">
        <w:t>)</w:t>
      </w:r>
    </w:p>
    <w:p w14:paraId="571CCBC9" w14:textId="2C76DED7" w:rsidR="0092089D" w:rsidRDefault="0092089D" w:rsidP="007A26CA">
      <w:r>
        <w:t xml:space="preserve">The existing </w:t>
      </w:r>
      <w:r w:rsidR="008A1164">
        <w:t xml:space="preserve">ground contact floor is an </w:t>
      </w:r>
      <w:proofErr w:type="spellStart"/>
      <w:r w:rsidR="008A1164">
        <w:t>ext_slab</w:t>
      </w:r>
      <w:proofErr w:type="spellEnd"/>
      <w:r w:rsidR="008A1164">
        <w:t xml:space="preserve"> construction which consists of a 6” thick slab of concrete and is identical for all buildings.</w:t>
      </w:r>
    </w:p>
    <w:p w14:paraId="76E92688" w14:textId="3E831F82" w:rsidR="0092089D" w:rsidRDefault="0092089D" w:rsidP="007A26CA">
      <w:r>
        <w:rPr>
          <w:noProof/>
        </w:rPr>
        <w:drawing>
          <wp:inline distT="0" distB="0" distL="0" distR="0" wp14:anchorId="475C9E22" wp14:editId="5DD17E6A">
            <wp:extent cx="5943600" cy="3060065"/>
            <wp:effectExtent l="0" t="0" r="0" b="6985"/>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9"/>
                    <a:stretch>
                      <a:fillRect/>
                    </a:stretch>
                  </pic:blipFill>
                  <pic:spPr>
                    <a:xfrm>
                      <a:off x="0" y="0"/>
                      <a:ext cx="5943600" cy="3060065"/>
                    </a:xfrm>
                    <a:prstGeom prst="rect">
                      <a:avLst/>
                    </a:prstGeom>
                  </pic:spPr>
                </pic:pic>
              </a:graphicData>
            </a:graphic>
          </wp:inline>
        </w:drawing>
      </w:r>
    </w:p>
    <w:p w14:paraId="34A6848B" w14:textId="0262C646" w:rsidR="008A1164" w:rsidRDefault="008A1164" w:rsidP="008A1164">
      <w:r>
        <w:t xml:space="preserve">This type of ground construction requires an input for ground surface temperatures.  While the model includes ground temperatures for FC factor constructions, representing the effective ground temperature at the slab perimeter, it does not have surface temperatures for the slab.  The result is that the model uses a default 18°C </w:t>
      </w:r>
      <w:r w:rsidR="004637C9">
        <w:t xml:space="preserve">(64.4°F) </w:t>
      </w:r>
      <w:r>
        <w:t xml:space="preserve">ground temperature per </w:t>
      </w:r>
      <w:r w:rsidR="00A0680D">
        <w:t>an EnergyPlus default:</w:t>
      </w:r>
    </w:p>
    <w:p w14:paraId="25682036" w14:textId="5E415F76" w:rsidR="008A1164" w:rsidRPr="00EB3B3F" w:rsidRDefault="008A1164" w:rsidP="008A1164">
      <w:pPr>
        <w:spacing w:after="0" w:line="240" w:lineRule="auto"/>
        <w:rPr>
          <w:rFonts w:cstheme="minorHAnsi"/>
        </w:rPr>
      </w:pPr>
      <w:r w:rsidRPr="00EB3B3F">
        <w:rPr>
          <w:rFonts w:cstheme="minorHAnsi"/>
        </w:rPr>
        <w:lastRenderedPageBreak/>
        <w:t xml:space="preserve">   ** Warning ** </w:t>
      </w:r>
      <w:proofErr w:type="spellStart"/>
      <w:r w:rsidRPr="00EB3B3F">
        <w:rPr>
          <w:rFonts w:cstheme="minorHAnsi"/>
        </w:rPr>
        <w:t>GetHTSurfaceData</w:t>
      </w:r>
      <w:proofErr w:type="spellEnd"/>
      <w:r w:rsidRPr="00EB3B3F">
        <w:rPr>
          <w:rFonts w:cstheme="minorHAnsi"/>
        </w:rPr>
        <w:t>: Surfaces with interface to Ground found but no "Ground Temperatures" were input.</w:t>
      </w:r>
    </w:p>
    <w:p w14:paraId="26A87D61" w14:textId="77777777" w:rsidR="008A1164" w:rsidRPr="00EB3B3F" w:rsidRDefault="008A1164" w:rsidP="008A1164">
      <w:pPr>
        <w:spacing w:after="0" w:line="240" w:lineRule="auto"/>
        <w:rPr>
          <w:rFonts w:cstheme="minorHAnsi"/>
        </w:rPr>
      </w:pPr>
      <w:r w:rsidRPr="00EB3B3F">
        <w:rPr>
          <w:rFonts w:cstheme="minorHAnsi"/>
        </w:rPr>
        <w:t xml:space="preserve">   **   ~~~   ** Found first in surface=SURFACE 163</w:t>
      </w:r>
    </w:p>
    <w:p w14:paraId="407A0001" w14:textId="28DEA9D6" w:rsidR="0092089D" w:rsidRPr="00EB3B3F" w:rsidRDefault="008A1164" w:rsidP="008A1164">
      <w:pPr>
        <w:spacing w:after="0" w:line="240" w:lineRule="auto"/>
        <w:rPr>
          <w:rFonts w:cstheme="minorHAnsi"/>
        </w:rPr>
      </w:pPr>
      <w:r w:rsidRPr="00EB3B3F">
        <w:rPr>
          <w:rFonts w:cstheme="minorHAnsi"/>
        </w:rPr>
        <w:t xml:space="preserve">   **   ~~~   ** Defaults, constant throughout the year of (18.0) will be used.</w:t>
      </w:r>
    </w:p>
    <w:p w14:paraId="21A202A1" w14:textId="77777777" w:rsidR="008A1164" w:rsidRDefault="008A1164" w:rsidP="007A26CA"/>
    <w:p w14:paraId="75E770F8" w14:textId="29B244DE" w:rsidR="008A1164" w:rsidRDefault="00A0680D" w:rsidP="007A26CA">
      <w:r>
        <w:t xml:space="preserve">The result is that </w:t>
      </w:r>
      <w:r w:rsidR="004637C9">
        <w:t>heat transfer is effectively decoupled from the climate zone.  The slab acts as a constant 18°C (64.4°F) which has considerable impact on heating and cooling loads given that typical zone air setpoint temperatures are higher.  Slab constructions are permanent for the life of the building.</w:t>
      </w:r>
    </w:p>
    <w:p w14:paraId="76CAF36C" w14:textId="45A9E983" w:rsidR="00AB7A1E" w:rsidRDefault="004637C9" w:rsidP="00A426CA">
      <w:pPr>
        <w:pStyle w:val="Heading3"/>
      </w:pPr>
      <w:r>
        <w:t>Heating and Cooling Load Components</w:t>
      </w:r>
    </w:p>
    <w:p w14:paraId="2270230E" w14:textId="27363BC6" w:rsidR="00531006" w:rsidRPr="00531006" w:rsidRDefault="00531006" w:rsidP="00531006">
      <w:r>
        <w:t>The result of the low, constant slab temperature is that the ground contributes</w:t>
      </w:r>
      <w:r w:rsidR="00900C52">
        <w:t xml:space="preserve"> nearly as much as roof conduction to heating loads and offsets a considerable portion of cooling loads.  We </w:t>
      </w:r>
      <w:r w:rsidR="00966CBA">
        <w:t>should expect ground to have minimal impact on loads given the size and perimeter insulation levels typical of most commercial buildings.</w:t>
      </w:r>
    </w:p>
    <w:p w14:paraId="64A5E370" w14:textId="3E196346" w:rsidR="004637C9" w:rsidRDefault="00531006" w:rsidP="00E94A44">
      <w:pPr>
        <w:jc w:val="center"/>
      </w:pPr>
      <w:r>
        <w:rPr>
          <w:noProof/>
        </w:rPr>
        <w:drawing>
          <wp:inline distT="0" distB="0" distL="0" distR="0" wp14:anchorId="2829BD6A" wp14:editId="03BB139D">
            <wp:extent cx="6201252" cy="4295775"/>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10220" cy="4301987"/>
                    </a:xfrm>
                    <a:prstGeom prst="rect">
                      <a:avLst/>
                    </a:prstGeom>
                    <a:noFill/>
                  </pic:spPr>
                </pic:pic>
              </a:graphicData>
            </a:graphic>
          </wp:inline>
        </w:drawing>
      </w:r>
    </w:p>
    <w:p w14:paraId="50182A22" w14:textId="01C585F2" w:rsidR="007F7D4E" w:rsidRDefault="009C2B70" w:rsidP="009C2B70">
      <w:pPr>
        <w:pStyle w:val="Heading2"/>
      </w:pPr>
      <w:r>
        <w:t>New Methodology</w:t>
      </w:r>
    </w:p>
    <w:p w14:paraId="1394F5CB" w14:textId="6A51FAA1" w:rsidR="00EB3B3F" w:rsidRPr="008C0A0A" w:rsidRDefault="00EB3B3F" w:rsidP="00EB3B3F">
      <w:pPr>
        <w:pStyle w:val="Heading3"/>
      </w:pPr>
      <w:r>
        <w:t>Ground contact floor construction type (new)</w:t>
      </w:r>
    </w:p>
    <w:p w14:paraId="7D428546" w14:textId="10B1C620" w:rsidR="00EB3B3F" w:rsidRDefault="00DC22A9" w:rsidP="00BE2CA1">
      <w:r>
        <w:t>The new methodology is to use FC factor constructions for ground contact surfaces instead of using the default exterior slab composed 6” of concrete.  There are two components to this update.  The first is to update the openstudio-standards construction properties sheet to</w:t>
      </w:r>
      <w:r w:rsidR="00EF6C96">
        <w:t xml:space="preserve"> include FC factor constructions across </w:t>
      </w:r>
      <w:r w:rsidR="00EF6C96">
        <w:lastRenderedPageBreak/>
        <w:t xml:space="preserve">all climate zones and combination types of </w:t>
      </w:r>
      <w:proofErr w:type="spellStart"/>
      <w:r w:rsidR="00EF6C96">
        <w:t>GroundContactFloor</w:t>
      </w:r>
      <w:proofErr w:type="spellEnd"/>
      <w:r w:rsidR="00EF6C96">
        <w:t xml:space="preserve"> constructions, detailed in this openstudio-standards pull request: </w:t>
      </w:r>
      <w:hyperlink r:id="rId11">
        <w:r w:rsidR="00EF6C96" w:rsidRPr="51DE85AF">
          <w:rPr>
            <w:rStyle w:val="Hyperlink"/>
          </w:rPr>
          <w:t>https://github.com/NREL/openstudio-standards/pull/1259</w:t>
        </w:r>
      </w:hyperlink>
      <w:r w:rsidR="00EF6C96">
        <w:t xml:space="preserve">.  Note that the OS prototypes use FC factor constructions, so this is simply extending this data to all </w:t>
      </w:r>
      <w:proofErr w:type="spellStart"/>
      <w:r w:rsidR="00EF6C96">
        <w:t>GroundContactFloor</w:t>
      </w:r>
      <w:proofErr w:type="spellEnd"/>
      <w:r w:rsidR="00EF6C96">
        <w:t xml:space="preserve"> construction types.  A component of this is changing the standards construction type from “Mass” to “Unheated” to match the definitions in the 90.1 prescriptive envelope tables, with older vintages following the same values as 90.1-2004.</w:t>
      </w:r>
    </w:p>
    <w:p w14:paraId="2175B9B4" w14:textId="50EE34C4" w:rsidR="00EB3B3F" w:rsidRDefault="00EF6C96" w:rsidP="00BE2CA1">
      <w:r>
        <w:t xml:space="preserve">The next step is to call a method to set the FC factor constructions prior to adding other constructions in the model.  If the method that adds the rest of the construction set detects and FC factor construction for ground contact floors, it will skip over applying the default ground construction.  The FC factor constructions are surface – specific constructions with calculated area and exposed perimeter values, calculated using methods from openstudio-standards.  The F-factors are from the updated standards lookup table.  This change is implemented </w:t>
      </w:r>
      <w:r w:rsidR="008A0E4C">
        <w:t xml:space="preserve">in the </w:t>
      </w:r>
      <w:proofErr w:type="spellStart"/>
      <w:r w:rsidR="008A0E4C">
        <w:t>os_lib_model_generation.rb</w:t>
      </w:r>
      <w:proofErr w:type="spellEnd"/>
      <w:r w:rsidR="008A0E4C">
        <w:t xml:space="preserve"> resource file of the </w:t>
      </w:r>
      <w:proofErr w:type="spellStart"/>
      <w:r w:rsidR="008A0E4C">
        <w:t>create_typical_building_from_model</w:t>
      </w:r>
      <w:proofErr w:type="spellEnd"/>
      <w:r w:rsidR="008A0E4C">
        <w:t xml:space="preserve"> measure, detailed in the pull request: </w:t>
      </w:r>
      <w:hyperlink r:id="rId12" w:history="1">
        <w:r w:rsidR="008A0E4C" w:rsidRPr="00D15013">
          <w:rPr>
            <w:rStyle w:val="Hyperlink"/>
          </w:rPr>
          <w:t>https://github.com/NREL/comstock-internal/pull/105</w:t>
        </w:r>
      </w:hyperlink>
      <w:r w:rsidR="008A0E4C">
        <w:t>.</w:t>
      </w:r>
    </w:p>
    <w:p w14:paraId="16222548" w14:textId="0C59C315" w:rsidR="00EB3B3F" w:rsidRDefault="00EF6C96" w:rsidP="00BE2CA1">
      <w:r>
        <w:rPr>
          <w:noProof/>
        </w:rPr>
        <w:drawing>
          <wp:inline distT="0" distB="0" distL="0" distR="0" wp14:anchorId="6A9DC6BB" wp14:editId="078A0355">
            <wp:extent cx="5943600" cy="33477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47720"/>
                    </a:xfrm>
                    <a:prstGeom prst="rect">
                      <a:avLst/>
                    </a:prstGeom>
                  </pic:spPr>
                </pic:pic>
              </a:graphicData>
            </a:graphic>
          </wp:inline>
        </w:drawing>
      </w:r>
    </w:p>
    <w:p w14:paraId="3197787E" w14:textId="5A206917" w:rsidR="005A4F3B" w:rsidRDefault="00315343" w:rsidP="00315343">
      <w:pPr>
        <w:pStyle w:val="Heading1"/>
      </w:pPr>
      <w:r>
        <w:t>Impact of Change</w:t>
      </w:r>
    </w:p>
    <w:p w14:paraId="114D3614" w14:textId="5F4DB9CE" w:rsidR="00315343" w:rsidRDefault="00440FFF" w:rsidP="008956A2">
      <w:pPr>
        <w:pStyle w:val="Heading2"/>
      </w:pPr>
      <w:r>
        <w:t xml:space="preserve">Individual </w:t>
      </w:r>
      <w:r w:rsidR="008956A2">
        <w:t>Model</w:t>
      </w:r>
      <w:r w:rsidR="00B96F4D">
        <w:t xml:space="preserve"> Input</w:t>
      </w:r>
      <w:r w:rsidR="008956A2">
        <w:t xml:space="preserve"> Change</w:t>
      </w:r>
    </w:p>
    <w:p w14:paraId="42D95A84" w14:textId="78664BAC" w:rsidR="00EA77F6" w:rsidRDefault="00EA77F6" w:rsidP="00EA77F6">
      <w:r>
        <w:t>The FC factor construction values depend only on climate zone and vintage.  This table does some spot checks of models to make sure the F factors are correct.  Note that warehouse buildings are currently assuming the “</w:t>
      </w:r>
      <w:proofErr w:type="spellStart"/>
      <w:r>
        <w:t>semiheated</w:t>
      </w:r>
      <w:proofErr w:type="spellEnd"/>
      <w:r>
        <w:t>” category for the F-factor lookup, regardless of the HVAC systems type.  There should be some warehouses that are the normal “nonresidential” and some “</w:t>
      </w:r>
      <w:proofErr w:type="spellStart"/>
      <w:r>
        <w:t>semiheated</w:t>
      </w:r>
      <w:proofErr w:type="spellEnd"/>
      <w:r>
        <w:t>” with a co-dependency of HVAC system type.</w:t>
      </w:r>
      <w:r w:rsidR="005115AD">
        <w:t xml:space="preserve">  This </w:t>
      </w:r>
      <w:r w:rsidR="00CF7234">
        <w:t>would have broader implications on</w:t>
      </w:r>
      <w:r w:rsidR="005115AD">
        <w:t xml:space="preserve"> </w:t>
      </w:r>
      <w:r w:rsidR="00CF7234">
        <w:t>how envelope type is modeled and is outside the scope of this change.</w:t>
      </w:r>
    </w:p>
    <w:tbl>
      <w:tblPr>
        <w:tblStyle w:val="TableGrid"/>
        <w:tblW w:w="0" w:type="auto"/>
        <w:tblLook w:val="04A0" w:firstRow="1" w:lastRow="0" w:firstColumn="1" w:lastColumn="0" w:noHBand="0" w:noVBand="1"/>
      </w:tblPr>
      <w:tblGrid>
        <w:gridCol w:w="1502"/>
        <w:gridCol w:w="2069"/>
        <w:gridCol w:w="1950"/>
        <w:gridCol w:w="2070"/>
      </w:tblGrid>
      <w:tr w:rsidR="00EA77F6" w14:paraId="7339BA3F" w14:textId="77777777" w:rsidTr="00182FC3">
        <w:tc>
          <w:tcPr>
            <w:tcW w:w="1502" w:type="dxa"/>
          </w:tcPr>
          <w:p w14:paraId="27725BA9" w14:textId="77777777" w:rsidR="00EA77F6" w:rsidRDefault="00EA77F6" w:rsidP="00182FC3">
            <w:r>
              <w:t>Climate Zone</w:t>
            </w:r>
          </w:p>
        </w:tc>
        <w:tc>
          <w:tcPr>
            <w:tcW w:w="2069" w:type="dxa"/>
          </w:tcPr>
          <w:p w14:paraId="693336D6" w14:textId="77777777" w:rsidR="00EA77F6" w:rsidRDefault="00EA77F6" w:rsidP="00182FC3">
            <w:r>
              <w:t>Vintage</w:t>
            </w:r>
          </w:p>
        </w:tc>
        <w:tc>
          <w:tcPr>
            <w:tcW w:w="1950" w:type="dxa"/>
          </w:tcPr>
          <w:p w14:paraId="6CCBA4C7" w14:textId="77777777" w:rsidR="00EA77F6" w:rsidRDefault="00EA77F6" w:rsidP="00182FC3">
            <w:r>
              <w:t>Expected Value</w:t>
            </w:r>
          </w:p>
        </w:tc>
        <w:tc>
          <w:tcPr>
            <w:tcW w:w="2070" w:type="dxa"/>
          </w:tcPr>
          <w:p w14:paraId="5B7D5BDB" w14:textId="77777777" w:rsidR="00EA77F6" w:rsidRDefault="00EA77F6" w:rsidP="00182FC3">
            <w:r>
              <w:t>Actual Value</w:t>
            </w:r>
          </w:p>
        </w:tc>
      </w:tr>
      <w:tr w:rsidR="00EA77F6" w14:paraId="7537E79E" w14:textId="77777777" w:rsidTr="00182FC3">
        <w:tc>
          <w:tcPr>
            <w:tcW w:w="1502" w:type="dxa"/>
          </w:tcPr>
          <w:p w14:paraId="08AAECFD" w14:textId="77777777" w:rsidR="00EA77F6" w:rsidRDefault="00EA77F6" w:rsidP="00182FC3">
            <w:r>
              <w:lastRenderedPageBreak/>
              <w:t>1A</w:t>
            </w:r>
          </w:p>
        </w:tc>
        <w:tc>
          <w:tcPr>
            <w:tcW w:w="2069" w:type="dxa"/>
          </w:tcPr>
          <w:p w14:paraId="2052612E" w14:textId="77777777" w:rsidR="00EA77F6" w:rsidRDefault="00EA77F6" w:rsidP="00182FC3">
            <w:r>
              <w:t>DOE Ref Pre-1980</w:t>
            </w:r>
          </w:p>
        </w:tc>
        <w:tc>
          <w:tcPr>
            <w:tcW w:w="1950" w:type="dxa"/>
          </w:tcPr>
          <w:p w14:paraId="1366EF31" w14:textId="77777777" w:rsidR="00EA77F6" w:rsidRDefault="00EA77F6" w:rsidP="00182FC3">
            <w:r>
              <w:t>0.73</w:t>
            </w:r>
          </w:p>
        </w:tc>
        <w:tc>
          <w:tcPr>
            <w:tcW w:w="2070" w:type="dxa"/>
          </w:tcPr>
          <w:p w14:paraId="6EF2D73B" w14:textId="77777777" w:rsidR="00EA77F6" w:rsidRDefault="00EA77F6" w:rsidP="00182FC3">
            <w:r>
              <w:t>0.73</w:t>
            </w:r>
          </w:p>
        </w:tc>
      </w:tr>
      <w:tr w:rsidR="00EA77F6" w14:paraId="24FB98C1" w14:textId="77777777" w:rsidTr="00182FC3">
        <w:tc>
          <w:tcPr>
            <w:tcW w:w="1502" w:type="dxa"/>
          </w:tcPr>
          <w:p w14:paraId="7CBD9BE5" w14:textId="77777777" w:rsidR="00EA77F6" w:rsidRDefault="00EA77F6" w:rsidP="00182FC3">
            <w:r>
              <w:t>4A</w:t>
            </w:r>
          </w:p>
        </w:tc>
        <w:tc>
          <w:tcPr>
            <w:tcW w:w="2069" w:type="dxa"/>
          </w:tcPr>
          <w:p w14:paraId="11129801" w14:textId="77777777" w:rsidR="00EA77F6" w:rsidRDefault="00EA77F6" w:rsidP="00182FC3">
            <w:r>
              <w:t>90.1-2004</w:t>
            </w:r>
          </w:p>
        </w:tc>
        <w:tc>
          <w:tcPr>
            <w:tcW w:w="1950" w:type="dxa"/>
          </w:tcPr>
          <w:p w14:paraId="115E22ED" w14:textId="77777777" w:rsidR="00EA77F6" w:rsidRDefault="00EA77F6" w:rsidP="00182FC3">
            <w:r>
              <w:t>0.73</w:t>
            </w:r>
          </w:p>
        </w:tc>
        <w:tc>
          <w:tcPr>
            <w:tcW w:w="2070" w:type="dxa"/>
          </w:tcPr>
          <w:p w14:paraId="636E994A" w14:textId="77777777" w:rsidR="00EA77F6" w:rsidRDefault="00EA77F6" w:rsidP="00182FC3">
            <w:r>
              <w:t>0.73</w:t>
            </w:r>
          </w:p>
        </w:tc>
      </w:tr>
      <w:tr w:rsidR="00EA77F6" w14:paraId="029EFF84" w14:textId="77777777" w:rsidTr="00182FC3">
        <w:tc>
          <w:tcPr>
            <w:tcW w:w="1502" w:type="dxa"/>
          </w:tcPr>
          <w:p w14:paraId="631FFB07" w14:textId="77777777" w:rsidR="00EA77F6" w:rsidRDefault="00EA77F6" w:rsidP="00182FC3">
            <w:r>
              <w:t>3C</w:t>
            </w:r>
          </w:p>
        </w:tc>
        <w:tc>
          <w:tcPr>
            <w:tcW w:w="2069" w:type="dxa"/>
          </w:tcPr>
          <w:p w14:paraId="5CEE305B" w14:textId="77777777" w:rsidR="00EA77F6" w:rsidRDefault="00EA77F6" w:rsidP="00182FC3">
            <w:r>
              <w:t>DEER Pre-1975</w:t>
            </w:r>
          </w:p>
        </w:tc>
        <w:tc>
          <w:tcPr>
            <w:tcW w:w="1950" w:type="dxa"/>
          </w:tcPr>
          <w:p w14:paraId="38C1F3B8" w14:textId="77777777" w:rsidR="00EA77F6" w:rsidRDefault="00EA77F6" w:rsidP="00182FC3">
            <w:r>
              <w:t>0.73</w:t>
            </w:r>
          </w:p>
        </w:tc>
        <w:tc>
          <w:tcPr>
            <w:tcW w:w="2070" w:type="dxa"/>
          </w:tcPr>
          <w:p w14:paraId="03AF9976" w14:textId="77777777" w:rsidR="00EA77F6" w:rsidRDefault="00EA77F6" w:rsidP="00182FC3">
            <w:r>
              <w:t>0.73</w:t>
            </w:r>
          </w:p>
        </w:tc>
      </w:tr>
      <w:tr w:rsidR="00EA77F6" w14:paraId="0FF70ACA" w14:textId="77777777" w:rsidTr="00182FC3">
        <w:tc>
          <w:tcPr>
            <w:tcW w:w="1502" w:type="dxa"/>
          </w:tcPr>
          <w:p w14:paraId="28BD0E8C" w14:textId="77777777" w:rsidR="00EA77F6" w:rsidRDefault="00EA77F6" w:rsidP="00182FC3">
            <w:r>
              <w:t>5B</w:t>
            </w:r>
          </w:p>
        </w:tc>
        <w:tc>
          <w:tcPr>
            <w:tcW w:w="2069" w:type="dxa"/>
          </w:tcPr>
          <w:p w14:paraId="77E3CF0D" w14:textId="77777777" w:rsidR="00EA77F6" w:rsidRDefault="00EA77F6" w:rsidP="00182FC3">
            <w:r>
              <w:t>90.1-2004</w:t>
            </w:r>
          </w:p>
        </w:tc>
        <w:tc>
          <w:tcPr>
            <w:tcW w:w="1950" w:type="dxa"/>
          </w:tcPr>
          <w:p w14:paraId="798B0D6C" w14:textId="77777777" w:rsidR="00EA77F6" w:rsidRDefault="00EA77F6" w:rsidP="00182FC3">
            <w:r>
              <w:t>0.73</w:t>
            </w:r>
          </w:p>
        </w:tc>
        <w:tc>
          <w:tcPr>
            <w:tcW w:w="2070" w:type="dxa"/>
          </w:tcPr>
          <w:p w14:paraId="668ED10F" w14:textId="77777777" w:rsidR="00EA77F6" w:rsidRDefault="00EA77F6" w:rsidP="00182FC3">
            <w:r>
              <w:t>0.73</w:t>
            </w:r>
          </w:p>
        </w:tc>
      </w:tr>
      <w:tr w:rsidR="00EA77F6" w14:paraId="15EECDE7" w14:textId="77777777" w:rsidTr="00182FC3">
        <w:tc>
          <w:tcPr>
            <w:tcW w:w="1502" w:type="dxa"/>
          </w:tcPr>
          <w:p w14:paraId="13658ECC" w14:textId="77777777" w:rsidR="00EA77F6" w:rsidRDefault="00EA77F6" w:rsidP="00182FC3">
            <w:r>
              <w:t>8</w:t>
            </w:r>
          </w:p>
        </w:tc>
        <w:tc>
          <w:tcPr>
            <w:tcW w:w="2069" w:type="dxa"/>
          </w:tcPr>
          <w:p w14:paraId="3A23F06A" w14:textId="77777777" w:rsidR="00EA77F6" w:rsidRDefault="00EA77F6" w:rsidP="00182FC3">
            <w:r>
              <w:t>DOE Ref Pre-1980</w:t>
            </w:r>
          </w:p>
        </w:tc>
        <w:tc>
          <w:tcPr>
            <w:tcW w:w="1950" w:type="dxa"/>
          </w:tcPr>
          <w:p w14:paraId="0FCAF737" w14:textId="77777777" w:rsidR="00EA77F6" w:rsidRDefault="00EA77F6" w:rsidP="00182FC3">
            <w:r>
              <w:t>0.54</w:t>
            </w:r>
          </w:p>
        </w:tc>
        <w:tc>
          <w:tcPr>
            <w:tcW w:w="2070" w:type="dxa"/>
          </w:tcPr>
          <w:p w14:paraId="787AB140" w14:textId="77777777" w:rsidR="00EA77F6" w:rsidRDefault="00EA77F6" w:rsidP="00182FC3">
            <w:r>
              <w:t>0.54</w:t>
            </w:r>
          </w:p>
        </w:tc>
      </w:tr>
      <w:tr w:rsidR="00EA77F6" w14:paraId="432A882A" w14:textId="77777777" w:rsidTr="00182FC3">
        <w:tc>
          <w:tcPr>
            <w:tcW w:w="1502" w:type="dxa"/>
          </w:tcPr>
          <w:p w14:paraId="055DCEE5" w14:textId="77777777" w:rsidR="00EA77F6" w:rsidRDefault="00EA77F6" w:rsidP="00182FC3">
            <w:r>
              <w:t>6A</w:t>
            </w:r>
          </w:p>
        </w:tc>
        <w:tc>
          <w:tcPr>
            <w:tcW w:w="2069" w:type="dxa"/>
          </w:tcPr>
          <w:p w14:paraId="7AD6CE9A" w14:textId="77777777" w:rsidR="00EA77F6" w:rsidRDefault="00EA77F6" w:rsidP="00182FC3">
            <w:r>
              <w:t>DOE Ref 1980-2004</w:t>
            </w:r>
          </w:p>
        </w:tc>
        <w:tc>
          <w:tcPr>
            <w:tcW w:w="1950" w:type="dxa"/>
          </w:tcPr>
          <w:p w14:paraId="1DC0D89E" w14:textId="77777777" w:rsidR="00EA77F6" w:rsidRDefault="00EA77F6" w:rsidP="00182FC3">
            <w:r>
              <w:t>0.73</w:t>
            </w:r>
          </w:p>
        </w:tc>
        <w:tc>
          <w:tcPr>
            <w:tcW w:w="2070" w:type="dxa"/>
          </w:tcPr>
          <w:p w14:paraId="0A42E3D1" w14:textId="77777777" w:rsidR="00EA77F6" w:rsidRDefault="00EA77F6" w:rsidP="00182FC3">
            <w:r>
              <w:t>0.73</w:t>
            </w:r>
          </w:p>
        </w:tc>
      </w:tr>
      <w:tr w:rsidR="00EA77F6" w14:paraId="5AC5CCAC" w14:textId="77777777" w:rsidTr="00182FC3">
        <w:tc>
          <w:tcPr>
            <w:tcW w:w="1502" w:type="dxa"/>
          </w:tcPr>
          <w:p w14:paraId="51B698C9" w14:textId="77777777" w:rsidR="00EA77F6" w:rsidRDefault="00EA77F6" w:rsidP="00182FC3">
            <w:r>
              <w:t>4B</w:t>
            </w:r>
          </w:p>
        </w:tc>
        <w:tc>
          <w:tcPr>
            <w:tcW w:w="2069" w:type="dxa"/>
          </w:tcPr>
          <w:p w14:paraId="65103594" w14:textId="77777777" w:rsidR="00EA77F6" w:rsidRDefault="00EA77F6" w:rsidP="00182FC3">
            <w:r>
              <w:t>90.1-2013</w:t>
            </w:r>
          </w:p>
        </w:tc>
        <w:tc>
          <w:tcPr>
            <w:tcW w:w="1950" w:type="dxa"/>
          </w:tcPr>
          <w:p w14:paraId="39E45172" w14:textId="77777777" w:rsidR="00EA77F6" w:rsidRPr="002762EC" w:rsidRDefault="00EA77F6" w:rsidP="00182FC3">
            <w:r w:rsidRPr="002762EC">
              <w:t>0.73 (</w:t>
            </w:r>
            <w:proofErr w:type="spellStart"/>
            <w:r w:rsidRPr="002762EC">
              <w:t>semiheated</w:t>
            </w:r>
            <w:proofErr w:type="spellEnd"/>
            <w:r w:rsidRPr="002762EC">
              <w:t>)</w:t>
            </w:r>
            <w:r>
              <w:t>*</w:t>
            </w:r>
          </w:p>
        </w:tc>
        <w:tc>
          <w:tcPr>
            <w:tcW w:w="2070" w:type="dxa"/>
          </w:tcPr>
          <w:p w14:paraId="071564B9" w14:textId="77777777" w:rsidR="00EA77F6" w:rsidRPr="002762EC" w:rsidRDefault="00EA77F6" w:rsidP="00182FC3">
            <w:r w:rsidRPr="002762EC">
              <w:t>0.73 (</w:t>
            </w:r>
            <w:proofErr w:type="spellStart"/>
            <w:r w:rsidRPr="002762EC">
              <w:t>semiheated</w:t>
            </w:r>
            <w:proofErr w:type="spellEnd"/>
            <w:r w:rsidRPr="002762EC">
              <w:t>)</w:t>
            </w:r>
            <w:r>
              <w:t>*</w:t>
            </w:r>
          </w:p>
        </w:tc>
      </w:tr>
      <w:tr w:rsidR="00EA77F6" w14:paraId="341215F0" w14:textId="77777777" w:rsidTr="00182FC3">
        <w:tc>
          <w:tcPr>
            <w:tcW w:w="1502" w:type="dxa"/>
          </w:tcPr>
          <w:p w14:paraId="7149B68D" w14:textId="77777777" w:rsidR="00EA77F6" w:rsidRDefault="00EA77F6" w:rsidP="00182FC3">
            <w:r>
              <w:t>6A</w:t>
            </w:r>
          </w:p>
        </w:tc>
        <w:tc>
          <w:tcPr>
            <w:tcW w:w="2069" w:type="dxa"/>
          </w:tcPr>
          <w:p w14:paraId="33ED37C9" w14:textId="77777777" w:rsidR="00EA77F6" w:rsidRDefault="00EA77F6" w:rsidP="00182FC3">
            <w:r>
              <w:t>90.1-2010</w:t>
            </w:r>
          </w:p>
        </w:tc>
        <w:tc>
          <w:tcPr>
            <w:tcW w:w="1950" w:type="dxa"/>
          </w:tcPr>
          <w:p w14:paraId="2E81D789" w14:textId="77777777" w:rsidR="00EA77F6" w:rsidRPr="002762EC" w:rsidRDefault="00EA77F6" w:rsidP="00182FC3">
            <w:r>
              <w:t>0.54</w:t>
            </w:r>
          </w:p>
        </w:tc>
        <w:tc>
          <w:tcPr>
            <w:tcW w:w="2070" w:type="dxa"/>
          </w:tcPr>
          <w:p w14:paraId="4636817B" w14:textId="77777777" w:rsidR="00EA77F6" w:rsidRPr="002762EC" w:rsidRDefault="00EA77F6" w:rsidP="00182FC3">
            <w:r>
              <w:t>0.54</w:t>
            </w:r>
          </w:p>
        </w:tc>
      </w:tr>
    </w:tbl>
    <w:p w14:paraId="3F7C7289" w14:textId="09A0720E" w:rsidR="00BE17D4" w:rsidRDefault="00357B4A" w:rsidP="00357B4A">
      <w:pPr>
        <w:pStyle w:val="Heading2"/>
      </w:pPr>
      <w:r>
        <w:t>Stock-Level Input Change</w:t>
      </w:r>
    </w:p>
    <w:p w14:paraId="1D9567E3" w14:textId="620522A7" w:rsidR="00BB1CDC" w:rsidRDefault="00BB1CDC" w:rsidP="005D6089">
      <w:r>
        <w:t xml:space="preserve">The model inputs change from having a U-value for ground contact surface constructions to using FC factors, so there is not a direct comparison available.  Ground FC factors values can be added to the </w:t>
      </w:r>
      <w:proofErr w:type="spellStart"/>
      <w:r>
        <w:t>comstock</w:t>
      </w:r>
      <w:proofErr w:type="spellEnd"/>
      <w:r>
        <w:t xml:space="preserve"> reporting measure in the future.</w:t>
      </w:r>
    </w:p>
    <w:p w14:paraId="6A1EE599" w14:textId="7A0F3A81" w:rsidR="007A26CA" w:rsidRDefault="00836BAD" w:rsidP="00BB1CDC">
      <w:pPr>
        <w:pStyle w:val="Heading2"/>
      </w:pPr>
      <w:r>
        <w:t>Stock-Level Output Change</w:t>
      </w:r>
    </w:p>
    <w:p w14:paraId="35445EE6" w14:textId="2BC3975D" w:rsidR="00BB1CDC" w:rsidRPr="00BB1CDC" w:rsidRDefault="00BB1CDC" w:rsidP="00BB1CDC">
      <w:r>
        <w:t xml:space="preserve">The primary comparison is to look at the influence of the ground components (foundation wall, floor, and ground) on the thermal load component intensity for heating and cooling.  Comparing this to the baseline figure shows a much lower </w:t>
      </w:r>
      <w:r w:rsidR="00B86B14">
        <w:t xml:space="preserve">contributions for heating (0.13 to 0.35 </w:t>
      </w:r>
      <w:proofErr w:type="spellStart"/>
      <w:r w:rsidR="00B86B14">
        <w:t>kbtu</w:t>
      </w:r>
      <w:proofErr w:type="spellEnd"/>
      <w:r w:rsidR="00B86B14">
        <w:t xml:space="preserve">/sf compared to ~1 </w:t>
      </w:r>
      <w:proofErr w:type="spellStart"/>
      <w:r w:rsidR="00B86B14">
        <w:t>kbtu</w:t>
      </w:r>
      <w:proofErr w:type="spellEnd"/>
      <w:r w:rsidR="00B86B14">
        <w:t xml:space="preserve"> sf) and cooling (-0.43 to -0.53 </w:t>
      </w:r>
      <w:proofErr w:type="spellStart"/>
      <w:r w:rsidR="00B86B14">
        <w:t>kbtu</w:t>
      </w:r>
      <w:proofErr w:type="spellEnd"/>
      <w:r w:rsidR="00B86B14">
        <w:t xml:space="preserve">/sf instead of -2 to -4 </w:t>
      </w:r>
      <w:proofErr w:type="spellStart"/>
      <w:r w:rsidR="00B86B14">
        <w:t>kbtu</w:t>
      </w:r>
      <w:proofErr w:type="spellEnd"/>
      <w:r w:rsidR="00B86B14">
        <w:t xml:space="preserve">/sf).  </w:t>
      </w:r>
      <w:r w:rsidR="00E94A44">
        <w:t>These values are much more in line with what expect is the relative importance of ground heat transfer.</w:t>
      </w:r>
    </w:p>
    <w:p w14:paraId="7AAA4ABC" w14:textId="2516B316" w:rsidR="00BB1CDC" w:rsidRDefault="00DB262C" w:rsidP="00E94A44">
      <w:pPr>
        <w:jc w:val="center"/>
        <w:rPr>
          <w:color w:val="FF0000"/>
        </w:rPr>
      </w:pPr>
      <w:r>
        <w:rPr>
          <w:noProof/>
          <w:color w:val="FF0000"/>
        </w:rPr>
        <w:lastRenderedPageBreak/>
        <w:drawing>
          <wp:inline distT="0" distB="0" distL="0" distR="0" wp14:anchorId="0C515531" wp14:editId="25D8FDCD">
            <wp:extent cx="5217206" cy="499110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33322" cy="5006518"/>
                    </a:xfrm>
                    <a:prstGeom prst="rect">
                      <a:avLst/>
                    </a:prstGeom>
                    <a:noFill/>
                    <a:ln>
                      <a:noFill/>
                    </a:ln>
                  </pic:spPr>
                </pic:pic>
              </a:graphicData>
            </a:graphic>
          </wp:inline>
        </w:drawing>
      </w:r>
    </w:p>
    <w:p w14:paraId="2F69F047" w14:textId="182F3B7A" w:rsidR="004C7AFC" w:rsidRPr="00836BAD" w:rsidRDefault="004C7AFC" w:rsidP="00695633">
      <w:pPr>
        <w:jc w:val="center"/>
        <w:rPr>
          <w:color w:val="FF0000"/>
        </w:rPr>
      </w:pPr>
    </w:p>
    <w:sectPr w:rsidR="004C7AFC" w:rsidRPr="00836BAD" w:rsidSect="001059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5769A"/>
    <w:multiLevelType w:val="hybridMultilevel"/>
    <w:tmpl w:val="65B06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D35F0E"/>
    <w:multiLevelType w:val="hybridMultilevel"/>
    <w:tmpl w:val="451A749C"/>
    <w:lvl w:ilvl="0" w:tplc="E0AA95D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2331678">
    <w:abstractNumId w:val="0"/>
  </w:num>
  <w:num w:numId="2" w16cid:durableId="13951564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E14055A"/>
    <w:rsid w:val="00006430"/>
    <w:rsid w:val="00007B2C"/>
    <w:rsid w:val="0002195D"/>
    <w:rsid w:val="000301B2"/>
    <w:rsid w:val="00044EB7"/>
    <w:rsid w:val="000550C8"/>
    <w:rsid w:val="00064C14"/>
    <w:rsid w:val="0009642C"/>
    <w:rsid w:val="000B68CA"/>
    <w:rsid w:val="000D696E"/>
    <w:rsid w:val="000F0F97"/>
    <w:rsid w:val="000F2A88"/>
    <w:rsid w:val="0010076C"/>
    <w:rsid w:val="00100BF0"/>
    <w:rsid w:val="00102DE2"/>
    <w:rsid w:val="0010595E"/>
    <w:rsid w:val="001207B7"/>
    <w:rsid w:val="0015352B"/>
    <w:rsid w:val="00154F8B"/>
    <w:rsid w:val="00171FBC"/>
    <w:rsid w:val="0018352B"/>
    <w:rsid w:val="00185CBA"/>
    <w:rsid w:val="00187487"/>
    <w:rsid w:val="001902A3"/>
    <w:rsid w:val="001A12FC"/>
    <w:rsid w:val="001C2639"/>
    <w:rsid w:val="001E120A"/>
    <w:rsid w:val="001E5DF6"/>
    <w:rsid w:val="001F1A8C"/>
    <w:rsid w:val="001F274D"/>
    <w:rsid w:val="002448F4"/>
    <w:rsid w:val="002568BB"/>
    <w:rsid w:val="00270B07"/>
    <w:rsid w:val="002762EC"/>
    <w:rsid w:val="0028432B"/>
    <w:rsid w:val="00294EA5"/>
    <w:rsid w:val="002B5545"/>
    <w:rsid w:val="002D0A4E"/>
    <w:rsid w:val="002E61A3"/>
    <w:rsid w:val="00311DAD"/>
    <w:rsid w:val="00315343"/>
    <w:rsid w:val="00357B4A"/>
    <w:rsid w:val="00394AF8"/>
    <w:rsid w:val="00400AAC"/>
    <w:rsid w:val="00417B85"/>
    <w:rsid w:val="00432C5B"/>
    <w:rsid w:val="00440FFF"/>
    <w:rsid w:val="0045436D"/>
    <w:rsid w:val="004637C9"/>
    <w:rsid w:val="00466794"/>
    <w:rsid w:val="0047600B"/>
    <w:rsid w:val="00492825"/>
    <w:rsid w:val="004B3E76"/>
    <w:rsid w:val="004B7060"/>
    <w:rsid w:val="004C7AFC"/>
    <w:rsid w:val="004D06BE"/>
    <w:rsid w:val="004F1045"/>
    <w:rsid w:val="00506075"/>
    <w:rsid w:val="005115AD"/>
    <w:rsid w:val="005125D8"/>
    <w:rsid w:val="00531006"/>
    <w:rsid w:val="00543B55"/>
    <w:rsid w:val="00584920"/>
    <w:rsid w:val="00594FD1"/>
    <w:rsid w:val="005A4F3B"/>
    <w:rsid w:val="005A650C"/>
    <w:rsid w:val="005B555E"/>
    <w:rsid w:val="005B7866"/>
    <w:rsid w:val="005D1554"/>
    <w:rsid w:val="005D6089"/>
    <w:rsid w:val="005E1334"/>
    <w:rsid w:val="00611117"/>
    <w:rsid w:val="00674C46"/>
    <w:rsid w:val="00695633"/>
    <w:rsid w:val="006B5732"/>
    <w:rsid w:val="006B7C94"/>
    <w:rsid w:val="006D0413"/>
    <w:rsid w:val="006E0B76"/>
    <w:rsid w:val="006E37B9"/>
    <w:rsid w:val="006E7698"/>
    <w:rsid w:val="00752326"/>
    <w:rsid w:val="007531B0"/>
    <w:rsid w:val="007656F2"/>
    <w:rsid w:val="007A26CA"/>
    <w:rsid w:val="007A4D3E"/>
    <w:rsid w:val="007B25A4"/>
    <w:rsid w:val="007B5168"/>
    <w:rsid w:val="007C3335"/>
    <w:rsid w:val="007C3B67"/>
    <w:rsid w:val="007D5831"/>
    <w:rsid w:val="007E5D6E"/>
    <w:rsid w:val="007E7254"/>
    <w:rsid w:val="007F0B16"/>
    <w:rsid w:val="007F7D4E"/>
    <w:rsid w:val="008077AA"/>
    <w:rsid w:val="00811FA8"/>
    <w:rsid w:val="00822028"/>
    <w:rsid w:val="008270AD"/>
    <w:rsid w:val="00836BAD"/>
    <w:rsid w:val="00880676"/>
    <w:rsid w:val="00882BC1"/>
    <w:rsid w:val="008956A2"/>
    <w:rsid w:val="008A0E4C"/>
    <w:rsid w:val="008A1164"/>
    <w:rsid w:val="008A6F2D"/>
    <w:rsid w:val="008B4FB7"/>
    <w:rsid w:val="008B66EC"/>
    <w:rsid w:val="008C0A0A"/>
    <w:rsid w:val="008C2CE6"/>
    <w:rsid w:val="00900C52"/>
    <w:rsid w:val="0092089D"/>
    <w:rsid w:val="0093484B"/>
    <w:rsid w:val="00966CBA"/>
    <w:rsid w:val="0097498A"/>
    <w:rsid w:val="009C2B70"/>
    <w:rsid w:val="009C374D"/>
    <w:rsid w:val="009C3ACB"/>
    <w:rsid w:val="009E53AA"/>
    <w:rsid w:val="009E7E5E"/>
    <w:rsid w:val="009F66B9"/>
    <w:rsid w:val="00A0093F"/>
    <w:rsid w:val="00A0680D"/>
    <w:rsid w:val="00A10FFD"/>
    <w:rsid w:val="00A20FC3"/>
    <w:rsid w:val="00A426CA"/>
    <w:rsid w:val="00A87F01"/>
    <w:rsid w:val="00AA2AD7"/>
    <w:rsid w:val="00AB7A1E"/>
    <w:rsid w:val="00AC284D"/>
    <w:rsid w:val="00AE0550"/>
    <w:rsid w:val="00B4019C"/>
    <w:rsid w:val="00B5014B"/>
    <w:rsid w:val="00B55347"/>
    <w:rsid w:val="00B80950"/>
    <w:rsid w:val="00B86B14"/>
    <w:rsid w:val="00B874F2"/>
    <w:rsid w:val="00B923A9"/>
    <w:rsid w:val="00B96F4D"/>
    <w:rsid w:val="00BA64E1"/>
    <w:rsid w:val="00BB1CDC"/>
    <w:rsid w:val="00BC4F6C"/>
    <w:rsid w:val="00BE17D4"/>
    <w:rsid w:val="00BE2CA1"/>
    <w:rsid w:val="00C004BB"/>
    <w:rsid w:val="00C14BCE"/>
    <w:rsid w:val="00C356C5"/>
    <w:rsid w:val="00C3734F"/>
    <w:rsid w:val="00C43F93"/>
    <w:rsid w:val="00C82183"/>
    <w:rsid w:val="00CB2F23"/>
    <w:rsid w:val="00CC2419"/>
    <w:rsid w:val="00CD5564"/>
    <w:rsid w:val="00CD60FA"/>
    <w:rsid w:val="00CE4C87"/>
    <w:rsid w:val="00CF7234"/>
    <w:rsid w:val="00D25FFC"/>
    <w:rsid w:val="00D264F3"/>
    <w:rsid w:val="00D40C4F"/>
    <w:rsid w:val="00D62EE3"/>
    <w:rsid w:val="00D64A80"/>
    <w:rsid w:val="00D66905"/>
    <w:rsid w:val="00D728C4"/>
    <w:rsid w:val="00D77224"/>
    <w:rsid w:val="00D87A1A"/>
    <w:rsid w:val="00DB262C"/>
    <w:rsid w:val="00DC22A9"/>
    <w:rsid w:val="00DF5A50"/>
    <w:rsid w:val="00E202ED"/>
    <w:rsid w:val="00E2169F"/>
    <w:rsid w:val="00E33887"/>
    <w:rsid w:val="00E55DBE"/>
    <w:rsid w:val="00E94A44"/>
    <w:rsid w:val="00EA4B10"/>
    <w:rsid w:val="00EA77F6"/>
    <w:rsid w:val="00EB3B3F"/>
    <w:rsid w:val="00EF24FB"/>
    <w:rsid w:val="00EF6C96"/>
    <w:rsid w:val="00F102F0"/>
    <w:rsid w:val="00F41FB6"/>
    <w:rsid w:val="00F53F4B"/>
    <w:rsid w:val="00F67438"/>
    <w:rsid w:val="00F95EFA"/>
    <w:rsid w:val="00FE3011"/>
    <w:rsid w:val="04064BE5"/>
    <w:rsid w:val="06B19CFB"/>
    <w:rsid w:val="2E14055A"/>
    <w:rsid w:val="51DE85AF"/>
    <w:rsid w:val="5C79C260"/>
    <w:rsid w:val="67E84399"/>
    <w:rsid w:val="7283804A"/>
    <w:rsid w:val="7D792C5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15812"/>
  <w15:chartTrackingRefBased/>
  <w15:docId w15:val="{8948D4F7-F2B7-47C0-BD7C-F3C538DA4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6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F7D4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B7A1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D583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83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A26C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F7D4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B7A1E"/>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E2CA1"/>
    <w:pPr>
      <w:ind w:left="720"/>
      <w:contextualSpacing/>
    </w:pPr>
  </w:style>
  <w:style w:type="table" w:styleId="PlainTable1">
    <w:name w:val="Plain Table 1"/>
    <w:basedOn w:val="TableNormal"/>
    <w:uiPriority w:val="41"/>
    <w:rsid w:val="00102DE2"/>
    <w:pPr>
      <w:spacing w:after="0" w:line="240" w:lineRule="auto"/>
    </w:pPr>
    <w:rPr>
      <w:rFonts w:eastAsia="Times New Roma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AC28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F6C96"/>
    <w:rPr>
      <w:color w:val="0563C1" w:themeColor="hyperlink"/>
      <w:u w:val="single"/>
    </w:rPr>
  </w:style>
  <w:style w:type="character" w:styleId="UnresolvedMention">
    <w:name w:val="Unresolved Mention"/>
    <w:basedOn w:val="DefaultParagraphFont"/>
    <w:uiPriority w:val="99"/>
    <w:unhideWhenUsed/>
    <w:rsid w:val="00EF6C96"/>
    <w:rPr>
      <w:color w:val="605E5C"/>
      <w:shd w:val="clear" w:color="auto" w:fill="E1DFDD"/>
    </w:rPr>
  </w:style>
  <w:style w:type="paragraph" w:styleId="Subtitle">
    <w:name w:val="Subtitle"/>
    <w:basedOn w:val="Normal"/>
    <w:next w:val="Normal"/>
    <w:link w:val="SubtitleChar"/>
    <w:uiPriority w:val="11"/>
    <w:qFormat/>
    <w:rsid w:val="00D25FFC"/>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25FFC"/>
    <w:rPr>
      <w:rFonts w:eastAsiaTheme="minorEastAsia"/>
      <w:color w:val="5A5A5A" w:themeColor="text1" w:themeTint="A5"/>
      <w:spacing w:val="15"/>
    </w:rPr>
  </w:style>
  <w:style w:type="character" w:styleId="CommentReference">
    <w:name w:val="annotation reference"/>
    <w:basedOn w:val="DefaultParagraphFont"/>
    <w:uiPriority w:val="99"/>
    <w:semiHidden/>
    <w:unhideWhenUsed/>
    <w:rsid w:val="00CD5564"/>
    <w:rPr>
      <w:sz w:val="16"/>
      <w:szCs w:val="16"/>
    </w:rPr>
  </w:style>
  <w:style w:type="paragraph" w:styleId="CommentText">
    <w:name w:val="annotation text"/>
    <w:basedOn w:val="Normal"/>
    <w:link w:val="CommentTextChar"/>
    <w:uiPriority w:val="99"/>
    <w:semiHidden/>
    <w:unhideWhenUsed/>
    <w:rsid w:val="00CD5564"/>
    <w:pPr>
      <w:spacing w:line="240" w:lineRule="auto"/>
    </w:pPr>
    <w:rPr>
      <w:sz w:val="20"/>
      <w:szCs w:val="20"/>
    </w:rPr>
  </w:style>
  <w:style w:type="character" w:customStyle="1" w:styleId="CommentTextChar">
    <w:name w:val="Comment Text Char"/>
    <w:basedOn w:val="DefaultParagraphFont"/>
    <w:link w:val="CommentText"/>
    <w:uiPriority w:val="99"/>
    <w:semiHidden/>
    <w:rsid w:val="00CD5564"/>
    <w:rPr>
      <w:sz w:val="20"/>
      <w:szCs w:val="20"/>
    </w:rPr>
  </w:style>
  <w:style w:type="paragraph" w:styleId="CommentSubject">
    <w:name w:val="annotation subject"/>
    <w:basedOn w:val="CommentText"/>
    <w:next w:val="CommentText"/>
    <w:link w:val="CommentSubjectChar"/>
    <w:uiPriority w:val="99"/>
    <w:semiHidden/>
    <w:unhideWhenUsed/>
    <w:rsid w:val="00CD5564"/>
    <w:rPr>
      <w:b/>
      <w:bCs/>
    </w:rPr>
  </w:style>
  <w:style w:type="character" w:customStyle="1" w:styleId="CommentSubjectChar">
    <w:name w:val="Comment Subject Char"/>
    <w:basedOn w:val="CommentTextChar"/>
    <w:link w:val="CommentSubject"/>
    <w:uiPriority w:val="99"/>
    <w:semiHidden/>
    <w:rsid w:val="00CD5564"/>
    <w:rPr>
      <w:b/>
      <w:bCs/>
      <w:sz w:val="20"/>
      <w:szCs w:val="20"/>
    </w:rPr>
  </w:style>
  <w:style w:type="character" w:styleId="Mention">
    <w:name w:val="Mention"/>
    <w:basedOn w:val="DefaultParagraphFont"/>
    <w:uiPriority w:val="99"/>
    <w:unhideWhenUsed/>
    <w:rsid w:val="00CD5564"/>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204236">
      <w:bodyDiv w:val="1"/>
      <w:marLeft w:val="0"/>
      <w:marRight w:val="0"/>
      <w:marTop w:val="0"/>
      <w:marBottom w:val="0"/>
      <w:divBdr>
        <w:top w:val="none" w:sz="0" w:space="0" w:color="auto"/>
        <w:left w:val="none" w:sz="0" w:space="0" w:color="auto"/>
        <w:bottom w:val="none" w:sz="0" w:space="0" w:color="auto"/>
        <w:right w:val="none" w:sz="0" w:space="0" w:color="auto"/>
      </w:divBdr>
    </w:div>
    <w:div w:id="771245479">
      <w:bodyDiv w:val="1"/>
      <w:marLeft w:val="0"/>
      <w:marRight w:val="0"/>
      <w:marTop w:val="0"/>
      <w:marBottom w:val="0"/>
      <w:divBdr>
        <w:top w:val="none" w:sz="0" w:space="0" w:color="auto"/>
        <w:left w:val="none" w:sz="0" w:space="0" w:color="auto"/>
        <w:bottom w:val="none" w:sz="0" w:space="0" w:color="auto"/>
        <w:right w:val="none" w:sz="0" w:space="0" w:color="auto"/>
      </w:divBdr>
      <w:divsChild>
        <w:div w:id="2060591444">
          <w:marLeft w:val="0"/>
          <w:marRight w:val="0"/>
          <w:marTop w:val="0"/>
          <w:marBottom w:val="0"/>
          <w:divBdr>
            <w:top w:val="none" w:sz="0" w:space="0" w:color="auto"/>
            <w:left w:val="none" w:sz="0" w:space="0" w:color="auto"/>
            <w:bottom w:val="none" w:sz="0" w:space="0" w:color="auto"/>
            <w:right w:val="none" w:sz="0" w:space="0" w:color="auto"/>
          </w:divBdr>
          <w:divsChild>
            <w:div w:id="30431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github.com/NREL/comstock-internal/pull/105"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NREL/openstudio-standards/pull/1259"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ct:contentTypeSchema xmlns:ct="http://schemas.microsoft.com/office/2006/metadata/contentType" xmlns:ma="http://schemas.microsoft.com/office/2006/metadata/properties/metaAttributes" ct:_="" ma:_="" ma:contentTypeName="Document" ma:contentTypeID="0x010100A788E4FEB44D0B4CB1AD2E9A3A83F076" ma:contentTypeVersion="16" ma:contentTypeDescription="Create a new document." ma:contentTypeScope="" ma:versionID="15595268864ae27d4e24619f3ab4334c">
  <xsd:schema xmlns:xsd="http://www.w3.org/2001/XMLSchema" xmlns:xs="http://www.w3.org/2001/XMLSchema" xmlns:p="http://schemas.microsoft.com/office/2006/metadata/properties" xmlns:ns2="8baa01ab-7cf8-4360-9f3f-f87b1ec95c26" xmlns:ns3="d481fc2a-e230-47f7-a716-4f7f4b27a8e6" targetNamespace="http://schemas.microsoft.com/office/2006/metadata/properties" ma:root="true" ma:fieldsID="3791dbb61dcecf7697a1740df2da9f1f" ns2:_="" ns3:_="">
    <xsd:import namespace="8baa01ab-7cf8-4360-9f3f-f87b1ec95c26"/>
    <xsd:import namespace="d481fc2a-e230-47f7-a716-4f7f4b27a8e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aa01ab-7cf8-4360-9f3f-f87b1ec95c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7834da80-57da-4863-8816-2e6886d1e86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481fc2a-e230-47f7-a716-4f7f4b27a8e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9abccf19-6643-45a5-82c6-2892444a6565}" ma:internalName="TaxCatchAll" ma:showField="CatchAllData" ma:web="d481fc2a-e230-47f7-a716-4f7f4b27a8e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baa01ab-7cf8-4360-9f3f-f87b1ec95c26">
      <Terms xmlns="http://schemas.microsoft.com/office/infopath/2007/PartnerControls"/>
    </lcf76f155ced4ddcb4097134ff3c332f>
    <TaxCatchAll xmlns="d481fc2a-e230-47f7-a716-4f7f4b27a8e6" xsi:nil="true"/>
  </documentManagement>
</p:properties>
</file>

<file path=customXml/itemProps1.xml><?xml version="1.0" encoding="utf-8"?>
<ds:datastoreItem xmlns:ds="http://schemas.openxmlformats.org/officeDocument/2006/customXml" ds:itemID="{8565B7B8-171A-42CD-964F-74211FC374D2}">
  <ds:schemaRefs>
    <ds:schemaRef ds:uri="http://schemas.openxmlformats.org/officeDocument/2006/bibliography"/>
  </ds:schemaRefs>
</ds:datastoreItem>
</file>

<file path=customXml/itemProps2.xml><?xml version="1.0" encoding="utf-8"?>
<ds:datastoreItem xmlns:ds="http://schemas.openxmlformats.org/officeDocument/2006/customXml" ds:itemID="{DB99131E-608E-4ADE-8EB5-3DDE6C19A3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aa01ab-7cf8-4360-9f3f-f87b1ec95c26"/>
    <ds:schemaRef ds:uri="d481fc2a-e230-47f7-a716-4f7f4b27a8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E5D7E9-84FA-4C55-BDE7-30D0DF035B09}">
  <ds:schemaRefs>
    <ds:schemaRef ds:uri="http://schemas.microsoft.com/sharepoint/v3/contenttype/forms"/>
  </ds:schemaRefs>
</ds:datastoreItem>
</file>

<file path=customXml/itemProps4.xml><?xml version="1.0" encoding="utf-8"?>
<ds:datastoreItem xmlns:ds="http://schemas.openxmlformats.org/officeDocument/2006/customXml" ds:itemID="{8F88A8FD-F348-4542-8831-4BDC69742C11}">
  <ds:schemaRefs>
    <ds:schemaRef ds:uri="http://schemas.microsoft.com/office/2006/metadata/properties"/>
    <ds:schemaRef ds:uri="http://schemas.microsoft.com/office/infopath/2007/PartnerControls"/>
    <ds:schemaRef ds:uri="8baa01ab-7cf8-4360-9f3f-f87b1ec95c26"/>
    <ds:schemaRef ds:uri="d481fc2a-e230-47f7-a716-4f7f4b27a8e6"/>
  </ds:schemaRefs>
</ds:datastoreItem>
</file>

<file path=docMetadata/LabelInfo.xml><?xml version="1.0" encoding="utf-8"?>
<clbl:labelList xmlns:clbl="http://schemas.microsoft.com/office/2020/mipLabelMetadata">
  <clbl:label id="{95965d95-ecc0-4720-b759-1f33c42ed7da}" enabled="1" method="Standard" siteId="{a0f29d7e-28cd-4f54-8442-7885aee7c080}"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5</Pages>
  <Words>810</Words>
  <Characters>4588</Characters>
  <Application>Microsoft Office Word</Application>
  <DocSecurity>0</DocSecurity>
  <Lines>110</Lines>
  <Paragraphs>65</Paragraphs>
  <ScaleCrop>false</ScaleCrop>
  <Company/>
  <LinksUpToDate>false</LinksUpToDate>
  <CharactersWithSpaces>5373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Parker, Andrew</dc:creator>
  <cp:keywords/>
  <dc:description/>
  <cp:lastModifiedBy>Klun, Lauren</cp:lastModifiedBy>
  <cp:revision>4</cp:revision>
  <dcterms:created xsi:type="dcterms:W3CDTF">2026-01-06T22:08:00Z</dcterms:created>
  <dcterms:modified xsi:type="dcterms:W3CDTF">2026-01-06T22:15:00Z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0x010100A788E4FEB44D0B4CB1AD2E9A3A83F076</vt:lpwstr>
  </property>
  <property fmtid="{D5CDD505-2E9C-101B-9397-08002B2CF9AE}" pid="3" name="MSIP_Label_95965d95-ecc0-4720-b759-1f33c42ed7da_Enabled">
    <vt:lpwstr>true</vt:lpwstr>
  </property>
  <property fmtid="{D5CDD505-2E9C-101B-9397-08002B2CF9AE}" pid="4" name="MSIP_Label_95965d95-ecc0-4720-b759-1f33c42ed7da_SetDate">
    <vt:lpwstr>2023-10-25T20:30:27Z</vt:lpwstr>
  </property>
  <property fmtid="{D5CDD505-2E9C-101B-9397-08002B2CF9AE}" pid="5" name="MSIP_Label_95965d95-ecc0-4720-b759-1f33c42ed7da_Method">
    <vt:lpwstr>Standard</vt:lpwstr>
  </property>
  <property fmtid="{D5CDD505-2E9C-101B-9397-08002B2CF9AE}" pid="6" name="MSIP_Label_95965d95-ecc0-4720-b759-1f33c42ed7da_Name">
    <vt:lpwstr>General</vt:lpwstr>
  </property>
  <property fmtid="{D5CDD505-2E9C-101B-9397-08002B2CF9AE}" pid="7" name="MSIP_Label_95965d95-ecc0-4720-b759-1f33c42ed7da_SiteId">
    <vt:lpwstr>a0f29d7e-28cd-4f54-8442-7885aee7c080</vt:lpwstr>
  </property>
  <property fmtid="{D5CDD505-2E9C-101B-9397-08002B2CF9AE}" pid="8" name="MSIP_Label_95965d95-ecc0-4720-b759-1f33c42ed7da_ActionId">
    <vt:lpwstr>b373c918-8d12-4af3-abb6-90f89088a6dd</vt:lpwstr>
  </property>
  <property fmtid="{D5CDD505-2E9C-101B-9397-08002B2CF9AE}" pid="9" name="MSIP_Label_95965d95-ecc0-4720-b759-1f33c42ed7da_ContentBits">
    <vt:lpwstr>0</vt:lpwstr>
  </property>
  <property fmtid="{D5CDD505-2E9C-101B-9397-08002B2CF9AE}" pid="10" name="MediaServiceImageTags">
    <vt:lpwstr/>
  </property>
</Properties>
</file>