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0A93" w14:textId="77777777" w:rsidR="002507CE" w:rsidRDefault="00BF2DDA" w:rsidP="00A761F6">
      <w:pPr>
        <w:pStyle w:val="Title"/>
      </w:pPr>
      <w:r>
        <w:t xml:space="preserve">ComStock </w:t>
      </w:r>
      <w:r w:rsidR="002507CE">
        <w:t>Change</w:t>
      </w:r>
    </w:p>
    <w:p w14:paraId="435BEF72" w14:textId="33395A49" w:rsidR="00717F96" w:rsidRDefault="005B4A06" w:rsidP="00A761F6">
      <w:pPr>
        <w:pStyle w:val="Subtitle"/>
      </w:pPr>
      <w:r>
        <w:t>Economizers</w:t>
      </w:r>
    </w:p>
    <w:p w14:paraId="10B60449" w14:textId="05B5B860" w:rsidR="00870931" w:rsidRPr="00A761F6" w:rsidRDefault="00870931" w:rsidP="00A761F6">
      <w:pPr>
        <w:rPr>
          <w:b/>
          <w:bCs/>
        </w:rPr>
      </w:pPr>
      <w:r w:rsidRPr="00A761F6">
        <w:rPr>
          <w:b/>
          <w:bCs/>
        </w:rPr>
        <w:t xml:space="preserve">Implementer: </w:t>
      </w:r>
      <w:r w:rsidR="00A9403B">
        <w:rPr>
          <w:b/>
          <w:bCs/>
        </w:rPr>
        <w:t>Janghyun Kim</w:t>
      </w:r>
    </w:p>
    <w:p w14:paraId="31CF1E97" w14:textId="467D9FA4" w:rsidR="00870931" w:rsidRPr="00A761F6" w:rsidRDefault="00870931" w:rsidP="00A761F6">
      <w:pPr>
        <w:rPr>
          <w:b/>
          <w:bCs/>
        </w:rPr>
      </w:pPr>
      <w:r w:rsidRPr="00A761F6">
        <w:rPr>
          <w:b/>
          <w:bCs/>
        </w:rPr>
        <w:t xml:space="preserve">Change Document Author: </w:t>
      </w:r>
      <w:r w:rsidR="00A9403B">
        <w:rPr>
          <w:b/>
          <w:bCs/>
        </w:rPr>
        <w:t>Janghyun Kim, Andrew Parker</w:t>
      </w:r>
    </w:p>
    <w:p w14:paraId="71D557ED" w14:textId="15432D3D" w:rsidR="00870931" w:rsidRPr="004908B7" w:rsidRDefault="00ED6221" w:rsidP="00A761F6">
      <w:pPr>
        <w:rPr>
          <w:b/>
          <w:bCs/>
        </w:rPr>
      </w:pPr>
      <w:r>
        <w:rPr>
          <w:b/>
          <w:bCs/>
        </w:rPr>
        <w:t xml:space="preserve"> </w:t>
      </w:r>
    </w:p>
    <w:p w14:paraId="209B0D78" w14:textId="77777777" w:rsidR="00870931" w:rsidRPr="00870931" w:rsidRDefault="00870931" w:rsidP="00A761F6">
      <w:pPr>
        <w:pStyle w:val="Heading1"/>
        <w:rPr>
          <w:rFonts w:eastAsia="MS Gothic"/>
        </w:rPr>
      </w:pPr>
      <w:r w:rsidRPr="00870931">
        <w:rPr>
          <w:rFonts w:eastAsia="MS Gothic"/>
        </w:rPr>
        <w:t>Description of Change</w:t>
      </w:r>
    </w:p>
    <w:p w14:paraId="77607D7F" w14:textId="77777777" w:rsidR="00870931" w:rsidRPr="00870931" w:rsidRDefault="00870931" w:rsidP="00A761F6">
      <w:pPr>
        <w:pStyle w:val="Heading2"/>
        <w:rPr>
          <w:rFonts w:eastAsia="MS Gothic"/>
        </w:rPr>
      </w:pPr>
      <w:r w:rsidRPr="00870931">
        <w:rPr>
          <w:rFonts w:eastAsia="MS Gothic"/>
        </w:rPr>
        <w:t>Summary</w:t>
      </w:r>
    </w:p>
    <w:p w14:paraId="4015550F" w14:textId="519DF6AB" w:rsidR="007F338C" w:rsidRDefault="00870931" w:rsidP="00BA275C">
      <w:pPr>
        <w:pStyle w:val="NRELBodyText"/>
      </w:pPr>
      <w:r>
        <w:t xml:space="preserve">This </w:t>
      </w:r>
      <w:r w:rsidR="417BEC04">
        <w:t>change</w:t>
      </w:r>
      <w:r w:rsidR="005C0121">
        <w:t xml:space="preserve"> modifies</w:t>
      </w:r>
      <w:r w:rsidR="417BEC04">
        <w:t xml:space="preserve"> t</w:t>
      </w:r>
      <w:r w:rsidR="00D575D2">
        <w:t>he prevalence</w:t>
      </w:r>
      <w:r w:rsidR="00D74DEA">
        <w:t xml:space="preserve">, </w:t>
      </w:r>
      <w:r w:rsidR="00D575D2">
        <w:t>control type</w:t>
      </w:r>
      <w:r w:rsidR="00D74DEA">
        <w:t>, and operational status</w:t>
      </w:r>
      <w:r w:rsidR="00D575D2">
        <w:t xml:space="preserve"> for airside economizers in the baseline building</w:t>
      </w:r>
      <w:r w:rsidR="000B4BA6">
        <w:t xml:space="preserve"> </w:t>
      </w:r>
      <w:r w:rsidR="00D74DEA">
        <w:t>stock.</w:t>
      </w:r>
    </w:p>
    <w:p w14:paraId="7AD77D05" w14:textId="1F37EF4A" w:rsidR="5C138CAA" w:rsidRDefault="007F338C" w:rsidP="154D2ED2">
      <w:pPr>
        <w:pStyle w:val="Heading1"/>
        <w:rPr>
          <w:rFonts w:eastAsia="Calibri"/>
        </w:rPr>
      </w:pPr>
      <w:r>
        <w:rPr>
          <w:rFonts w:eastAsia="Calibri"/>
        </w:rPr>
        <w:t>B</w:t>
      </w:r>
      <w:r w:rsidR="003B310E">
        <w:rPr>
          <w:rFonts w:eastAsia="Calibri"/>
        </w:rPr>
        <w:t>aseline Economizer Prevalence</w:t>
      </w:r>
    </w:p>
    <w:p w14:paraId="5BB3F80A" w14:textId="18E908B0" w:rsidR="00766549" w:rsidRDefault="00766549" w:rsidP="00BA275C">
      <w:pPr>
        <w:pStyle w:val="NRELBodyText"/>
      </w:pPr>
      <w:r>
        <w:t xml:space="preserve">The absence or presence of economizer control went from being based on energy code requirements during the year of initial construction to the energy code requirements during the </w:t>
      </w:r>
      <w:r w:rsidR="005D782A">
        <w:t xml:space="preserve">most recent HVAC replacement, as show in </w:t>
      </w:r>
      <w:r>
        <w:fldChar w:fldCharType="begin"/>
      </w:r>
      <w:r>
        <w:instrText xml:space="preserve"> REF _Ref148438472 \h  \* MERGEFORMAT </w:instrText>
      </w:r>
      <w:r>
        <w:fldChar w:fldCharType="separate"/>
      </w:r>
      <w:r w:rsidR="00F256F3">
        <w:t xml:space="preserve">Figure </w:t>
      </w:r>
      <w:r w:rsidR="00F256F3">
        <w:rPr>
          <w:noProof/>
        </w:rPr>
        <w:t>1</w:t>
      </w:r>
      <w:r>
        <w:fldChar w:fldCharType="end"/>
      </w:r>
      <w:r w:rsidR="005D782A">
        <w:t>.</w:t>
      </w:r>
    </w:p>
    <w:p w14:paraId="22545306" w14:textId="77777777" w:rsidR="00BA275C" w:rsidRDefault="00BA275C" w:rsidP="00BA275C">
      <w:pPr>
        <w:pStyle w:val="NRELBodyText"/>
        <w:keepNext/>
        <w:jc w:val="center"/>
      </w:pPr>
      <w:r>
        <w:rPr>
          <w:b/>
          <w:bCs/>
          <w:noProof/>
        </w:rPr>
        <w:drawing>
          <wp:inline distT="0" distB="0" distL="0" distR="0" wp14:anchorId="16571E0F" wp14:editId="2728EA3C">
            <wp:extent cx="5486400" cy="2120162"/>
            <wp:effectExtent l="0" t="0" r="0" b="0"/>
            <wp:docPr id="335573764" name="Picture 33557376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73764" name="Picture 335573764"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120162"/>
                    </a:xfrm>
                    <a:prstGeom prst="rect">
                      <a:avLst/>
                    </a:prstGeom>
                    <a:noFill/>
                  </pic:spPr>
                </pic:pic>
              </a:graphicData>
            </a:graphic>
          </wp:inline>
        </w:drawing>
      </w:r>
    </w:p>
    <w:p w14:paraId="1801C108" w14:textId="2ECAEDCA" w:rsidR="00BA275C" w:rsidRDefault="00BA275C" w:rsidP="00BA275C">
      <w:pPr>
        <w:pStyle w:val="NRELFigureCaption"/>
      </w:pPr>
      <w:bookmarkStart w:id="0" w:name="_Ref148438472"/>
      <w:r>
        <w:t xml:space="preserve">Figure </w:t>
      </w:r>
      <w:fldSimple w:instr=" SEQ Figure \* ARABIC ">
        <w:r w:rsidR="00F256F3">
          <w:rPr>
            <w:noProof/>
          </w:rPr>
          <w:t>1</w:t>
        </w:r>
      </w:fldSimple>
      <w:bookmarkEnd w:id="0"/>
      <w:r>
        <w:t>. Baseline change: old buildings with newer HVAC system</w:t>
      </w:r>
    </w:p>
    <w:p w14:paraId="70DF3C73" w14:textId="77777777" w:rsidR="00BA275C" w:rsidRPr="00BA275C" w:rsidRDefault="00BA275C" w:rsidP="00BA275C"/>
    <w:p w14:paraId="20237EAB" w14:textId="09B04A0C" w:rsidR="00085B6F" w:rsidRDefault="004826D7" w:rsidP="00A761F6">
      <w:pPr>
        <w:pStyle w:val="Heading2"/>
        <w:rPr>
          <w:rFonts w:eastAsia="Calibri"/>
        </w:rPr>
      </w:pPr>
      <w:r w:rsidRPr="154D2ED2">
        <w:rPr>
          <w:rFonts w:eastAsia="Calibri"/>
        </w:rPr>
        <w:t>Existing Method</w:t>
      </w:r>
    </w:p>
    <w:p w14:paraId="66AB84FD" w14:textId="5AC56DFA" w:rsidR="003232AE" w:rsidRDefault="003232AE" w:rsidP="001366B0">
      <w:pPr>
        <w:pStyle w:val="NRELBodyText"/>
      </w:pPr>
      <w:r>
        <w:t xml:space="preserve">In the baseline model, the type of economizer, or lack thereof, </w:t>
      </w:r>
      <w:r w:rsidR="00852151">
        <w:t>was</w:t>
      </w:r>
      <w:r>
        <w:t xml:space="preserve"> based on the energy code in force when and where the building was originally constructed. For buildings built outside of CA before 2004, the 90.1-2004 economizer applicability criteria </w:t>
      </w:r>
      <w:proofErr w:type="gramStart"/>
      <w:r w:rsidR="00852151">
        <w:t>was</w:t>
      </w:r>
      <w:proofErr w:type="gramEnd"/>
      <w:r>
        <w:t xml:space="preserve"> used. This generally means no economizers for warmer climate zones, and economizers in cooler climate zones only for units greater than five or ten tons of cooling capacity. For buildings built inside of CA before 2015, no </w:t>
      </w:r>
      <w:r>
        <w:lastRenderedPageBreak/>
        <w:t xml:space="preserve">economizers </w:t>
      </w:r>
      <w:r w:rsidR="00852151">
        <w:t>were</w:t>
      </w:r>
      <w:r>
        <w:t xml:space="preserve"> assumed. These assumptions mean that even in buildings where the HVAC system may have been updated several times, the absence or presence of an economizer </w:t>
      </w:r>
      <w:r w:rsidR="00762B90">
        <w:t>was</w:t>
      </w:r>
      <w:r>
        <w:t xml:space="preserve"> based on the requirements during original construction as depicted in</w:t>
      </w:r>
      <w:r w:rsidR="00F0078F">
        <w:t xml:space="preserve"> </w:t>
      </w:r>
      <w:r w:rsidR="00F0078F">
        <w:fldChar w:fldCharType="begin"/>
      </w:r>
      <w:r w:rsidR="00F0078F">
        <w:instrText xml:space="preserve"> REF _Ref148438472 \h </w:instrText>
      </w:r>
      <w:r w:rsidR="00F0078F">
        <w:fldChar w:fldCharType="separate"/>
      </w:r>
      <w:r w:rsidR="00F0078F">
        <w:t xml:space="preserve">Figure </w:t>
      </w:r>
      <w:r w:rsidR="00F0078F">
        <w:rPr>
          <w:noProof/>
        </w:rPr>
        <w:t>1</w:t>
      </w:r>
      <w:r w:rsidR="00F0078F">
        <w:fldChar w:fldCharType="end"/>
      </w:r>
      <w:r w:rsidR="00F0078F">
        <w:t>.</w:t>
      </w:r>
    </w:p>
    <w:p w14:paraId="0EEF3806" w14:textId="77777777" w:rsidR="007A4971" w:rsidRDefault="004826D7" w:rsidP="007A4971">
      <w:pPr>
        <w:pStyle w:val="Heading2"/>
        <w:rPr>
          <w:rFonts w:eastAsia="Calibri"/>
        </w:rPr>
      </w:pPr>
      <w:r w:rsidRPr="154D2ED2">
        <w:rPr>
          <w:rFonts w:eastAsia="Calibri"/>
        </w:rPr>
        <w:t>New Method</w:t>
      </w:r>
    </w:p>
    <w:p w14:paraId="37B21E73" w14:textId="6105A4DF" w:rsidR="001366B0" w:rsidRDefault="001366B0" w:rsidP="001366B0">
      <w:pPr>
        <w:pStyle w:val="NRELBodyText"/>
      </w:pPr>
      <w:r>
        <w:t xml:space="preserve">Buildings go through different types of retrofits over the years after they are built. ComStock baseline models reflect this aspect by making upgrade(s) to the old buildings separately for </w:t>
      </w:r>
      <w:r w:rsidR="005C0121">
        <w:t xml:space="preserve">the </w:t>
      </w:r>
      <w:r>
        <w:t xml:space="preserve">HVAC system, lighting, envelope, etc. </w:t>
      </w:r>
      <w:r w:rsidR="005C0121">
        <w:t xml:space="preserve">For the baseline models, </w:t>
      </w:r>
      <w:r>
        <w:t xml:space="preserve">ComStock </w:t>
      </w:r>
      <w:r w:rsidR="005C0121">
        <w:t>now</w:t>
      </w:r>
      <w:r>
        <w:t xml:space="preserve"> re-evaluate</w:t>
      </w:r>
      <w:r w:rsidR="005C0121">
        <w:t>s</w:t>
      </w:r>
      <w:r>
        <w:t xml:space="preserve"> the requirement for an economizer based on the energy code in force at the time of the latest HVAC system replacement. This will </w:t>
      </w:r>
      <w:proofErr w:type="gramStart"/>
      <w:r>
        <w:t>increas</w:t>
      </w:r>
      <w:r w:rsidR="005C0121">
        <w:t>ed</w:t>
      </w:r>
      <w:proofErr w:type="gramEnd"/>
      <w:r>
        <w:t xml:space="preserve"> the prevalence of economizers in the baseline model, which is broadly in line with what is necessary to make ComStock match the CBECS 2018 stock data. Additionally, the CA energy code requirements were evaluated by looking at the CA DEER MASControl3 models </w:t>
      </w:r>
      <w:r>
        <w:fldChar w:fldCharType="begin"/>
      </w:r>
      <w:r>
        <w:instrText xml:space="preserve"> ADDIN ZOTERO_ITEM CSL_CITATION {"citationID":"qWdqzWfl","properties":{"formattedCitation":"[2]","plainCitation":"[2]","noteIndex":0},"citationItems":[{"id":3797,"uris":["http://zotero.org/groups/2277377/items/H3CAS5Z8"],"itemData":{"id":3797,"type":"webpage","title":"MASControl3","URL":"https://cedars.sound-data.com/deer-resources/tools/mas-control/file/3011/download"}}],"schema":"https://github.com/citation-style-language/schema/raw/master/csl-citation.json"} </w:instrText>
      </w:r>
      <w:r>
        <w:fldChar w:fldCharType="separate"/>
      </w:r>
      <w:r w:rsidRPr="00DD162D">
        <w:t>[2]</w:t>
      </w:r>
      <w:r>
        <w:fldChar w:fldCharType="end"/>
      </w:r>
      <w:r>
        <w:t xml:space="preserve">, where the economizer limits and applicability were found as shown in </w:t>
      </w:r>
      <w:r>
        <w:fldChar w:fldCharType="begin"/>
      </w:r>
      <w:r>
        <w:instrText xml:space="preserve"> REF _Ref136612688 \h </w:instrText>
      </w:r>
      <w:r>
        <w:fldChar w:fldCharType="separate"/>
      </w:r>
      <w:r w:rsidR="00F256F3">
        <w:t xml:space="preserve">Table </w:t>
      </w:r>
      <w:r w:rsidR="00F256F3">
        <w:rPr>
          <w:noProof/>
        </w:rPr>
        <w:t>1</w:t>
      </w:r>
      <w:r>
        <w:fldChar w:fldCharType="end"/>
      </w:r>
      <w:r>
        <w:t xml:space="preserve"> and </w:t>
      </w:r>
      <w:r>
        <w:fldChar w:fldCharType="begin"/>
      </w:r>
      <w:r>
        <w:instrText xml:space="preserve"> REF _Ref136612690 \h </w:instrText>
      </w:r>
      <w:r>
        <w:fldChar w:fldCharType="separate"/>
      </w:r>
      <w:r w:rsidR="00F256F3">
        <w:t xml:space="preserve">Table </w:t>
      </w:r>
      <w:r w:rsidR="00F256F3">
        <w:rPr>
          <w:noProof/>
        </w:rPr>
        <w:t>2</w:t>
      </w:r>
      <w:r>
        <w:fldChar w:fldCharType="end"/>
      </w:r>
      <w:r>
        <w:t>.</w:t>
      </w:r>
      <w:r w:rsidR="00361F65">
        <w:t>°</w:t>
      </w:r>
    </w:p>
    <w:p w14:paraId="4746EE81" w14:textId="40378E12" w:rsidR="001366B0" w:rsidRDefault="001366B0" w:rsidP="001366B0">
      <w:pPr>
        <w:pStyle w:val="NRELTableCaption"/>
      </w:pPr>
      <w:bookmarkStart w:id="1" w:name="_Ref136612688"/>
      <w:bookmarkStart w:id="2" w:name="_Toc145599183"/>
      <w:r>
        <w:t xml:space="preserve">Table </w:t>
      </w:r>
      <w:fldSimple w:instr=" SEQ Table \* ARABIC ">
        <w:r w:rsidR="00F256F3">
          <w:rPr>
            <w:noProof/>
          </w:rPr>
          <w:t>1</w:t>
        </w:r>
      </w:fldSimple>
      <w:bookmarkEnd w:id="1"/>
      <w:r>
        <w:t>. Economizer limits in MASControl3</w:t>
      </w:r>
      <w:bookmarkEnd w:id="2"/>
    </w:p>
    <w:tbl>
      <w:tblPr>
        <w:tblStyle w:val="PlainTable1"/>
        <w:tblW w:w="0" w:type="auto"/>
        <w:jc w:val="center"/>
        <w:tblLook w:val="04A0" w:firstRow="1" w:lastRow="0" w:firstColumn="1" w:lastColumn="0" w:noHBand="0" w:noVBand="1"/>
      </w:tblPr>
      <w:tblGrid>
        <w:gridCol w:w="1418"/>
        <w:gridCol w:w="1740"/>
        <w:gridCol w:w="2298"/>
      </w:tblGrid>
      <w:tr w:rsidR="001366B0" w14:paraId="6B51131D" w14:textId="77777777" w:rsidTr="006E66C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tcPr>
          <w:p w14:paraId="0738A4B5" w14:textId="77777777" w:rsidR="001366B0" w:rsidRDefault="001366B0" w:rsidP="006E66CB">
            <w:pPr>
              <w:rPr>
                <w:rFonts w:cs="Calibri"/>
                <w:color w:val="000000"/>
                <w:sz w:val="22"/>
                <w:szCs w:val="22"/>
              </w:rPr>
            </w:pPr>
            <w:r>
              <w:rPr>
                <w:rFonts w:cs="Calibri"/>
                <w:color w:val="000000"/>
                <w:sz w:val="22"/>
                <w:szCs w:val="22"/>
              </w:rPr>
              <w:t>Climate Zone</w:t>
            </w:r>
          </w:p>
        </w:tc>
        <w:tc>
          <w:tcPr>
            <w:tcW w:w="0" w:type="auto"/>
            <w:noWrap/>
          </w:tcPr>
          <w:p w14:paraId="23135F11" w14:textId="77777777" w:rsidR="001366B0" w:rsidRDefault="001366B0" w:rsidP="006E66CB">
            <w:pPr>
              <w:jc w:val="right"/>
              <w:cnfStyle w:val="100000000000" w:firstRow="1" w:lastRow="0" w:firstColumn="0" w:lastColumn="0" w:oddVBand="0" w:evenVBand="0" w:oddHBand="0" w:evenHBand="0" w:firstRowFirstColumn="0" w:firstRowLastColumn="0" w:lastRowFirstColumn="0" w:lastRowLastColumn="0"/>
              <w:rPr>
                <w:rFonts w:cs="Calibri"/>
                <w:color w:val="000000"/>
                <w:sz w:val="22"/>
                <w:szCs w:val="22"/>
              </w:rPr>
            </w:pPr>
            <w:proofErr w:type="spellStart"/>
            <w:r>
              <w:rPr>
                <w:rFonts w:cs="Calibri"/>
                <w:color w:val="000000"/>
                <w:sz w:val="22"/>
                <w:szCs w:val="22"/>
              </w:rPr>
              <w:t>Drybulb</w:t>
            </w:r>
            <w:proofErr w:type="spellEnd"/>
            <w:r>
              <w:rPr>
                <w:rFonts w:cs="Calibri"/>
                <w:color w:val="000000"/>
                <w:sz w:val="22"/>
                <w:szCs w:val="22"/>
              </w:rPr>
              <w:t xml:space="preserve"> Limit (F)</w:t>
            </w:r>
          </w:p>
        </w:tc>
        <w:tc>
          <w:tcPr>
            <w:tcW w:w="0" w:type="auto"/>
            <w:noWrap/>
          </w:tcPr>
          <w:p w14:paraId="3932C234" w14:textId="77777777" w:rsidR="001366B0" w:rsidRDefault="001366B0" w:rsidP="006E66CB">
            <w:pPr>
              <w:jc w:val="right"/>
              <w:cnfStyle w:val="100000000000" w:firstRow="1"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Enthalpy Limit (Btu/</w:t>
            </w:r>
            <w:proofErr w:type="spellStart"/>
            <w:r>
              <w:rPr>
                <w:rFonts w:cs="Calibri"/>
                <w:color w:val="000000"/>
                <w:sz w:val="22"/>
                <w:szCs w:val="22"/>
              </w:rPr>
              <w:t>lb</w:t>
            </w:r>
            <w:proofErr w:type="spellEnd"/>
            <w:r>
              <w:rPr>
                <w:rFonts w:cs="Calibri"/>
                <w:color w:val="000000"/>
                <w:sz w:val="22"/>
                <w:szCs w:val="22"/>
              </w:rPr>
              <w:t>)</w:t>
            </w:r>
          </w:p>
        </w:tc>
      </w:tr>
      <w:tr w:rsidR="001366B0" w14:paraId="08AFA611"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05731A7" w14:textId="77777777" w:rsidR="001366B0" w:rsidRPr="007215D9" w:rsidRDefault="001366B0" w:rsidP="006E66CB">
            <w:pPr>
              <w:rPr>
                <w:rFonts w:cs="Calibri"/>
                <w:b w:val="0"/>
                <w:bCs w:val="0"/>
                <w:color w:val="000000"/>
                <w:sz w:val="22"/>
                <w:szCs w:val="22"/>
              </w:rPr>
            </w:pPr>
            <w:r w:rsidRPr="007215D9">
              <w:rPr>
                <w:rFonts w:cs="Calibri"/>
                <w:b w:val="0"/>
                <w:bCs w:val="0"/>
                <w:color w:val="000000"/>
                <w:sz w:val="22"/>
                <w:szCs w:val="22"/>
              </w:rPr>
              <w:t>CZ01</w:t>
            </w:r>
          </w:p>
        </w:tc>
        <w:tc>
          <w:tcPr>
            <w:tcW w:w="0" w:type="auto"/>
            <w:noWrap/>
            <w:hideMark/>
          </w:tcPr>
          <w:p w14:paraId="4C189FB8"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70</w:t>
            </w:r>
          </w:p>
        </w:tc>
        <w:tc>
          <w:tcPr>
            <w:tcW w:w="0" w:type="auto"/>
            <w:noWrap/>
            <w:hideMark/>
          </w:tcPr>
          <w:p w14:paraId="67B43DB1"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6CD57D85"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58289D4"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CZ02</w:t>
            </w:r>
          </w:p>
        </w:tc>
        <w:tc>
          <w:tcPr>
            <w:tcW w:w="0" w:type="auto"/>
            <w:noWrap/>
            <w:hideMark/>
          </w:tcPr>
          <w:p w14:paraId="0BEE77F0"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73</w:t>
            </w:r>
          </w:p>
        </w:tc>
        <w:tc>
          <w:tcPr>
            <w:tcW w:w="0" w:type="auto"/>
            <w:noWrap/>
            <w:hideMark/>
          </w:tcPr>
          <w:p w14:paraId="567BF792"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45BCE207"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53D3D38"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CZ03</w:t>
            </w:r>
          </w:p>
        </w:tc>
        <w:tc>
          <w:tcPr>
            <w:tcW w:w="0" w:type="auto"/>
            <w:noWrap/>
            <w:hideMark/>
          </w:tcPr>
          <w:p w14:paraId="29626862"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70</w:t>
            </w:r>
          </w:p>
        </w:tc>
        <w:tc>
          <w:tcPr>
            <w:tcW w:w="0" w:type="auto"/>
            <w:noWrap/>
            <w:hideMark/>
          </w:tcPr>
          <w:p w14:paraId="3F4B45AD"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6AFF2E2D"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A37FAC2"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CZ04</w:t>
            </w:r>
          </w:p>
        </w:tc>
        <w:tc>
          <w:tcPr>
            <w:tcW w:w="0" w:type="auto"/>
            <w:noWrap/>
            <w:hideMark/>
          </w:tcPr>
          <w:p w14:paraId="509BEAF9"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73</w:t>
            </w:r>
          </w:p>
        </w:tc>
        <w:tc>
          <w:tcPr>
            <w:tcW w:w="0" w:type="auto"/>
            <w:noWrap/>
            <w:hideMark/>
          </w:tcPr>
          <w:p w14:paraId="08922E19"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44BB7702"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A9B5DEC"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CZ05</w:t>
            </w:r>
          </w:p>
        </w:tc>
        <w:tc>
          <w:tcPr>
            <w:tcW w:w="0" w:type="auto"/>
            <w:noWrap/>
            <w:hideMark/>
          </w:tcPr>
          <w:p w14:paraId="156EFE07"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70</w:t>
            </w:r>
          </w:p>
        </w:tc>
        <w:tc>
          <w:tcPr>
            <w:tcW w:w="0" w:type="auto"/>
            <w:noWrap/>
            <w:hideMark/>
          </w:tcPr>
          <w:p w14:paraId="5E141D78"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0BBF015A"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6D16F93"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CZ06</w:t>
            </w:r>
          </w:p>
        </w:tc>
        <w:tc>
          <w:tcPr>
            <w:tcW w:w="0" w:type="auto"/>
            <w:noWrap/>
            <w:hideMark/>
          </w:tcPr>
          <w:p w14:paraId="0BB2512B"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71</w:t>
            </w:r>
          </w:p>
        </w:tc>
        <w:tc>
          <w:tcPr>
            <w:tcW w:w="0" w:type="auto"/>
            <w:noWrap/>
            <w:hideMark/>
          </w:tcPr>
          <w:p w14:paraId="52E08E46"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3C2C3DEC"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9A39F14"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CZ07</w:t>
            </w:r>
          </w:p>
        </w:tc>
        <w:tc>
          <w:tcPr>
            <w:tcW w:w="0" w:type="auto"/>
            <w:noWrap/>
            <w:hideMark/>
          </w:tcPr>
          <w:p w14:paraId="551AA3BF"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69</w:t>
            </w:r>
          </w:p>
        </w:tc>
        <w:tc>
          <w:tcPr>
            <w:tcW w:w="0" w:type="auto"/>
            <w:noWrap/>
            <w:hideMark/>
          </w:tcPr>
          <w:p w14:paraId="7A08BC49"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45DA16D7"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85054E3"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CZ08</w:t>
            </w:r>
          </w:p>
        </w:tc>
        <w:tc>
          <w:tcPr>
            <w:tcW w:w="0" w:type="auto"/>
            <w:noWrap/>
            <w:hideMark/>
          </w:tcPr>
          <w:p w14:paraId="0CD54D41"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71</w:t>
            </w:r>
          </w:p>
        </w:tc>
        <w:tc>
          <w:tcPr>
            <w:tcW w:w="0" w:type="auto"/>
            <w:noWrap/>
            <w:hideMark/>
          </w:tcPr>
          <w:p w14:paraId="6E016059"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6D481688"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AAB0E25"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CZ09</w:t>
            </w:r>
          </w:p>
        </w:tc>
        <w:tc>
          <w:tcPr>
            <w:tcW w:w="0" w:type="auto"/>
            <w:noWrap/>
            <w:hideMark/>
          </w:tcPr>
          <w:p w14:paraId="6F4A8BB0"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71</w:t>
            </w:r>
          </w:p>
        </w:tc>
        <w:tc>
          <w:tcPr>
            <w:tcW w:w="0" w:type="auto"/>
            <w:noWrap/>
            <w:hideMark/>
          </w:tcPr>
          <w:p w14:paraId="19DDCE82"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4C0CD6EF"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1956049"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CZ10</w:t>
            </w:r>
          </w:p>
        </w:tc>
        <w:tc>
          <w:tcPr>
            <w:tcW w:w="0" w:type="auto"/>
            <w:noWrap/>
            <w:hideMark/>
          </w:tcPr>
          <w:p w14:paraId="5A9B942E"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73</w:t>
            </w:r>
          </w:p>
        </w:tc>
        <w:tc>
          <w:tcPr>
            <w:tcW w:w="0" w:type="auto"/>
            <w:noWrap/>
            <w:hideMark/>
          </w:tcPr>
          <w:p w14:paraId="1D908361"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775FF4F7"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39E7F98"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CZ11</w:t>
            </w:r>
          </w:p>
        </w:tc>
        <w:tc>
          <w:tcPr>
            <w:tcW w:w="0" w:type="auto"/>
            <w:noWrap/>
            <w:hideMark/>
          </w:tcPr>
          <w:p w14:paraId="1291ABDC"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75</w:t>
            </w:r>
          </w:p>
        </w:tc>
        <w:tc>
          <w:tcPr>
            <w:tcW w:w="0" w:type="auto"/>
            <w:noWrap/>
            <w:hideMark/>
          </w:tcPr>
          <w:p w14:paraId="797ACEE4"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64D6F61D"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745968D"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CZ12</w:t>
            </w:r>
          </w:p>
        </w:tc>
        <w:tc>
          <w:tcPr>
            <w:tcW w:w="0" w:type="auto"/>
            <w:noWrap/>
            <w:hideMark/>
          </w:tcPr>
          <w:p w14:paraId="03AD6B94"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75</w:t>
            </w:r>
          </w:p>
        </w:tc>
        <w:tc>
          <w:tcPr>
            <w:tcW w:w="0" w:type="auto"/>
            <w:noWrap/>
            <w:hideMark/>
          </w:tcPr>
          <w:p w14:paraId="2F04C3C4"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14D9BF29"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5ACB46B"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CZ13</w:t>
            </w:r>
          </w:p>
        </w:tc>
        <w:tc>
          <w:tcPr>
            <w:tcW w:w="0" w:type="auto"/>
            <w:noWrap/>
            <w:hideMark/>
          </w:tcPr>
          <w:p w14:paraId="6D922657"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75</w:t>
            </w:r>
          </w:p>
        </w:tc>
        <w:tc>
          <w:tcPr>
            <w:tcW w:w="0" w:type="auto"/>
            <w:noWrap/>
            <w:hideMark/>
          </w:tcPr>
          <w:p w14:paraId="1AD5BDA9"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575B477F"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087354E"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CZ14</w:t>
            </w:r>
          </w:p>
        </w:tc>
        <w:tc>
          <w:tcPr>
            <w:tcW w:w="0" w:type="auto"/>
            <w:noWrap/>
            <w:hideMark/>
          </w:tcPr>
          <w:p w14:paraId="5E14A7A8"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75</w:t>
            </w:r>
          </w:p>
        </w:tc>
        <w:tc>
          <w:tcPr>
            <w:tcW w:w="0" w:type="auto"/>
            <w:noWrap/>
            <w:hideMark/>
          </w:tcPr>
          <w:p w14:paraId="5970CC52"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3D055DE2"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3D2A794"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CZ15</w:t>
            </w:r>
          </w:p>
        </w:tc>
        <w:tc>
          <w:tcPr>
            <w:tcW w:w="0" w:type="auto"/>
            <w:noWrap/>
            <w:hideMark/>
          </w:tcPr>
          <w:p w14:paraId="2373CDCE"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75</w:t>
            </w:r>
          </w:p>
        </w:tc>
        <w:tc>
          <w:tcPr>
            <w:tcW w:w="0" w:type="auto"/>
            <w:noWrap/>
            <w:hideMark/>
          </w:tcPr>
          <w:p w14:paraId="2CAB2709" w14:textId="77777777" w:rsidR="001366B0" w:rsidRDefault="001366B0" w:rsidP="006E66CB">
            <w:pPr>
              <w:jc w:val="right"/>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Pr>
                <w:rFonts w:cs="Calibri"/>
                <w:color w:val="000000"/>
                <w:sz w:val="22"/>
                <w:szCs w:val="22"/>
              </w:rPr>
              <w:t>28</w:t>
            </w:r>
          </w:p>
        </w:tc>
      </w:tr>
      <w:tr w:rsidR="001366B0" w14:paraId="7830E172"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1EF8A3C" w14:textId="77777777" w:rsidR="001366B0" w:rsidRPr="00795EE2" w:rsidRDefault="001366B0" w:rsidP="006E66CB">
            <w:pPr>
              <w:rPr>
                <w:rFonts w:cs="Calibri"/>
                <w:b w:val="0"/>
                <w:bCs w:val="0"/>
                <w:color w:val="000000"/>
                <w:sz w:val="22"/>
                <w:szCs w:val="22"/>
              </w:rPr>
            </w:pPr>
            <w:r w:rsidRPr="00795EE2">
              <w:rPr>
                <w:rFonts w:cs="Calibri"/>
                <w:b w:val="0"/>
                <w:bCs w:val="0"/>
                <w:color w:val="000000"/>
                <w:sz w:val="22"/>
                <w:szCs w:val="22"/>
              </w:rPr>
              <w:t>CZ16</w:t>
            </w:r>
          </w:p>
        </w:tc>
        <w:tc>
          <w:tcPr>
            <w:tcW w:w="0" w:type="auto"/>
            <w:noWrap/>
            <w:hideMark/>
          </w:tcPr>
          <w:p w14:paraId="2D96DF30"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75</w:t>
            </w:r>
          </w:p>
        </w:tc>
        <w:tc>
          <w:tcPr>
            <w:tcW w:w="0" w:type="auto"/>
            <w:noWrap/>
            <w:hideMark/>
          </w:tcPr>
          <w:p w14:paraId="0FFD018B" w14:textId="77777777" w:rsidR="001366B0" w:rsidRDefault="001366B0" w:rsidP="006E66CB">
            <w:pPr>
              <w:jc w:val="right"/>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28</w:t>
            </w:r>
          </w:p>
        </w:tc>
      </w:tr>
    </w:tbl>
    <w:p w14:paraId="0645DC36" w14:textId="77777777" w:rsidR="001366B0" w:rsidRDefault="001366B0" w:rsidP="001366B0">
      <w:pPr>
        <w:pStyle w:val="NRELBodyText"/>
      </w:pPr>
    </w:p>
    <w:p w14:paraId="411DB897" w14:textId="20B1F02A" w:rsidR="001366B0" w:rsidRDefault="001366B0" w:rsidP="001366B0">
      <w:pPr>
        <w:pStyle w:val="NRELTableCaption"/>
      </w:pPr>
      <w:bookmarkStart w:id="3" w:name="_Ref136612690"/>
      <w:bookmarkStart w:id="4" w:name="_Toc145599184"/>
      <w:r>
        <w:t xml:space="preserve">Table </w:t>
      </w:r>
      <w:fldSimple w:instr=" SEQ Table \* ARABIC ">
        <w:r w:rsidR="00F256F3">
          <w:rPr>
            <w:noProof/>
          </w:rPr>
          <w:t>2</w:t>
        </w:r>
      </w:fldSimple>
      <w:bookmarkEnd w:id="3"/>
      <w:r>
        <w:t>. Economizer applicability by cooling type in MASControl3</w:t>
      </w:r>
      <w:bookmarkEnd w:id="4"/>
    </w:p>
    <w:tbl>
      <w:tblPr>
        <w:tblStyle w:val="PlainTable1"/>
        <w:tblW w:w="6440" w:type="dxa"/>
        <w:jc w:val="center"/>
        <w:tblLook w:val="04A0" w:firstRow="1" w:lastRow="0" w:firstColumn="1" w:lastColumn="0" w:noHBand="0" w:noVBand="1"/>
      </w:tblPr>
      <w:tblGrid>
        <w:gridCol w:w="960"/>
        <w:gridCol w:w="1900"/>
        <w:gridCol w:w="1760"/>
        <w:gridCol w:w="1820"/>
      </w:tblGrid>
      <w:tr w:rsidR="001366B0" w14:paraId="2AA1505B" w14:textId="77777777" w:rsidTr="006E66C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C3F62CE" w14:textId="77777777" w:rsidR="001366B0" w:rsidRDefault="001366B0" w:rsidP="006E66CB">
            <w:pPr>
              <w:rPr>
                <w:rFonts w:cs="Calibri"/>
                <w:color w:val="000000"/>
                <w:sz w:val="22"/>
                <w:szCs w:val="22"/>
              </w:rPr>
            </w:pPr>
            <w:r>
              <w:rPr>
                <w:rFonts w:cs="Calibri"/>
                <w:color w:val="000000"/>
                <w:sz w:val="22"/>
                <w:szCs w:val="22"/>
              </w:rPr>
              <w:t>Vintage</w:t>
            </w:r>
          </w:p>
        </w:tc>
        <w:tc>
          <w:tcPr>
            <w:tcW w:w="1900" w:type="dxa"/>
            <w:noWrap/>
            <w:hideMark/>
          </w:tcPr>
          <w:p w14:paraId="16BE4C89" w14:textId="77777777" w:rsidR="001366B0" w:rsidRDefault="001366B0" w:rsidP="006E66CB">
            <w:pPr>
              <w:cnfStyle w:val="100000000000" w:firstRow="1"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Packaged DX</w:t>
            </w:r>
          </w:p>
        </w:tc>
        <w:tc>
          <w:tcPr>
            <w:tcW w:w="1760" w:type="dxa"/>
            <w:noWrap/>
            <w:hideMark/>
          </w:tcPr>
          <w:p w14:paraId="1D8AD320" w14:textId="77777777" w:rsidR="001366B0" w:rsidRDefault="001366B0" w:rsidP="006E66CB">
            <w:pPr>
              <w:cnfStyle w:val="100000000000" w:firstRow="1"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Chilled Water</w:t>
            </w:r>
          </w:p>
        </w:tc>
        <w:tc>
          <w:tcPr>
            <w:tcW w:w="1820" w:type="dxa"/>
            <w:noWrap/>
            <w:hideMark/>
          </w:tcPr>
          <w:p w14:paraId="71D244AB" w14:textId="77777777" w:rsidR="001366B0" w:rsidRDefault="001366B0" w:rsidP="006E66CB">
            <w:pPr>
              <w:cnfStyle w:val="100000000000" w:firstRow="1" w:lastRow="0" w:firstColumn="0" w:lastColumn="0" w:oddVBand="0" w:evenVBand="0" w:oddHBand="0" w:evenHBand="0" w:firstRowFirstColumn="0" w:firstRowLastColumn="0" w:lastRowFirstColumn="0" w:lastRowLastColumn="0"/>
              <w:rPr>
                <w:rFonts w:cs="Calibri"/>
                <w:color w:val="000000"/>
                <w:sz w:val="22"/>
                <w:szCs w:val="22"/>
              </w:rPr>
            </w:pPr>
            <w:r>
              <w:rPr>
                <w:rFonts w:cs="Calibri"/>
                <w:color w:val="000000"/>
                <w:sz w:val="22"/>
                <w:szCs w:val="22"/>
              </w:rPr>
              <w:t>Water Loop HP</w:t>
            </w:r>
          </w:p>
        </w:tc>
      </w:tr>
      <w:tr w:rsidR="001366B0" w14:paraId="4223CE8B"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9946CD5" w14:textId="77777777" w:rsidR="001366B0" w:rsidRPr="007215D9" w:rsidRDefault="001366B0" w:rsidP="006E66CB">
            <w:pPr>
              <w:jc w:val="right"/>
              <w:rPr>
                <w:rFonts w:cs="Calibri"/>
                <w:b w:val="0"/>
                <w:bCs w:val="0"/>
                <w:color w:val="000000"/>
                <w:sz w:val="22"/>
                <w:szCs w:val="22"/>
              </w:rPr>
            </w:pPr>
            <w:r w:rsidRPr="007215D9">
              <w:rPr>
                <w:rFonts w:cs="Calibri"/>
                <w:b w:val="0"/>
                <w:bCs w:val="0"/>
                <w:color w:val="000000"/>
                <w:sz w:val="22"/>
                <w:szCs w:val="22"/>
              </w:rPr>
              <w:lastRenderedPageBreak/>
              <w:t>1975</w:t>
            </w:r>
          </w:p>
        </w:tc>
        <w:tc>
          <w:tcPr>
            <w:tcW w:w="1900" w:type="dxa"/>
            <w:noWrap/>
            <w:hideMark/>
          </w:tcPr>
          <w:p w14:paraId="1E1FDC95"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c>
          <w:tcPr>
            <w:tcW w:w="1760" w:type="dxa"/>
            <w:noWrap/>
            <w:hideMark/>
          </w:tcPr>
          <w:p w14:paraId="475DF241"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820" w:type="dxa"/>
            <w:noWrap/>
            <w:hideMark/>
          </w:tcPr>
          <w:p w14:paraId="7A23954E"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r>
      <w:tr w:rsidR="001366B0" w14:paraId="6F6597A8"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2B7720D" w14:textId="77777777" w:rsidR="001366B0" w:rsidRPr="007215D9" w:rsidRDefault="001366B0" w:rsidP="006E66CB">
            <w:pPr>
              <w:jc w:val="right"/>
              <w:rPr>
                <w:rFonts w:cs="Calibri"/>
                <w:b w:val="0"/>
                <w:bCs w:val="0"/>
                <w:color w:val="000000"/>
                <w:sz w:val="22"/>
                <w:szCs w:val="22"/>
              </w:rPr>
            </w:pPr>
            <w:r w:rsidRPr="007215D9">
              <w:rPr>
                <w:rFonts w:cs="Calibri"/>
                <w:b w:val="0"/>
                <w:bCs w:val="0"/>
                <w:color w:val="000000"/>
                <w:sz w:val="22"/>
                <w:szCs w:val="22"/>
              </w:rPr>
              <w:t>1985</w:t>
            </w:r>
          </w:p>
        </w:tc>
        <w:tc>
          <w:tcPr>
            <w:tcW w:w="1900" w:type="dxa"/>
            <w:noWrap/>
            <w:hideMark/>
          </w:tcPr>
          <w:p w14:paraId="029F4879"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c>
          <w:tcPr>
            <w:tcW w:w="1760" w:type="dxa"/>
            <w:noWrap/>
            <w:hideMark/>
          </w:tcPr>
          <w:p w14:paraId="33AC053A"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820" w:type="dxa"/>
            <w:noWrap/>
            <w:hideMark/>
          </w:tcPr>
          <w:p w14:paraId="69514F8C"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r>
      <w:tr w:rsidR="001366B0" w14:paraId="7D0E04FE"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777F428" w14:textId="77777777" w:rsidR="001366B0" w:rsidRPr="007215D9" w:rsidRDefault="001366B0" w:rsidP="006E66CB">
            <w:pPr>
              <w:jc w:val="right"/>
              <w:rPr>
                <w:rFonts w:cs="Calibri"/>
                <w:b w:val="0"/>
                <w:bCs w:val="0"/>
                <w:color w:val="000000"/>
                <w:sz w:val="22"/>
                <w:szCs w:val="22"/>
              </w:rPr>
            </w:pPr>
            <w:r w:rsidRPr="007215D9">
              <w:rPr>
                <w:rFonts w:cs="Calibri"/>
                <w:b w:val="0"/>
                <w:bCs w:val="0"/>
                <w:color w:val="000000"/>
                <w:sz w:val="22"/>
                <w:szCs w:val="22"/>
              </w:rPr>
              <w:t xml:space="preserve"> 1996</w:t>
            </w:r>
          </w:p>
        </w:tc>
        <w:tc>
          <w:tcPr>
            <w:tcW w:w="1900" w:type="dxa"/>
            <w:noWrap/>
            <w:hideMark/>
          </w:tcPr>
          <w:p w14:paraId="3FDE5A34"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c>
          <w:tcPr>
            <w:tcW w:w="1760" w:type="dxa"/>
            <w:noWrap/>
            <w:hideMark/>
          </w:tcPr>
          <w:p w14:paraId="50375528"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820" w:type="dxa"/>
            <w:noWrap/>
            <w:hideMark/>
          </w:tcPr>
          <w:p w14:paraId="75CAB851"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r>
      <w:tr w:rsidR="001366B0" w14:paraId="2DC12091"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E270FF" w14:textId="77777777" w:rsidR="001366B0" w:rsidRPr="007215D9" w:rsidRDefault="001366B0" w:rsidP="006E66CB">
            <w:pPr>
              <w:jc w:val="right"/>
              <w:rPr>
                <w:rFonts w:cs="Calibri"/>
                <w:b w:val="0"/>
                <w:bCs w:val="0"/>
                <w:color w:val="000000"/>
                <w:sz w:val="22"/>
                <w:szCs w:val="22"/>
              </w:rPr>
            </w:pPr>
            <w:r w:rsidRPr="007215D9">
              <w:rPr>
                <w:rFonts w:cs="Calibri"/>
                <w:b w:val="0"/>
                <w:bCs w:val="0"/>
                <w:color w:val="000000"/>
                <w:sz w:val="22"/>
                <w:szCs w:val="22"/>
              </w:rPr>
              <w:t>2003</w:t>
            </w:r>
          </w:p>
        </w:tc>
        <w:tc>
          <w:tcPr>
            <w:tcW w:w="1900" w:type="dxa"/>
            <w:noWrap/>
            <w:hideMark/>
          </w:tcPr>
          <w:p w14:paraId="1315AFB2"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c>
          <w:tcPr>
            <w:tcW w:w="1760" w:type="dxa"/>
            <w:noWrap/>
            <w:hideMark/>
          </w:tcPr>
          <w:p w14:paraId="4201F6F6"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820" w:type="dxa"/>
            <w:noWrap/>
            <w:hideMark/>
          </w:tcPr>
          <w:p w14:paraId="606C1727"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r>
      <w:tr w:rsidR="001366B0" w14:paraId="28438E4F"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50B15A4" w14:textId="77777777" w:rsidR="001366B0" w:rsidRPr="007215D9" w:rsidRDefault="001366B0" w:rsidP="006E66CB">
            <w:pPr>
              <w:jc w:val="right"/>
              <w:rPr>
                <w:rFonts w:cs="Calibri"/>
                <w:b w:val="0"/>
                <w:bCs w:val="0"/>
                <w:color w:val="000000"/>
                <w:sz w:val="22"/>
                <w:szCs w:val="22"/>
              </w:rPr>
            </w:pPr>
            <w:r w:rsidRPr="007215D9">
              <w:rPr>
                <w:rFonts w:cs="Calibri"/>
                <w:b w:val="0"/>
                <w:bCs w:val="0"/>
                <w:color w:val="000000"/>
                <w:sz w:val="22"/>
                <w:szCs w:val="22"/>
              </w:rPr>
              <w:t>2007</w:t>
            </w:r>
          </w:p>
        </w:tc>
        <w:tc>
          <w:tcPr>
            <w:tcW w:w="1900" w:type="dxa"/>
            <w:noWrap/>
            <w:hideMark/>
          </w:tcPr>
          <w:p w14:paraId="754A32E7"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c>
          <w:tcPr>
            <w:tcW w:w="1760" w:type="dxa"/>
            <w:noWrap/>
            <w:hideMark/>
          </w:tcPr>
          <w:p w14:paraId="3A8FD190"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820" w:type="dxa"/>
            <w:noWrap/>
            <w:hideMark/>
          </w:tcPr>
          <w:p w14:paraId="3A674EB7"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r>
      <w:tr w:rsidR="001366B0" w14:paraId="79C90569"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2B73FA5" w14:textId="77777777" w:rsidR="001366B0" w:rsidRPr="007215D9" w:rsidRDefault="001366B0" w:rsidP="006E66CB">
            <w:pPr>
              <w:jc w:val="right"/>
              <w:rPr>
                <w:rFonts w:cs="Calibri"/>
                <w:b w:val="0"/>
                <w:bCs w:val="0"/>
                <w:color w:val="000000"/>
                <w:sz w:val="22"/>
                <w:szCs w:val="22"/>
              </w:rPr>
            </w:pPr>
            <w:r w:rsidRPr="007215D9">
              <w:rPr>
                <w:rFonts w:cs="Calibri"/>
                <w:b w:val="0"/>
                <w:bCs w:val="0"/>
                <w:color w:val="000000"/>
                <w:sz w:val="22"/>
                <w:szCs w:val="22"/>
              </w:rPr>
              <w:t>2011</w:t>
            </w:r>
          </w:p>
        </w:tc>
        <w:tc>
          <w:tcPr>
            <w:tcW w:w="1900" w:type="dxa"/>
            <w:noWrap/>
            <w:hideMark/>
          </w:tcPr>
          <w:p w14:paraId="0B1179B5"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c>
          <w:tcPr>
            <w:tcW w:w="1760" w:type="dxa"/>
            <w:noWrap/>
            <w:hideMark/>
          </w:tcPr>
          <w:p w14:paraId="3876C349"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820" w:type="dxa"/>
            <w:noWrap/>
            <w:hideMark/>
          </w:tcPr>
          <w:p w14:paraId="3F2E99A4"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FALSE</w:t>
            </w:r>
          </w:p>
        </w:tc>
      </w:tr>
      <w:tr w:rsidR="001366B0" w14:paraId="608C9A77"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FE18F5F" w14:textId="77777777" w:rsidR="001366B0" w:rsidRPr="007215D9" w:rsidRDefault="001366B0" w:rsidP="006E66CB">
            <w:pPr>
              <w:jc w:val="right"/>
              <w:rPr>
                <w:rFonts w:cs="Calibri"/>
                <w:b w:val="0"/>
                <w:bCs w:val="0"/>
                <w:color w:val="000000"/>
                <w:sz w:val="22"/>
                <w:szCs w:val="22"/>
              </w:rPr>
            </w:pPr>
            <w:r w:rsidRPr="007215D9">
              <w:rPr>
                <w:rFonts w:cs="Calibri"/>
                <w:b w:val="0"/>
                <w:bCs w:val="0"/>
                <w:color w:val="000000"/>
                <w:sz w:val="22"/>
                <w:szCs w:val="22"/>
              </w:rPr>
              <w:t>2014</w:t>
            </w:r>
          </w:p>
        </w:tc>
        <w:tc>
          <w:tcPr>
            <w:tcW w:w="1900" w:type="dxa"/>
            <w:noWrap/>
            <w:hideMark/>
          </w:tcPr>
          <w:p w14:paraId="7B45FDA9"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760" w:type="dxa"/>
            <w:noWrap/>
            <w:hideMark/>
          </w:tcPr>
          <w:p w14:paraId="4721278B"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820" w:type="dxa"/>
            <w:noWrap/>
            <w:hideMark/>
          </w:tcPr>
          <w:p w14:paraId="5DF6CFBE"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r>
      <w:tr w:rsidR="001366B0" w14:paraId="50D20DDF"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D0EBD65" w14:textId="77777777" w:rsidR="001366B0" w:rsidRPr="007215D9" w:rsidRDefault="001366B0" w:rsidP="006E66CB">
            <w:pPr>
              <w:jc w:val="right"/>
              <w:rPr>
                <w:rFonts w:cs="Calibri"/>
                <w:b w:val="0"/>
                <w:bCs w:val="0"/>
                <w:color w:val="000000"/>
                <w:sz w:val="22"/>
                <w:szCs w:val="22"/>
              </w:rPr>
            </w:pPr>
            <w:r w:rsidRPr="007215D9">
              <w:rPr>
                <w:rFonts w:cs="Calibri"/>
                <w:b w:val="0"/>
                <w:bCs w:val="0"/>
                <w:color w:val="000000"/>
                <w:sz w:val="22"/>
                <w:szCs w:val="22"/>
              </w:rPr>
              <w:t>2015</w:t>
            </w:r>
          </w:p>
        </w:tc>
        <w:tc>
          <w:tcPr>
            <w:tcW w:w="1900" w:type="dxa"/>
            <w:noWrap/>
            <w:hideMark/>
          </w:tcPr>
          <w:p w14:paraId="09849054"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760" w:type="dxa"/>
            <w:noWrap/>
            <w:hideMark/>
          </w:tcPr>
          <w:p w14:paraId="3DA1A8AE"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820" w:type="dxa"/>
            <w:noWrap/>
            <w:hideMark/>
          </w:tcPr>
          <w:p w14:paraId="7DD0DD98"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r>
      <w:tr w:rsidR="001366B0" w14:paraId="72586D89" w14:textId="77777777" w:rsidTr="006E66C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56B1561" w14:textId="77777777" w:rsidR="001366B0" w:rsidRPr="007215D9" w:rsidRDefault="001366B0" w:rsidP="006E66CB">
            <w:pPr>
              <w:jc w:val="right"/>
              <w:rPr>
                <w:rFonts w:cs="Calibri"/>
                <w:b w:val="0"/>
                <w:bCs w:val="0"/>
                <w:color w:val="000000"/>
                <w:sz w:val="22"/>
                <w:szCs w:val="22"/>
              </w:rPr>
            </w:pPr>
            <w:r w:rsidRPr="007215D9">
              <w:rPr>
                <w:rFonts w:cs="Calibri"/>
                <w:b w:val="0"/>
                <w:bCs w:val="0"/>
                <w:color w:val="000000"/>
                <w:sz w:val="22"/>
                <w:szCs w:val="22"/>
              </w:rPr>
              <w:t>2017</w:t>
            </w:r>
          </w:p>
        </w:tc>
        <w:tc>
          <w:tcPr>
            <w:tcW w:w="1900" w:type="dxa"/>
            <w:noWrap/>
            <w:hideMark/>
          </w:tcPr>
          <w:p w14:paraId="181FFD43"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760" w:type="dxa"/>
            <w:noWrap/>
            <w:hideMark/>
          </w:tcPr>
          <w:p w14:paraId="1E43B0B5"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820" w:type="dxa"/>
            <w:noWrap/>
            <w:hideMark/>
          </w:tcPr>
          <w:p w14:paraId="25DEE087" w14:textId="77777777" w:rsidR="001366B0" w:rsidRPr="007215D9" w:rsidRDefault="001366B0" w:rsidP="006E66CB">
            <w:pPr>
              <w:jc w:val="cente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r>
      <w:tr w:rsidR="001366B0" w14:paraId="4B8C8566" w14:textId="77777777" w:rsidTr="006E66C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56F2073" w14:textId="77777777" w:rsidR="001366B0" w:rsidRPr="007215D9" w:rsidRDefault="001366B0" w:rsidP="006E66CB">
            <w:pPr>
              <w:jc w:val="right"/>
              <w:rPr>
                <w:rFonts w:cs="Calibri"/>
                <w:b w:val="0"/>
                <w:bCs w:val="0"/>
                <w:color w:val="000000"/>
                <w:sz w:val="22"/>
                <w:szCs w:val="22"/>
              </w:rPr>
            </w:pPr>
            <w:r w:rsidRPr="007215D9">
              <w:rPr>
                <w:rFonts w:cs="Calibri"/>
                <w:b w:val="0"/>
                <w:bCs w:val="0"/>
                <w:color w:val="000000"/>
                <w:sz w:val="22"/>
                <w:szCs w:val="22"/>
              </w:rPr>
              <w:t>2020</w:t>
            </w:r>
          </w:p>
        </w:tc>
        <w:tc>
          <w:tcPr>
            <w:tcW w:w="1900" w:type="dxa"/>
            <w:noWrap/>
            <w:hideMark/>
          </w:tcPr>
          <w:p w14:paraId="533CA309"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760" w:type="dxa"/>
            <w:noWrap/>
            <w:hideMark/>
          </w:tcPr>
          <w:p w14:paraId="58476024"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c>
          <w:tcPr>
            <w:tcW w:w="1820" w:type="dxa"/>
            <w:noWrap/>
            <w:hideMark/>
          </w:tcPr>
          <w:p w14:paraId="4540370B" w14:textId="77777777" w:rsidR="001366B0" w:rsidRPr="007215D9" w:rsidRDefault="001366B0" w:rsidP="006E66CB">
            <w:pPr>
              <w:jc w:val="cente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7215D9">
              <w:rPr>
                <w:rFonts w:cs="Calibri"/>
                <w:color w:val="000000"/>
                <w:sz w:val="22"/>
                <w:szCs w:val="22"/>
              </w:rPr>
              <w:t>TRUE</w:t>
            </w:r>
          </w:p>
        </w:tc>
      </w:tr>
    </w:tbl>
    <w:p w14:paraId="649B3FBF" w14:textId="77777777" w:rsidR="00A77BFC" w:rsidRDefault="00A77BFC" w:rsidP="154D2ED2"/>
    <w:p w14:paraId="636EC3DF" w14:textId="0CE6C7E8" w:rsidR="002E4A17" w:rsidRDefault="002E4A17" w:rsidP="002E4A17">
      <w:pPr>
        <w:pStyle w:val="Heading1"/>
        <w:rPr>
          <w:rFonts w:eastAsia="Calibri"/>
        </w:rPr>
      </w:pPr>
      <w:r>
        <w:rPr>
          <w:rFonts w:eastAsia="Calibri"/>
        </w:rPr>
        <w:t>Baseline Economizer Type</w:t>
      </w:r>
    </w:p>
    <w:p w14:paraId="33ED4EE6" w14:textId="67D4D074" w:rsidR="00B237C0" w:rsidRDefault="00B237C0" w:rsidP="00B237C0">
      <w:pPr>
        <w:pStyle w:val="NRELBodyText"/>
        <w:keepNext/>
      </w:pPr>
      <w:r>
        <w:t xml:space="preserve">The defaults economizer control type went from being differential dry-bulb to fixed dry-bulb, as shown in </w:t>
      </w:r>
      <w:r>
        <w:fldChar w:fldCharType="begin"/>
      </w:r>
      <w:r>
        <w:instrText xml:space="preserve"> REF _Ref136584037 \h </w:instrText>
      </w:r>
      <w:r>
        <w:fldChar w:fldCharType="separate"/>
      </w:r>
      <w:r w:rsidR="00F256F3">
        <w:t xml:space="preserve">Figure </w:t>
      </w:r>
      <w:r w:rsidR="00F256F3">
        <w:rPr>
          <w:noProof/>
        </w:rPr>
        <w:t>2</w:t>
      </w:r>
      <w:r>
        <w:fldChar w:fldCharType="end"/>
      </w:r>
      <w:r>
        <w:t>.</w:t>
      </w:r>
    </w:p>
    <w:p w14:paraId="00C5F7EB" w14:textId="1C45918B" w:rsidR="00BA275C" w:rsidRDefault="00BA275C" w:rsidP="00B237C0">
      <w:pPr>
        <w:pStyle w:val="NRELBodyText"/>
        <w:keepNext/>
      </w:pPr>
      <w:r>
        <w:rPr>
          <w:noProof/>
        </w:rPr>
        <w:drawing>
          <wp:inline distT="0" distB="0" distL="0" distR="0" wp14:anchorId="20EDCC1B" wp14:editId="5DBBF5A8">
            <wp:extent cx="5486400" cy="2120163"/>
            <wp:effectExtent l="0" t="0" r="0" b="0"/>
            <wp:docPr id="499839685" name="Picture 49983968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39685" name="Picture 499839685" descr="A picture containing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120163"/>
                    </a:xfrm>
                    <a:prstGeom prst="rect">
                      <a:avLst/>
                    </a:prstGeom>
                    <a:noFill/>
                  </pic:spPr>
                </pic:pic>
              </a:graphicData>
            </a:graphic>
          </wp:inline>
        </w:drawing>
      </w:r>
    </w:p>
    <w:p w14:paraId="45C490A4" w14:textId="208B7B1F" w:rsidR="00BA275C" w:rsidRDefault="00BA275C" w:rsidP="00BA275C">
      <w:pPr>
        <w:pStyle w:val="NRELFigureCaption"/>
      </w:pPr>
      <w:bookmarkStart w:id="5" w:name="_Ref136584037"/>
      <w:bookmarkStart w:id="6" w:name="_Toc145599165"/>
      <w:r>
        <w:t xml:space="preserve">Figure </w:t>
      </w:r>
      <w:fldSimple w:instr=" SEQ Figure \* ARABIC ">
        <w:r w:rsidR="00F256F3">
          <w:rPr>
            <w:noProof/>
          </w:rPr>
          <w:t>2</w:t>
        </w:r>
      </w:fldSimple>
      <w:bookmarkEnd w:id="5"/>
      <w:r>
        <w:t xml:space="preserve">. </w:t>
      </w:r>
      <w:r w:rsidRPr="00696295">
        <w:t xml:space="preserve">Baseline change: </w:t>
      </w:r>
      <w:r>
        <w:t>prevalent economizer control type</w:t>
      </w:r>
      <w:bookmarkEnd w:id="6"/>
    </w:p>
    <w:p w14:paraId="2B5D237F" w14:textId="77777777" w:rsidR="002E4A17" w:rsidRDefault="002E4A17" w:rsidP="002E4A17">
      <w:pPr>
        <w:pStyle w:val="Heading2"/>
        <w:rPr>
          <w:rFonts w:eastAsia="Calibri"/>
        </w:rPr>
      </w:pPr>
      <w:r w:rsidRPr="154D2ED2">
        <w:rPr>
          <w:rFonts w:eastAsia="Calibri"/>
        </w:rPr>
        <w:t>Existing Method</w:t>
      </w:r>
    </w:p>
    <w:p w14:paraId="3EF714F7" w14:textId="25CA3FDA" w:rsidR="000F4F4F" w:rsidRDefault="000F4F4F" w:rsidP="000F4F4F">
      <w:pPr>
        <w:pStyle w:val="NRELBodyText"/>
      </w:pPr>
      <w:r>
        <w:t xml:space="preserve">The type of economizer control used in the building is in large part up to the engineer (although in newer energy codes, some control types are prohibited in certain climate zones). The baseline models currently follow the assumption made in the DOE Reference and Prototype models and assume differential dry-bulb control in all climates, but justification for this assumption could not be located. This results in the most prevalent economizer control type for the older buildings being the differential dry-bulb control as depicted in </w:t>
      </w:r>
      <w:r>
        <w:fldChar w:fldCharType="begin"/>
      </w:r>
      <w:r>
        <w:instrText xml:space="preserve"> REF _Ref136584037 \h </w:instrText>
      </w:r>
      <w:r>
        <w:fldChar w:fldCharType="separate"/>
      </w:r>
      <w:r w:rsidR="00F256F3">
        <w:t xml:space="preserve">Figure </w:t>
      </w:r>
      <w:r w:rsidR="00F256F3">
        <w:rPr>
          <w:noProof/>
        </w:rPr>
        <w:t>2</w:t>
      </w:r>
      <w:r>
        <w:fldChar w:fldCharType="end"/>
      </w:r>
      <w:r>
        <w:t>.</w:t>
      </w:r>
    </w:p>
    <w:p w14:paraId="6D089F1F" w14:textId="2B5E71C4" w:rsidR="002E4A17" w:rsidRDefault="002E4A17" w:rsidP="002E4A17">
      <w:pPr>
        <w:pStyle w:val="Heading2"/>
        <w:rPr>
          <w:rFonts w:eastAsia="Calibri"/>
        </w:rPr>
      </w:pPr>
      <w:r>
        <w:rPr>
          <w:rFonts w:eastAsia="Calibri"/>
        </w:rPr>
        <w:lastRenderedPageBreak/>
        <w:t>New</w:t>
      </w:r>
      <w:r w:rsidRPr="154D2ED2">
        <w:rPr>
          <w:rFonts w:eastAsia="Calibri"/>
        </w:rPr>
        <w:t xml:space="preserve"> Method</w:t>
      </w:r>
    </w:p>
    <w:p w14:paraId="44F0DD45" w14:textId="0F1678B2" w:rsidR="00B07249" w:rsidRDefault="00B07249" w:rsidP="00B07249">
      <w:pPr>
        <w:pStyle w:val="NRELBodyText"/>
      </w:pPr>
      <w:r>
        <w:t xml:space="preserve">Based on a large body of anecdotal evidence from conversations with fault-focused field engineers and a brief review of common current (Trane, Carrier, Daikin) rooftop unit product data sheets </w:t>
      </w:r>
      <w:r>
        <w:fldChar w:fldCharType="begin"/>
      </w:r>
      <w:r>
        <w:instrText xml:space="preserve"> ADDIN ZOTERO_ITEM CSL_CITATION {"citationID":"A5iVY4GC","properties":{"formattedCitation":"[3]\\uc0\\u8211{}[5]","plainCitation":"[3]–[5]","noteIndex":0},"citationItems":[{"id":3594,"uris":["http://zotero.org/groups/2277377/items/JHDV7NQK"],"itemData":{"id":3594,"type":"webpage","language":"en","title":"Packaged Rooftop Air Conditioners Foundation™","author":[{"family":"Trane","given":""}]}},{"id":3596,"uris":["http://zotero.org/groups/2277377/items/I7P9LYGM"],"itemData":{"id":3596,"type":"webpage","title":"EconoMi$ter X","author":[{"family":"Carrier","given":""}]}},{"id":3598,"uris":["http://zotero.org/groups/2277377/items/DGD2FLWF"],"itemData":{"id":3598,"type":"webpage","language":"en","title":"Rebel® Commercial Packaged Rooftop Systems","author":[{"family":"Daikin","given":""}]}}],"schema":"https://github.com/citation-style-language/schema/raw/master/csl-citation.json"} </w:instrText>
      </w:r>
      <w:r>
        <w:fldChar w:fldCharType="separate"/>
      </w:r>
      <w:r w:rsidRPr="00DD162D">
        <w:rPr>
          <w:szCs w:val="24"/>
        </w:rPr>
        <w:t>[3]–[5]</w:t>
      </w:r>
      <w:r>
        <w:fldChar w:fldCharType="end"/>
      </w:r>
      <w:r>
        <w:t>, fixed dry bulb controls are a more common choice than differential dry bulb controls, although manufacturers also offer dual enthalpy (fixed dry bulb + fixed enthalpy) options with the addition of an enthalpy sensor. The assumption will be made to change the baseline model to fixed dry bulb controls for almost all building vintages and climate zones, with the exception being ASHRAE 90.1-2010 and 2013 which prohibited fixed dry bulb economizers in the warmer humid climate zones. These restrictions were lifted in ASHRAE 90.1-20</w:t>
      </w:r>
      <w:r w:rsidR="000751A6">
        <w:t>16</w:t>
      </w:r>
      <w:r w:rsidR="007E61C8">
        <w:t>.</w:t>
      </w:r>
    </w:p>
    <w:p w14:paraId="23CFCA42" w14:textId="06D5584B" w:rsidR="00537CB7" w:rsidRDefault="00537CB7" w:rsidP="007041C4">
      <w:pPr>
        <w:pStyle w:val="Heading1"/>
        <w:rPr>
          <w:rFonts w:eastAsia="Calibri"/>
        </w:rPr>
      </w:pPr>
      <w:r>
        <w:rPr>
          <w:rFonts w:eastAsia="Calibri"/>
        </w:rPr>
        <w:t>Economizer Faults</w:t>
      </w:r>
    </w:p>
    <w:p w14:paraId="4A650E51" w14:textId="07F766AD" w:rsidR="00745512" w:rsidRPr="008764ED" w:rsidRDefault="00745512" w:rsidP="00745512">
      <w:pPr>
        <w:pStyle w:val="NRELBodyText"/>
        <w:rPr>
          <w:b/>
          <w:bCs/>
        </w:rPr>
      </w:pPr>
      <w:r>
        <w:t xml:space="preserve">Economizers are well known for frequent faulty operations. There were many efforts in the past to understand fault characteristics in commercial buildings </w:t>
      </w:r>
      <w:r>
        <w:fldChar w:fldCharType="begin"/>
      </w:r>
      <w:r>
        <w:instrText xml:space="preserve"> ADDIN ZOTERO_ITEM CSL_CITATION {"citationID":"OVLyxoVE","properties":{"formattedCitation":"[6]\\uc0\\u8211{}[9]","plainCitation":"[6]–[9]","noteIndex":0},"citationItems":[{"id":3582,"uris":["http://zotero.org/groups/2277377/items/KWCZADYL"],"itemData":{"id":3582,"type":"article-journal","abstract":"This study provides a review of the current state of knowledge, gaps, and potential value in research on the prevalence of faults in commercial buildings. Two separate efforts were made in this study: (1) we performed a literature review to determine the extent of currently available fault prevalence data for heating, ventilation, and air-conditioning (HVAC) systems, and (2) we conducted dozens of interviews with subject matter experts and stakeholders to determine the HVAC fault data that would be of greatest value. Through the literature review and interviews, we discovered unmet needs for empirical data on the prevalence of faults at the desired level of granularity, consistency, and scale; this lack of data leads us to recommend future work studying commercial buildings’ HVAC fault prevalence, with robust fault taxonomy and a variety of meaningful fault prevalence metrics.","container-title":"Science and Technology for the Built Environment","DOI":"10.1080/23744731.2021.1898243","ISSN":"2374-4731","issue":"5","note":"publisher: Taylor &amp; Francis\n_eprint: https://doi.org/10.1080/23744731.2021.1898243","page":"624-640","source":"Taylor and Francis+NEJM","title":"Research challenges and directions in HVAC fault prevalence","volume":"27","author":[{"family":"Kim","given":"Janghyun"},{"family":"Trenbath","given":"Kim"},{"family":"Granderson","given":"Jessica"},{"family":"Chen","given":"Yimin"},{"family":"Crowe","given":"Eliot"},{"family":"Reeve","given":"Hayden"},{"family":"Newman","given":"Sarah"},{"family":"Ehrlich","given":"Paul"}],"issued":{"date-parts":[["2021",5,28]]}}},{"id":"Lavb2jnF/KaTxMNFs","uris":["http://zotero.org/groups/2277377/items/C7RLMGDX"],"itemData":{"id":3480,"type":"article-journal","abstract":"To achieve ambitious decarbonization goals it is critical that buildings operate to their full potential. Commercial HVAC systems, however, experience a wide range of operational faults, adversely affecting energy consumption, occupant comfort, and maintenance costs. Analytical tools such as fault detection &amp;amp; diagnostics (FDD) software identify and help diagnose these types of sensing, mechanical, or control-related faults. While significant energy savings has been documented for FDD, along with limited-scale studies on technical capabilities, there is a lack of empirical data on faults being reported by FDD tools. With FDD deployment accelerating significantly over the past decade there is an opportunity to gather and analyze data on commercial HVAC operational problems at an unprecedented scale. Such data could address many questions such as: [a] What faults are most commonly reported?; and [b] How does fault reporting vary by time of year and other possible drivers? A recent study into FDD fault reporting amassed the largest U.S. dataset of commercial HVAC air-side fault records, drawn from multi-year monitoring across over 60,000 pieces of HVAC equipment. The results of this study provide granular data on fault reporting for over 90 unique fault types. In this paper we provide an overview of the research process and highlight key findings and lessons learned. This study presents an extraordinary level of detail on FDD fault reporting characteristics across many climate zones and building types. Armed with these new insights, commercial building industry stakeholders can make better informed decisions when designing, configuring, and operating commercial HVAC systems.","language":"en","source":"escholarship.org","title":"What We Learned From Analyzing 18 Million Rows of Commercial Buildings’ HVAC Fault Data","URL":"https://escholarship.org/uc/item/8d378066","author":[{"family":"Crowe","given":"Eliot"},{"family":"Chen","given":"Yimin"},{"family":"Granderson","given":"Jessica"},{"family":"Reeve","given":"Hayden"},{"family":"Troup","given":"Lucas"},{"family":"Yuill","given":"David"},{"family":"Chen","given":"Yuxuan"}],"accessed":{"date-parts":[["2023",4,17]]},"issued":{"date-parts":[["2022",8,26]]}}},{"id":3586,"uris":["http://zotero.org/groups/2277377/items/WARWCCX5"],"itemData":{"id":3586,"type":"article-journal","abstract":"In the United States, as much as 30% of the 19 EJ that commercial buildings consume is considered excess. Much of the excess energy is due to the inability to manage building operations efficiently. Because almost 20% of the total primary energy consumption is associated with commercial buildings, significant energy reductions in this sector are needed to mitigate climate change. Therefore, many cities and states are mandating periodic “tune-ups” of these buildings to eliminate excess energy consumption. Although the benefits of tune-ups and retro-commissioning are clear, focusing these mandates to look for specific opportunities has been a challenge because of the lack of studies that document the prevalence of opportunities. Therefore, we analyzed building automation system data from 151 buildings across the United States to document common operational problems and opportunities to improve building operations. This analysis showed that opportunities to improve building operations exist in almost every building. These opportunities were not strongly correlated with building vintage or size, but were reflective of how the buildings are operated. The prevalence of the top 20 opportunities ranged between 74% and 23%, with 40% of these associated with air-handling units. The rest of the opportunities are associated with schedules, chilled and hot-water distribution, and zone controls. Of the 151 buildings, 69 of them implemented corrective actions of some or all opportunities that were identified. Implementation varied across the Re-tuning categories, with 60% for schedule opportunities, 50% for zone opportunities, over 40% for the air-handling unit and hot-water opportunities, and 35% of the chilled-water opportunities. There was wide variation in whole building energy savings, ranging from 0 to 50% and 0 to 18 $/m2 with median percent annual whole building savings of 12% and median normalized annual cost savings of $1.75/m2. In addition to documenting these key findings, the paper provides a list of opportunities that can be automatically and continuously identified and corrected and offers a list of those opportunities that should be the focus of the mandates.","container-title":"Energy and Buildings","DOI":"10.1016/j.enbuild.2021.111544","ISSN":"0378-7788","journalAbbreviation":"Energy and Buildings","language":"en","page":"111544","source":"ScienceDirect","title":"Prevalence of typical operational problems and energy savings opportunities in U.S. commercial buildings","volume":"253","author":[{"family":"Katipamula","given":"Srinivas"},{"family":"Underhill","given":"Ronald M."},{"family":"Fernandez","given":"Nick"},{"family":"Kim","given":"Woohyun"},{"family":"Lutes","given":"Robert G."},{"family":"Taasevigen","given":"Danny"}],"issued":{"date-parts":[["2021",12,15]]}}},{"id":3587,"uris":["http://zotero.org/groups/2277377/items/MA8V9RB5"],"itemData":{"id":3587,"type":"report","abstract":"To support an ongoing project at NREL titled 'An Open, Cloud-Based Platform for Whole-Building Fault Detection and Diagnostics' (work breakdown structure number 3.2.6.18 funded by the Department of Energy Building Technologies Office), this report documents faults that are commonly found in small commercial buildings (with a floor area of 10,000 ft2 or less) based on a literature review and discussions with building commissioning experts. It also provides a list of prioritized faults based on an estimation of the prevalence, energy impact, and financial impact of each fault.","language":"English","note":"DOI: 10.2172/1457127","number":"NREL/SR-5500-70136","publisher":"National Renewable Energy Lab. (NREL), Golden, CO (United States)","source":"www.osti.gov","title":"Common Faults and Their Prioritization in Small Commercial Buildings: February 2017 - December 2017","title-short":"Common Faults and Their Prioritization in Small Commercial Buildings","URL":"https://www.osti.gov/biblio/1457127","author":[{"family":"Frank","given":"Stephen M."},{"family":"Kim","given":"Janghyun"},{"family":"Cai","given":"Jie"},{"family":"Braun","given":"James E."}],"accessed":{"date-parts":[["2023",6,2]]},"issued":{"date-parts":[["2018",6,19]]}}}],"schema":"https://github.com/citation-style-language/schema/raw/master/csl-citation.json"} </w:instrText>
      </w:r>
      <w:r>
        <w:fldChar w:fldCharType="separate"/>
      </w:r>
      <w:r w:rsidRPr="00DD162D">
        <w:rPr>
          <w:szCs w:val="24"/>
        </w:rPr>
        <w:t>[6]–[9]</w:t>
      </w:r>
      <w:r>
        <w:fldChar w:fldCharType="end"/>
      </w:r>
      <w:r>
        <w:t xml:space="preserve">. While this evidence (without common schema and metric) is still insufficient to reflect all aspects (e.g., prevalence, incidence, intensity, and evolution described in </w:t>
      </w:r>
      <w:r>
        <w:fldChar w:fldCharType="begin"/>
      </w:r>
      <w:r>
        <w:instrText xml:space="preserve"> ADDIN ZOTERO_ITEM CSL_CITATION {"citationID":"Szjv5K88","properties":{"formattedCitation":"[6]","plainCitation":"[6]","noteIndex":0},"citationItems":[{"id":3582,"uris":["http://zotero.org/groups/2277377/items/KWCZADYL"],"itemData":{"id":3582,"type":"article-journal","abstract":"This study provides a review of the current state of knowledge, gaps, and potential value in research on the prevalence of faults in commercial buildings. Two separate efforts were made in this study: (1) we performed a literature review to determine the extent of currently available fault prevalence data for heating, ventilation, and air-conditioning (HVAC) systems, and (2) we conducted dozens of interviews with subject matter experts and stakeholders to determine the HVAC fault data that would be of greatest value. Through the literature review and interviews, we discovered unmet needs for empirical data on the prevalence of faults at the desired level of granularity, consistency, and scale; this lack of data leads us to recommend future work studying commercial buildings’ HVAC fault prevalence, with robust fault taxonomy and a variety of meaningful fault prevalence metrics.","container-title":"Science and Technology for the Built Environment","DOI":"10.1080/23744731.2021.1898243","ISSN":"2374-4731","issue":"5","note":"publisher: Taylor &amp; Francis\n_eprint: https://doi.org/10.1080/23744731.2021.1898243","page":"624-640","source":"Taylor and Francis+NEJM","title":"Research challenges and directions in HVAC fault prevalence","volume":"27","author":[{"family":"Kim","given":"Janghyun"},{"family":"Trenbath","given":"Kim"},{"family":"Granderson","given":"Jessica"},{"family":"Chen","given":"Yimin"},{"family":"Crowe","given":"Eliot"},{"family":"Reeve","given":"Hayden"},{"family":"Newman","given":"Sarah"},{"family":"Ehrlich","given":"Paul"}],"issued":{"date-parts":[["2021",5,28]]}}}],"schema":"https://github.com/citation-style-language/schema/raw/master/csl-citation.json"} </w:instrText>
      </w:r>
      <w:r>
        <w:fldChar w:fldCharType="separate"/>
      </w:r>
      <w:r w:rsidRPr="00DD162D">
        <w:t>[6]</w:t>
      </w:r>
      <w:r>
        <w:fldChar w:fldCharType="end"/>
      </w:r>
      <w:r>
        <w:t>) of all faults in</w:t>
      </w:r>
      <w:r w:rsidR="007A25A0">
        <w:t xml:space="preserve"> the</w:t>
      </w:r>
      <w:r>
        <w:t xml:space="preserve"> commercial building stock across the country, it is possible to make simplifications for modeling certain fault type</w:t>
      </w:r>
      <w:r w:rsidR="007A25A0">
        <w:t>s</w:t>
      </w:r>
      <w:r>
        <w:t xml:space="preserve"> based on available data.</w:t>
      </w:r>
    </w:p>
    <w:p w14:paraId="6D736064" w14:textId="77777777" w:rsidR="007A25A0" w:rsidRDefault="007A25A0" w:rsidP="007A25A0">
      <w:pPr>
        <w:pStyle w:val="Heading2"/>
      </w:pPr>
      <w:r>
        <w:t>Existing Method</w:t>
      </w:r>
    </w:p>
    <w:p w14:paraId="43FEE886" w14:textId="7301455E" w:rsidR="007A25A0" w:rsidRPr="007A25A0" w:rsidRDefault="007A25A0" w:rsidP="007A25A0">
      <w:pPr>
        <w:pStyle w:val="NRELBodyText"/>
      </w:pPr>
      <w:r>
        <w:t xml:space="preserve">In the existing baseline, all economizers </w:t>
      </w:r>
      <w:r w:rsidR="0015163C">
        <w:t>are assumed to operate as-intended with no faults.</w:t>
      </w:r>
    </w:p>
    <w:p w14:paraId="35283523" w14:textId="77777777" w:rsidR="00D417DB" w:rsidRDefault="007A25A0" w:rsidP="007A25A0">
      <w:pPr>
        <w:pStyle w:val="Heading2"/>
      </w:pPr>
      <w:r>
        <w:t>New Method</w:t>
      </w:r>
    </w:p>
    <w:p w14:paraId="628B46D2" w14:textId="2F96749D" w:rsidR="00D417DB" w:rsidRDefault="00D417DB" w:rsidP="00D417DB">
      <w:pPr>
        <w:pStyle w:val="NRELBodyText"/>
      </w:pPr>
      <w:r>
        <w:fldChar w:fldCharType="begin"/>
      </w:r>
      <w:r>
        <w:instrText xml:space="preserve"> REF _Ref136602605 \h </w:instrText>
      </w:r>
      <w:r>
        <w:fldChar w:fldCharType="separate"/>
      </w:r>
      <w:r w:rsidR="00F256F3">
        <w:t xml:space="preserve">Table </w:t>
      </w:r>
      <w:r w:rsidR="00F256F3">
        <w:rPr>
          <w:noProof/>
        </w:rPr>
        <w:t>3</w:t>
      </w:r>
      <w:r>
        <w:fldChar w:fldCharType="end"/>
      </w:r>
      <w:r>
        <w:t xml:space="preserve"> shows how the first fault is modeled for buildings with economizers. Crowe et al. </w:t>
      </w:r>
      <w:r>
        <w:fldChar w:fldCharType="begin"/>
      </w:r>
      <w:r>
        <w:instrText xml:space="preserve"> ADDIN ZOTERO_ITEM CSL_CITATION {"citationID":"Nqr4nX8B","properties":{"formattedCitation":"[7]","plainCitation":"[7]","noteIndex":0},"citationItems":[{"id":"Lavb2jnF/KaTxMNFs","uris":["http://zotero.org/groups/2277377/items/C7RLMGDX"],"itemData":{"id":3480,"type":"article-journal","abstract":"To achieve ambitious decarbonization goals it is critical that buildings operate to their full potential. Commercial HVAC systems, however, experience a wide range of operational faults, adversely affecting energy consumption, occupant comfort, and maintenance costs. Analytical tools such as fault detection &amp;amp; diagnostics (FDD) software identify and help diagnose these types of sensing, mechanical, or control-related faults. While significant energy savings has been documented for FDD, along with limited-scale studies on technical capabilities, there is a lack of empirical data on faults being reported by FDD tools. With FDD deployment accelerating significantly over the past decade there is an opportunity to gather and analyze data on commercial HVAC operational problems at an unprecedented scale. Such data could address many questions such as: [a] What faults are most commonly reported?; and [b] How does fault reporting vary by time of year and other possible drivers? A recent study into FDD fault reporting amassed the largest U.S. dataset of commercial HVAC air-side fault records, drawn from multi-year monitoring across over 60,000 pieces of HVAC equipment. The results of this study provide granular data on fault reporting for over 90 unique fault types. In this paper we provide an overview of the research process and highlight key findings and lessons learned. This study presents an extraordinary level of detail on FDD fault reporting characteristics across many climate zones and building types. Armed with these new insights, commercial building industry stakeholders can make better informed decisions when designing, configuring, and operating commercial HVAC systems.","language":"en","source":"escholarship.org","title":"What We Learned From Analyzing 18 Million Rows of Commercial Buildings’ HVAC Fault Data","URL":"https://escholarship.org/uc/item/8d378066","author":[{"family":"Crowe","given":"Eliot"},{"family":"Chen","given":"Yimin"},{"family":"Granderson","given":"Jessica"},{"family":"Reeve","given":"Hayden"},{"family":"Troup","given":"Lucas"},{"family":"Yuill","given":"David"},{"family":"Chen","given":"Yuxuan"}],"accessed":{"date-parts":[["2023",4,17]]},"issued":{"date-parts":[["2022",8,26]]}}}],"schema":"https://github.com/citation-style-language/schema/raw/master/csl-citation.json"} </w:instrText>
      </w:r>
      <w:r>
        <w:fldChar w:fldCharType="separate"/>
      </w:r>
      <w:r>
        <w:t>[7]</w:t>
      </w:r>
      <w:r>
        <w:fldChar w:fldCharType="end"/>
      </w:r>
      <w:r>
        <w:t xml:space="preserve"> acquired data from AFDD venders that monitored 3,660 AHUs and 7,974 RTUs and reported 31% of all economizers were experiencing faulty operations. Shoukas et al. </w:t>
      </w:r>
      <w:r>
        <w:fldChar w:fldCharType="begin"/>
      </w:r>
      <w:r>
        <w:instrText xml:space="preserve"> ADDIN ZOTERO_ITEM CSL_CITATION {"citationID":"GZ0tpyxs","properties":{"formattedCitation":"[10]","plainCitation":"[10]","noteIndex":0},"citationItems":[{"id":3486,"uris":["http://zotero.org/groups/2277377/items/WGXWC82F"],"itemData":{"id":3486,"type":"report","abstract":"Rooftop units (RTUs) and other packaged systems are very common in commercial buildings in the U.S., and they often have minimal controls and poor performance. Automated fault detection and diagnostics (AFDD) is a powerful tool that can continuously monitor operating equipment, detect abnormal performance, diagnose problems, and report findings to building operators. AFDD technologies for RTUs have been under development for many years and have recently begun to enter the market in a significant way. There are several AFDD systems available for RTUs that feature a wide range of designs, capabilities, and reporting. Unfortunately, there is little consistency among the AFDD applications and little understanding of the performance and value of these systems. This study presents analysis of AFDD data provided by four companies from over 28,000 RTUs, five building types, and multiple climate zones. The objectives of this investigation were to gain a better understanding of how RTU AFDD systems operate, the types and frequencies of faults identified, and how building operators interact with these systems. The monitoring of a variety of RTUs provides insights into the AFDD monitoring inputs, faults, and diagnostics from which these tools are capable of informing building owners about the status of their HVAC systems.","language":"English","note":"DOI: 10.2172/1665808","number":"NREL/TP-5500-77077","publisher":"National Renewable Energy Lab. (NREL), Golden, CO (United States)","source":"www.osti.gov","title":"Analysis of Fault Data Collected from Automated Fault Detection and Diagnostic Products for Packaged Rooftop Units","URL":"https://www.osti.gov/biblio/1665808","author":[{"family":"Shoukas","given":"Greg"},{"family":"Bianchi","given":"Marcus"},{"family":"Deru","given":"Michael"}],"accessed":{"date-parts":[["2023",4,17]]},"issued":{"date-parts":[["2020",9,1]]}}}],"schema":"https://github.com/citation-style-language/schema/raw/master/csl-citation.json"} </w:instrText>
      </w:r>
      <w:r>
        <w:fldChar w:fldCharType="separate"/>
      </w:r>
      <w:r>
        <w:t>[10]</w:t>
      </w:r>
      <w:r>
        <w:fldChar w:fldCharType="end"/>
      </w:r>
      <w:r>
        <w:t xml:space="preserve"> received data from a clothing retailer and food chain that monitored 1,416 RTUs and reported 60% of all faults related to economizers were related to economizer not effectively reducing cooling load compared to the theoretical potential. The description of “ineffective economizing” can be due to different faults: damper stuck, damper bias, sensor bias, sensor frozen, inappropriate configuration, etc. A report </w:t>
      </w:r>
      <w:r>
        <w:fldChar w:fldCharType="begin"/>
      </w:r>
      <w:r>
        <w:instrText xml:space="preserve"> ADDIN ZOTERO_ITEM CSL_CITATION {"citationID":"ZvfrjkYq","properties":{"formattedCitation":"[11]","plainCitation":"[11]","noteIndex":0},"citationItems":[{"id":3519,"uris":["http://zotero.org/groups/2277377/items/GXGHIGJX"],"itemData":{"id":3519,"type":"report","language":"en","source":"Zotero","title":"Commercial Roof-top Units in Minnesota: Characteristics and Energy Performance","author":[{"family":"Seventhwave and Center for Energy and Environment","given":""}],"issued":{"date-parts":[["2016"]]}}}],"schema":"https://github.com/citation-style-language/schema/raw/master/csl-citation.json"} </w:instrText>
      </w:r>
      <w:r>
        <w:fldChar w:fldCharType="separate"/>
      </w:r>
      <w:r>
        <w:t>[11]</w:t>
      </w:r>
      <w:r>
        <w:fldChar w:fldCharType="end"/>
      </w:r>
      <w:r>
        <w:t xml:space="preserve"> published by Minnesota Department of Commerce Division of Energy Resources monitored 41 RTUs in Minnesota that were installed in many different building types (e.g., office, restaurant, retail, hotel, etc.) and reported the actual changeover temperature setting in the economizer were not configured efficiently (average of 52</w:t>
      </w:r>
      <w:r>
        <w:rPr>
          <w:rFonts w:ascii="Calibri" w:hAnsi="Calibri" w:cs="Calibri"/>
        </w:rPr>
        <w:t>°</w:t>
      </w:r>
      <w:r>
        <w:t xml:space="preserve">F) resulting in missed free cooling opportunity. </w:t>
      </w:r>
    </w:p>
    <w:p w14:paraId="1428CE98" w14:textId="37E0BDE9" w:rsidR="00D417DB" w:rsidRDefault="00D417DB" w:rsidP="00D417DB">
      <w:pPr>
        <w:pStyle w:val="NRELBodyText"/>
      </w:pPr>
      <w:r>
        <w:t xml:space="preserve">Based on this information focusing on different aspects of the fault, a fault measure was developed as shown in </w:t>
      </w:r>
      <w:r>
        <w:fldChar w:fldCharType="begin"/>
      </w:r>
      <w:r>
        <w:instrText xml:space="preserve"> REF _Ref136602605 \h </w:instrText>
      </w:r>
      <w:r>
        <w:fldChar w:fldCharType="separate"/>
      </w:r>
      <w:r w:rsidR="00F256F3">
        <w:t xml:space="preserve">Table </w:t>
      </w:r>
      <w:r w:rsidR="00F256F3">
        <w:rPr>
          <w:noProof/>
        </w:rPr>
        <w:t>3</w:t>
      </w:r>
      <w:r>
        <w:fldChar w:fldCharType="end"/>
      </w:r>
      <w:r>
        <w:t xml:space="preserve">. The table includes a verbal description of the fault as well as four different metrics that define the characteristics of a fault. Fault intensity (or severity) is when a fault can have severity level. For example, if the sensor is drifting, the intensity becomes the difference between true value versus (biased) measured value. Fault prevalence refers to the portion of systems/components with the fault among all systems/components in the sample space (e.g., 30% of all economizers have the fault). Fault incidence refers to the occurrence rate of a fault for a given system/component and for a given time (e.g., economizer damper gets stuck </w:t>
      </w:r>
      <w:r>
        <w:lastRenderedPageBreak/>
        <w:t xml:space="preserve">once every year). Fault evolution refers to certain faults where the severity naturally changes over time. Sensor drifting is typically a fault where the severity changes over the course of time. For the incorrect high limit setting described in </w:t>
      </w:r>
      <w:r>
        <w:fldChar w:fldCharType="begin"/>
      </w:r>
      <w:r>
        <w:instrText xml:space="preserve"> REF _Ref136602605 \h </w:instrText>
      </w:r>
      <w:r>
        <w:fldChar w:fldCharType="separate"/>
      </w:r>
      <w:r w:rsidR="00F256F3">
        <w:t xml:space="preserve">Table </w:t>
      </w:r>
      <w:r w:rsidR="00F256F3">
        <w:rPr>
          <w:noProof/>
        </w:rPr>
        <w:t>3</w:t>
      </w:r>
      <w:r>
        <w:fldChar w:fldCharType="end"/>
      </w:r>
      <w:r>
        <w:t>, the fault changes the changeover temperature setting of an economizer to 52</w:t>
      </w:r>
      <w:r>
        <w:rPr>
          <w:rFonts w:ascii="Calibri" w:hAnsi="Calibri" w:cs="Calibri"/>
        </w:rPr>
        <w:t>°</w:t>
      </w:r>
      <w:r>
        <w:t>F and applies fault to 30% of economizers that use fixed dry-bulb control. Fault incidence and fault evolution were not considered for modeling because these aspects are relatively irrelevant for this fault.</w:t>
      </w:r>
    </w:p>
    <w:p w14:paraId="7C8A4AB2" w14:textId="3EF42E94" w:rsidR="00D417DB" w:rsidRDefault="00D417DB" w:rsidP="00D417DB">
      <w:pPr>
        <w:pStyle w:val="NRELTableCaption"/>
      </w:pPr>
      <w:bookmarkStart w:id="7" w:name="_Ref136602605"/>
      <w:bookmarkStart w:id="8" w:name="_Toc145599185"/>
      <w:r>
        <w:t xml:space="preserve">Table </w:t>
      </w:r>
      <w:fldSimple w:instr=" SEQ Table \* ARABIC ">
        <w:r w:rsidR="00F256F3">
          <w:rPr>
            <w:noProof/>
          </w:rPr>
          <w:t>3</w:t>
        </w:r>
      </w:fldSimple>
      <w:bookmarkEnd w:id="7"/>
      <w:r>
        <w:t>. Description of fault: incorrect changeover temperature setting</w:t>
      </w:r>
      <w:bookmarkEnd w:id="8"/>
    </w:p>
    <w:tbl>
      <w:tblPr>
        <w:tblStyle w:val="TableGrid"/>
        <w:tblW w:w="9324" w:type="dxa"/>
        <w:tblLook w:val="04A0" w:firstRow="1" w:lastRow="0" w:firstColumn="1" w:lastColumn="0" w:noHBand="0" w:noVBand="1"/>
      </w:tblPr>
      <w:tblGrid>
        <w:gridCol w:w="2880"/>
        <w:gridCol w:w="570"/>
        <w:gridCol w:w="2274"/>
        <w:gridCol w:w="3600"/>
      </w:tblGrid>
      <w:tr w:rsidR="00D417DB" w14:paraId="2E50D96D" w14:textId="77777777" w:rsidTr="006E66CB">
        <w:trPr>
          <w:trHeight w:val="300"/>
        </w:trPr>
        <w:tc>
          <w:tcPr>
            <w:tcW w:w="2880" w:type="dxa"/>
            <w:shd w:val="clear" w:color="auto" w:fill="D9D9D9" w:themeFill="background1" w:themeFillShade="D9"/>
            <w:vAlign w:val="center"/>
          </w:tcPr>
          <w:p w14:paraId="606098AE" w14:textId="77777777" w:rsidR="00D417DB" w:rsidRPr="00BB39FA" w:rsidRDefault="00D417DB" w:rsidP="006E66CB">
            <w:pPr>
              <w:pStyle w:val="NRELBodyText"/>
              <w:spacing w:after="0"/>
              <w:rPr>
                <w:b/>
                <w:bCs/>
                <w:szCs w:val="24"/>
              </w:rPr>
            </w:pPr>
            <w:r w:rsidRPr="00BB39FA">
              <w:rPr>
                <w:b/>
                <w:bCs/>
                <w:szCs w:val="24"/>
              </w:rPr>
              <w:t>Evidence data</w:t>
            </w:r>
          </w:p>
        </w:tc>
        <w:tc>
          <w:tcPr>
            <w:tcW w:w="570" w:type="dxa"/>
            <w:vMerge w:val="restart"/>
            <w:shd w:val="clear" w:color="auto" w:fill="E0AA6E"/>
            <w:textDirection w:val="btLr"/>
          </w:tcPr>
          <w:p w14:paraId="74CE3B87" w14:textId="77777777" w:rsidR="00D417DB" w:rsidRPr="00BB39FA" w:rsidRDefault="00D417DB" w:rsidP="006E66CB">
            <w:pPr>
              <w:pStyle w:val="NRELBodyText"/>
              <w:spacing w:after="0"/>
              <w:ind w:left="113" w:right="113"/>
              <w:jc w:val="center"/>
              <w:rPr>
                <w:b/>
                <w:bCs/>
                <w:szCs w:val="24"/>
              </w:rPr>
            </w:pPr>
            <w:r w:rsidRPr="00BB39FA">
              <w:rPr>
                <w:b/>
                <w:bCs/>
                <w:szCs w:val="24"/>
              </w:rPr>
              <w:t>translate evidence data to fault</w:t>
            </w:r>
          </w:p>
        </w:tc>
        <w:tc>
          <w:tcPr>
            <w:tcW w:w="2274" w:type="dxa"/>
            <w:shd w:val="clear" w:color="auto" w:fill="D9D9D9" w:themeFill="background1" w:themeFillShade="D9"/>
          </w:tcPr>
          <w:p w14:paraId="26CE8E99" w14:textId="77777777" w:rsidR="00D417DB" w:rsidRPr="00BB39FA" w:rsidRDefault="00D417DB" w:rsidP="006E66CB">
            <w:pPr>
              <w:pStyle w:val="NRELBodyText"/>
              <w:spacing w:after="0"/>
              <w:rPr>
                <w:b/>
                <w:bCs/>
                <w:szCs w:val="24"/>
              </w:rPr>
            </w:pPr>
            <w:r w:rsidRPr="00BB39FA">
              <w:rPr>
                <w:b/>
                <w:bCs/>
                <w:szCs w:val="24"/>
              </w:rPr>
              <w:t>Fault Characteristic</w:t>
            </w:r>
          </w:p>
        </w:tc>
        <w:tc>
          <w:tcPr>
            <w:tcW w:w="3600" w:type="dxa"/>
            <w:shd w:val="clear" w:color="auto" w:fill="D9D9D9" w:themeFill="background1" w:themeFillShade="D9"/>
          </w:tcPr>
          <w:p w14:paraId="5D41546E" w14:textId="77777777" w:rsidR="00D417DB" w:rsidRPr="00BB39FA" w:rsidRDefault="00D417DB" w:rsidP="006E66CB">
            <w:pPr>
              <w:pStyle w:val="NRELBodyText"/>
              <w:spacing w:after="0"/>
              <w:rPr>
                <w:b/>
                <w:bCs/>
                <w:szCs w:val="24"/>
              </w:rPr>
            </w:pPr>
            <w:r w:rsidRPr="00BB39FA">
              <w:rPr>
                <w:b/>
                <w:bCs/>
                <w:szCs w:val="24"/>
              </w:rPr>
              <w:t>Definition</w:t>
            </w:r>
          </w:p>
        </w:tc>
      </w:tr>
      <w:tr w:rsidR="00D417DB" w14:paraId="6A39D295" w14:textId="77777777" w:rsidTr="006E66CB">
        <w:trPr>
          <w:trHeight w:val="864"/>
        </w:trPr>
        <w:tc>
          <w:tcPr>
            <w:tcW w:w="2880" w:type="dxa"/>
            <w:vMerge w:val="restart"/>
            <w:vAlign w:val="center"/>
          </w:tcPr>
          <w:p w14:paraId="6EB1FFCA" w14:textId="1FB4633C" w:rsidR="00D417DB" w:rsidRPr="00FA6FC1" w:rsidRDefault="00D417DB" w:rsidP="006E66CB">
            <w:pPr>
              <w:pStyle w:val="NRELBodyText"/>
              <w:spacing w:after="0"/>
              <w:rPr>
                <w:color w:val="A6A6A6" w:themeColor="background1" w:themeShade="A6"/>
                <w:sz w:val="20"/>
              </w:rPr>
            </w:pPr>
            <w:r w:rsidRPr="00FA6FC1">
              <w:rPr>
                <w:color w:val="A6A6A6" w:themeColor="background1" w:themeShade="A6"/>
                <w:sz w:val="20"/>
              </w:rPr>
              <w:t xml:space="preserve">From 3,660 AHUs and 7,974 RTUs, </w:t>
            </w:r>
          </w:p>
          <w:p w14:paraId="3DAED661" w14:textId="77777777" w:rsidR="00D417DB" w:rsidRDefault="00D417DB" w:rsidP="006E66CB">
            <w:pPr>
              <w:pStyle w:val="NRELBodyText"/>
              <w:spacing w:after="0"/>
            </w:pPr>
            <w:r w:rsidRPr="00E16E7C">
              <w:t xml:space="preserve">Economizer faults occurred in </w:t>
            </w:r>
            <w:r w:rsidRPr="00483228">
              <w:rPr>
                <w:b/>
                <w:bCs/>
                <w:color w:val="FF0000"/>
              </w:rPr>
              <w:t>31%</w:t>
            </w:r>
            <w:r w:rsidRPr="00E16E7C">
              <w:t xml:space="preserve"> of all economizers</w:t>
            </w:r>
            <w:r>
              <w:t>.</w:t>
            </w:r>
          </w:p>
          <w:p w14:paraId="77631396" w14:textId="77777777" w:rsidR="00D417DB" w:rsidRDefault="00D417DB" w:rsidP="006E66CB">
            <w:pPr>
              <w:pStyle w:val="NRELBodyText"/>
              <w:spacing w:after="0"/>
            </w:pPr>
          </w:p>
          <w:p w14:paraId="2EF36538" w14:textId="664FC831" w:rsidR="00D417DB" w:rsidRPr="00FA6FC1" w:rsidRDefault="00D417DB" w:rsidP="006E66CB">
            <w:pPr>
              <w:pStyle w:val="NRELBodyText"/>
              <w:spacing w:after="0"/>
              <w:rPr>
                <w:color w:val="A6A6A6" w:themeColor="background1" w:themeShade="A6"/>
                <w:sz w:val="20"/>
              </w:rPr>
            </w:pPr>
            <w:r w:rsidRPr="00FA6FC1">
              <w:rPr>
                <w:color w:val="A6A6A6" w:themeColor="background1" w:themeShade="A6"/>
                <w:sz w:val="20"/>
              </w:rPr>
              <w:t>From 1,416 RTUs (owned by food chain and clothing retailer),</w:t>
            </w:r>
          </w:p>
          <w:p w14:paraId="4A7ED568" w14:textId="77777777" w:rsidR="00D417DB" w:rsidRDefault="00D417DB" w:rsidP="006E66CB">
            <w:pPr>
              <w:pStyle w:val="NRELBodyText"/>
              <w:spacing w:after="0"/>
            </w:pPr>
            <w:r w:rsidRPr="00483228">
              <w:rPr>
                <w:b/>
                <w:bCs/>
                <w:color w:val="FF0000"/>
              </w:rPr>
              <w:t>60%</w:t>
            </w:r>
            <w:r>
              <w:t xml:space="preserve"> of economizer faults were due to not leveraging 100% colder air properly.</w:t>
            </w:r>
          </w:p>
          <w:p w14:paraId="7ECDDC3B" w14:textId="77777777" w:rsidR="00D417DB" w:rsidRDefault="00D417DB" w:rsidP="006E66CB">
            <w:pPr>
              <w:pStyle w:val="NRELBodyText"/>
              <w:spacing w:after="0"/>
            </w:pPr>
          </w:p>
          <w:p w14:paraId="3A86C164" w14:textId="1DBFE003" w:rsidR="00D417DB" w:rsidRPr="00FA6FC1" w:rsidRDefault="00D417DB" w:rsidP="006E66CB">
            <w:pPr>
              <w:pStyle w:val="NRELBodyText"/>
              <w:spacing w:after="0"/>
              <w:rPr>
                <w:color w:val="A6A6A6" w:themeColor="background1" w:themeShade="A6"/>
                <w:sz w:val="20"/>
              </w:rPr>
            </w:pPr>
            <w:r w:rsidRPr="00FA6FC1">
              <w:rPr>
                <w:color w:val="A6A6A6" w:themeColor="background1" w:themeShade="A6"/>
                <w:sz w:val="20"/>
              </w:rPr>
              <w:t xml:space="preserve">From 41 RTUs (across office, restaurant, retail, hotel), </w:t>
            </w:r>
          </w:p>
          <w:p w14:paraId="5EB5D9D7" w14:textId="77777777" w:rsidR="00D417DB" w:rsidRPr="00E16E7C" w:rsidRDefault="00D417DB" w:rsidP="006E66CB">
            <w:pPr>
              <w:pStyle w:val="NRELBodyText"/>
              <w:spacing w:after="0"/>
            </w:pPr>
            <w:r w:rsidRPr="00C40E79">
              <w:t>average changepoint temperature with RTUs with economizers =</w:t>
            </w:r>
            <w:r>
              <w:t xml:space="preserve"> </w:t>
            </w:r>
            <w:r w:rsidRPr="00483228">
              <w:rPr>
                <w:b/>
                <w:bCs/>
                <w:color w:val="FF0000"/>
              </w:rPr>
              <w:t>52℉</w:t>
            </w:r>
          </w:p>
        </w:tc>
        <w:tc>
          <w:tcPr>
            <w:tcW w:w="570" w:type="dxa"/>
            <w:vMerge/>
          </w:tcPr>
          <w:p w14:paraId="0172F602" w14:textId="77777777" w:rsidR="00D417DB" w:rsidRPr="00E16E7C" w:rsidRDefault="00D417DB" w:rsidP="006E66CB">
            <w:pPr>
              <w:pStyle w:val="NRELBodyText"/>
              <w:spacing w:after="0"/>
            </w:pPr>
          </w:p>
        </w:tc>
        <w:tc>
          <w:tcPr>
            <w:tcW w:w="2274" w:type="dxa"/>
            <w:shd w:val="clear" w:color="auto" w:fill="D9D9D9" w:themeFill="background1" w:themeFillShade="D9"/>
          </w:tcPr>
          <w:p w14:paraId="32546998" w14:textId="77777777" w:rsidR="00D417DB" w:rsidRPr="00BB39FA" w:rsidRDefault="00D417DB" w:rsidP="006E66CB">
            <w:pPr>
              <w:pStyle w:val="NRELBodyText"/>
              <w:spacing w:after="0"/>
            </w:pPr>
            <w:r w:rsidRPr="00BB39FA">
              <w:t>Description</w:t>
            </w:r>
          </w:p>
        </w:tc>
        <w:tc>
          <w:tcPr>
            <w:tcW w:w="3600" w:type="dxa"/>
          </w:tcPr>
          <w:p w14:paraId="6B63AEE7" w14:textId="77777777" w:rsidR="00D417DB" w:rsidRPr="00E16E7C" w:rsidRDefault="00D417DB" w:rsidP="006E66CB">
            <w:pPr>
              <w:pStyle w:val="NRELBodyText"/>
              <w:spacing w:after="0"/>
            </w:pPr>
            <w:r w:rsidRPr="00E16E7C">
              <w:t>changeover temperature for fixed dry</w:t>
            </w:r>
            <w:r>
              <w:t>-</w:t>
            </w:r>
            <w:r w:rsidRPr="00E16E7C">
              <w:t>bulb control incorrectly configured</w:t>
            </w:r>
          </w:p>
        </w:tc>
      </w:tr>
      <w:tr w:rsidR="00D417DB" w14:paraId="7681E10C" w14:textId="77777777" w:rsidTr="006E66CB">
        <w:trPr>
          <w:trHeight w:val="864"/>
        </w:trPr>
        <w:tc>
          <w:tcPr>
            <w:tcW w:w="2880" w:type="dxa"/>
            <w:vMerge/>
            <w:vAlign w:val="center"/>
          </w:tcPr>
          <w:p w14:paraId="47508DB2" w14:textId="77777777" w:rsidR="00D417DB" w:rsidRPr="00E16E7C" w:rsidRDefault="00D417DB" w:rsidP="006E66CB">
            <w:pPr>
              <w:pStyle w:val="NRELBodyText"/>
              <w:spacing w:after="0"/>
            </w:pPr>
          </w:p>
        </w:tc>
        <w:tc>
          <w:tcPr>
            <w:tcW w:w="570" w:type="dxa"/>
            <w:vMerge/>
          </w:tcPr>
          <w:p w14:paraId="7858D142" w14:textId="77777777" w:rsidR="00D417DB" w:rsidRPr="00E16E7C" w:rsidRDefault="00D417DB" w:rsidP="006E66CB">
            <w:pPr>
              <w:pStyle w:val="NRELBodyText"/>
              <w:spacing w:after="0"/>
            </w:pPr>
          </w:p>
        </w:tc>
        <w:tc>
          <w:tcPr>
            <w:tcW w:w="2274" w:type="dxa"/>
            <w:shd w:val="clear" w:color="auto" w:fill="D9D9D9" w:themeFill="background1" w:themeFillShade="D9"/>
          </w:tcPr>
          <w:p w14:paraId="0260CAE4" w14:textId="77777777" w:rsidR="00D417DB" w:rsidRPr="00BB39FA" w:rsidRDefault="00D417DB" w:rsidP="006E66CB">
            <w:pPr>
              <w:pStyle w:val="NRELBodyText"/>
              <w:spacing w:after="0"/>
            </w:pPr>
            <w:r w:rsidRPr="00BB39FA">
              <w:t>Intensity/severity</w:t>
            </w:r>
          </w:p>
        </w:tc>
        <w:tc>
          <w:tcPr>
            <w:tcW w:w="3600" w:type="dxa"/>
          </w:tcPr>
          <w:p w14:paraId="56542E52" w14:textId="77777777" w:rsidR="00D417DB" w:rsidRPr="00E16E7C" w:rsidRDefault="00D417DB" w:rsidP="006E66CB">
            <w:pPr>
              <w:pStyle w:val="NRELBodyText"/>
              <w:spacing w:after="0"/>
            </w:pPr>
            <w:r w:rsidRPr="007F39D8">
              <w:t>changeover temperature = 52℉</w:t>
            </w:r>
          </w:p>
        </w:tc>
      </w:tr>
      <w:tr w:rsidR="00D417DB" w14:paraId="1C8A1AD7" w14:textId="77777777" w:rsidTr="006E66CB">
        <w:trPr>
          <w:trHeight w:val="864"/>
        </w:trPr>
        <w:tc>
          <w:tcPr>
            <w:tcW w:w="2880" w:type="dxa"/>
            <w:vMerge/>
            <w:vAlign w:val="center"/>
          </w:tcPr>
          <w:p w14:paraId="6FA3715B" w14:textId="77777777" w:rsidR="00D417DB" w:rsidRPr="00E16E7C" w:rsidRDefault="00D417DB" w:rsidP="006E66CB">
            <w:pPr>
              <w:pStyle w:val="NRELBodyText"/>
              <w:spacing w:after="0"/>
            </w:pPr>
          </w:p>
        </w:tc>
        <w:tc>
          <w:tcPr>
            <w:tcW w:w="570" w:type="dxa"/>
            <w:vMerge/>
          </w:tcPr>
          <w:p w14:paraId="6C40B4C1" w14:textId="77777777" w:rsidR="00D417DB" w:rsidRPr="00E16E7C" w:rsidRDefault="00D417DB" w:rsidP="006E66CB">
            <w:pPr>
              <w:pStyle w:val="NRELBodyText"/>
              <w:spacing w:after="0"/>
            </w:pPr>
          </w:p>
        </w:tc>
        <w:tc>
          <w:tcPr>
            <w:tcW w:w="2274" w:type="dxa"/>
            <w:shd w:val="clear" w:color="auto" w:fill="D9D9D9" w:themeFill="background1" w:themeFillShade="D9"/>
          </w:tcPr>
          <w:p w14:paraId="09634455" w14:textId="77777777" w:rsidR="00D417DB" w:rsidRPr="00BB39FA" w:rsidRDefault="00D417DB" w:rsidP="006E66CB">
            <w:pPr>
              <w:pStyle w:val="NRELBodyText"/>
              <w:spacing w:after="0"/>
            </w:pPr>
            <w:r w:rsidRPr="00BB39FA">
              <w:t>Prevalence</w:t>
            </w:r>
          </w:p>
        </w:tc>
        <w:tc>
          <w:tcPr>
            <w:tcW w:w="3600" w:type="dxa"/>
          </w:tcPr>
          <w:p w14:paraId="404119DD" w14:textId="77777777" w:rsidR="00D417DB" w:rsidRPr="00E16E7C" w:rsidRDefault="00D417DB" w:rsidP="006E66CB">
            <w:pPr>
              <w:pStyle w:val="NRELBodyText"/>
              <w:spacing w:after="0"/>
            </w:pPr>
            <w:r w:rsidRPr="007F39D8">
              <w:t>30% of buildings with economizers</w:t>
            </w:r>
          </w:p>
        </w:tc>
      </w:tr>
      <w:tr w:rsidR="00D417DB" w14:paraId="77A76FA8" w14:textId="77777777" w:rsidTr="006E66CB">
        <w:trPr>
          <w:trHeight w:val="864"/>
        </w:trPr>
        <w:tc>
          <w:tcPr>
            <w:tcW w:w="2880" w:type="dxa"/>
            <w:vMerge/>
            <w:vAlign w:val="center"/>
          </w:tcPr>
          <w:p w14:paraId="79345EA1" w14:textId="77777777" w:rsidR="00D417DB" w:rsidRPr="00E16E7C" w:rsidRDefault="00D417DB" w:rsidP="006E66CB">
            <w:pPr>
              <w:pStyle w:val="NRELBodyText"/>
              <w:spacing w:after="0"/>
            </w:pPr>
          </w:p>
        </w:tc>
        <w:tc>
          <w:tcPr>
            <w:tcW w:w="570" w:type="dxa"/>
            <w:vMerge/>
          </w:tcPr>
          <w:p w14:paraId="691F2CFD" w14:textId="77777777" w:rsidR="00D417DB" w:rsidRPr="00E16E7C" w:rsidRDefault="00D417DB" w:rsidP="006E66CB">
            <w:pPr>
              <w:pStyle w:val="NRELBodyText"/>
              <w:spacing w:after="0"/>
            </w:pPr>
          </w:p>
        </w:tc>
        <w:tc>
          <w:tcPr>
            <w:tcW w:w="2274" w:type="dxa"/>
            <w:shd w:val="clear" w:color="auto" w:fill="D9D9D9" w:themeFill="background1" w:themeFillShade="D9"/>
          </w:tcPr>
          <w:p w14:paraId="6C0DD254" w14:textId="77777777" w:rsidR="00D417DB" w:rsidRPr="00BB39FA" w:rsidRDefault="00D417DB" w:rsidP="006E66CB">
            <w:pPr>
              <w:pStyle w:val="NRELBodyText"/>
              <w:spacing w:after="0"/>
            </w:pPr>
            <w:r w:rsidRPr="00BB39FA">
              <w:t>Incidence</w:t>
            </w:r>
          </w:p>
        </w:tc>
        <w:tc>
          <w:tcPr>
            <w:tcW w:w="3600" w:type="dxa"/>
          </w:tcPr>
          <w:p w14:paraId="694ADA59" w14:textId="77777777" w:rsidR="00D417DB" w:rsidRPr="00E16E7C" w:rsidRDefault="00D417DB" w:rsidP="006E66CB">
            <w:pPr>
              <w:pStyle w:val="NRELBodyText"/>
              <w:spacing w:after="0"/>
            </w:pPr>
            <w:r w:rsidRPr="007F39D8">
              <w:t>fault present whenever economizing</w:t>
            </w:r>
          </w:p>
        </w:tc>
      </w:tr>
      <w:tr w:rsidR="00D417DB" w14:paraId="52184AD5" w14:textId="77777777" w:rsidTr="006E66CB">
        <w:trPr>
          <w:trHeight w:val="864"/>
        </w:trPr>
        <w:tc>
          <w:tcPr>
            <w:tcW w:w="2880" w:type="dxa"/>
            <w:vMerge/>
            <w:vAlign w:val="center"/>
          </w:tcPr>
          <w:p w14:paraId="6D736C60" w14:textId="77777777" w:rsidR="00D417DB" w:rsidRPr="00E16E7C" w:rsidRDefault="00D417DB" w:rsidP="006E66CB">
            <w:pPr>
              <w:pStyle w:val="NRELBodyText"/>
              <w:spacing w:after="0"/>
            </w:pPr>
          </w:p>
        </w:tc>
        <w:tc>
          <w:tcPr>
            <w:tcW w:w="570" w:type="dxa"/>
            <w:vMerge/>
          </w:tcPr>
          <w:p w14:paraId="001191E5" w14:textId="77777777" w:rsidR="00D417DB" w:rsidRPr="00E16E7C" w:rsidRDefault="00D417DB" w:rsidP="006E66CB">
            <w:pPr>
              <w:pStyle w:val="NRELBodyText"/>
              <w:spacing w:after="0"/>
            </w:pPr>
          </w:p>
        </w:tc>
        <w:tc>
          <w:tcPr>
            <w:tcW w:w="2274" w:type="dxa"/>
            <w:shd w:val="clear" w:color="auto" w:fill="D9D9D9" w:themeFill="background1" w:themeFillShade="D9"/>
          </w:tcPr>
          <w:p w14:paraId="3D16AAC6" w14:textId="77777777" w:rsidR="00D417DB" w:rsidRPr="00BB39FA" w:rsidRDefault="00D417DB" w:rsidP="006E66CB">
            <w:pPr>
              <w:pStyle w:val="NRELBodyText"/>
              <w:spacing w:after="0"/>
            </w:pPr>
            <w:r w:rsidRPr="00BB39FA">
              <w:t>Evolution</w:t>
            </w:r>
          </w:p>
        </w:tc>
        <w:tc>
          <w:tcPr>
            <w:tcW w:w="3600" w:type="dxa"/>
          </w:tcPr>
          <w:p w14:paraId="29A24AB2" w14:textId="77777777" w:rsidR="00D417DB" w:rsidRPr="00E16E7C" w:rsidRDefault="00D417DB" w:rsidP="006E66CB">
            <w:pPr>
              <w:pStyle w:val="NRELBodyText"/>
              <w:spacing w:after="0"/>
            </w:pPr>
            <w:r w:rsidRPr="007F39D8">
              <w:t>not relevant so not implemented</w:t>
            </w:r>
          </w:p>
        </w:tc>
      </w:tr>
    </w:tbl>
    <w:p w14:paraId="7A0420F5" w14:textId="77777777" w:rsidR="00D8225C" w:rsidRDefault="00D8225C" w:rsidP="00D417DB"/>
    <w:p w14:paraId="38790A75" w14:textId="2B9E9BD1" w:rsidR="00D417DB" w:rsidRDefault="00D417DB" w:rsidP="00D417DB">
      <w:r>
        <w:fldChar w:fldCharType="begin"/>
      </w:r>
      <w:r>
        <w:instrText xml:space="preserve"> REF _Ref135920406 \h </w:instrText>
      </w:r>
      <w:r>
        <w:fldChar w:fldCharType="separate"/>
      </w:r>
      <w:r w:rsidR="00F256F3">
        <w:t xml:space="preserve">Figure </w:t>
      </w:r>
      <w:r w:rsidR="00F256F3">
        <w:rPr>
          <w:noProof/>
        </w:rPr>
        <w:t>3</w:t>
      </w:r>
      <w:r>
        <w:fldChar w:fldCharType="end"/>
      </w:r>
      <w:r>
        <w:t xml:space="preserve"> shows a comparison of simulated operation with and without the fault. As a result, the fault will reduce the changeover (high limit) temperature of the economizer, disabling the economizer even if the outdoor air temperature is favorable (e.g., 52-72</w:t>
      </w:r>
      <w:r w:rsidRPr="007F39D8">
        <w:t>℉</w:t>
      </w:r>
      <w:r>
        <w:t>), thus, losing opportunities for free cooling. How the fault impacts the annual cooling energy, how the changepoint temperature changes with fault, and how the transient response changes with fault are highlighted in the figure.</w:t>
      </w:r>
    </w:p>
    <w:p w14:paraId="1692FDD4" w14:textId="77777777" w:rsidR="00D417DB" w:rsidRDefault="00D417DB" w:rsidP="00D417DB">
      <w:pPr>
        <w:keepNext/>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16"/>
        <w:gridCol w:w="3117"/>
        <w:gridCol w:w="3117"/>
      </w:tblGrid>
      <w:tr w:rsidR="00D417DB" w14:paraId="6B711170" w14:textId="77777777" w:rsidTr="006E66CB">
        <w:trPr>
          <w:jc w:val="center"/>
        </w:trPr>
        <w:tc>
          <w:tcPr>
            <w:tcW w:w="3116" w:type="dxa"/>
            <w:vAlign w:val="center"/>
          </w:tcPr>
          <w:p w14:paraId="202060E5" w14:textId="77777777" w:rsidR="00D417DB" w:rsidRDefault="00D417DB" w:rsidP="006E66CB">
            <w:pPr>
              <w:keepNext/>
              <w:jc w:val="center"/>
            </w:pPr>
            <w:r w:rsidRPr="00131279">
              <w:rPr>
                <w:noProof/>
              </w:rPr>
              <w:drawing>
                <wp:inline distT="0" distB="0" distL="0" distR="0" wp14:anchorId="223AF41C" wp14:editId="06F57CDD">
                  <wp:extent cx="1954530" cy="2606040"/>
                  <wp:effectExtent l="0" t="0" r="7620" b="3810"/>
                  <wp:docPr id="14" name="Picture 14">
                    <a:extLst xmlns:a="http://schemas.openxmlformats.org/drawingml/2006/main">
                      <a:ext uri="{FF2B5EF4-FFF2-40B4-BE49-F238E27FC236}">
                        <a16:creationId xmlns:a16="http://schemas.microsoft.com/office/drawing/2014/main" id="{36134389-435F-56F0-71AD-9DFDD8ABFF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FF2B5EF4-FFF2-40B4-BE49-F238E27FC236}">
                                <a16:creationId xmlns:a16="http://schemas.microsoft.com/office/drawing/2014/main" id="{36134389-435F-56F0-71AD-9DFDD8ABFF66}"/>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4530" cy="2606040"/>
                          </a:xfrm>
                          <a:prstGeom prst="rect">
                            <a:avLst/>
                          </a:prstGeom>
                        </pic:spPr>
                      </pic:pic>
                    </a:graphicData>
                  </a:graphic>
                </wp:inline>
              </w:drawing>
            </w:r>
          </w:p>
        </w:tc>
        <w:tc>
          <w:tcPr>
            <w:tcW w:w="3117" w:type="dxa"/>
            <w:vAlign w:val="center"/>
          </w:tcPr>
          <w:p w14:paraId="1531F17C" w14:textId="77777777" w:rsidR="00D417DB" w:rsidRDefault="00D417DB" w:rsidP="006E66CB">
            <w:pPr>
              <w:keepNext/>
              <w:jc w:val="center"/>
            </w:pPr>
            <w:r w:rsidRPr="00131279">
              <w:rPr>
                <w:noProof/>
              </w:rPr>
              <w:drawing>
                <wp:inline distT="0" distB="0" distL="0" distR="0" wp14:anchorId="67357A23" wp14:editId="099B6BD5">
                  <wp:extent cx="1954530" cy="2606040"/>
                  <wp:effectExtent l="0" t="0" r="7620" b="3810"/>
                  <wp:docPr id="450219851" name="Picture 450219851" descr="A picture containing scatter chart&#10;&#10;Description automatically generated">
                    <a:extLst xmlns:a="http://schemas.openxmlformats.org/drawingml/2006/main">
                      <a:ext uri="{FF2B5EF4-FFF2-40B4-BE49-F238E27FC236}">
                        <a16:creationId xmlns:a16="http://schemas.microsoft.com/office/drawing/2014/main" id="{EBC86C88-AEDA-CAF9-D7A1-576A52893F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19851" name="Picture 450219851" descr="A picture containing scatter chart&#10;&#10;Description automatically generated">
                            <a:extLst>
                              <a:ext uri="{FF2B5EF4-FFF2-40B4-BE49-F238E27FC236}">
                                <a16:creationId xmlns:a16="http://schemas.microsoft.com/office/drawing/2014/main" id="{EBC86C88-AEDA-CAF9-D7A1-576A52893F82}"/>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0" y="0"/>
                            <a:ext cx="1954530" cy="2606040"/>
                          </a:xfrm>
                          <a:prstGeom prst="rect">
                            <a:avLst/>
                          </a:prstGeom>
                        </pic:spPr>
                      </pic:pic>
                    </a:graphicData>
                  </a:graphic>
                </wp:inline>
              </w:drawing>
            </w:r>
          </w:p>
        </w:tc>
        <w:tc>
          <w:tcPr>
            <w:tcW w:w="3117" w:type="dxa"/>
            <w:vAlign w:val="center"/>
          </w:tcPr>
          <w:p w14:paraId="3809CFAE" w14:textId="77777777" w:rsidR="00D417DB" w:rsidRDefault="00D417DB" w:rsidP="006E66CB">
            <w:pPr>
              <w:keepNext/>
              <w:jc w:val="center"/>
            </w:pPr>
            <w:r w:rsidRPr="00773E12">
              <w:rPr>
                <w:noProof/>
              </w:rPr>
              <w:drawing>
                <wp:inline distT="0" distB="0" distL="0" distR="0" wp14:anchorId="2A847910" wp14:editId="37251482">
                  <wp:extent cx="1954530" cy="2606039"/>
                  <wp:effectExtent l="0" t="0" r="7620" b="4445"/>
                  <wp:docPr id="16" name="Picture 16" descr="Histogram&#10;&#10;Description automatically generated">
                    <a:extLst xmlns:a="http://schemas.openxmlformats.org/drawingml/2006/main">
                      <a:ext uri="{FF2B5EF4-FFF2-40B4-BE49-F238E27FC236}">
                        <a16:creationId xmlns:a16="http://schemas.microsoft.com/office/drawing/2014/main" id="{60D7F091-93A0-F008-9FDE-4E0837A76E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istogram&#10;&#10;Description automatically generated">
                            <a:extLst>
                              <a:ext uri="{FF2B5EF4-FFF2-40B4-BE49-F238E27FC236}">
                                <a16:creationId xmlns:a16="http://schemas.microsoft.com/office/drawing/2014/main" id="{60D7F091-93A0-F008-9FDE-4E0837A76EBE}"/>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4530" cy="2606039"/>
                          </a:xfrm>
                          <a:prstGeom prst="rect">
                            <a:avLst/>
                          </a:prstGeom>
                        </pic:spPr>
                      </pic:pic>
                    </a:graphicData>
                  </a:graphic>
                </wp:inline>
              </w:drawing>
            </w:r>
          </w:p>
        </w:tc>
      </w:tr>
      <w:tr w:rsidR="00D417DB" w14:paraId="7D79F11D" w14:textId="77777777" w:rsidTr="006E66CB">
        <w:trPr>
          <w:trHeight w:val="576"/>
          <w:jc w:val="center"/>
        </w:trPr>
        <w:tc>
          <w:tcPr>
            <w:tcW w:w="3116" w:type="dxa"/>
            <w:vAlign w:val="center"/>
          </w:tcPr>
          <w:p w14:paraId="6BB6DD9C" w14:textId="77777777" w:rsidR="00D417DB" w:rsidRPr="008E7081" w:rsidRDefault="00D417DB" w:rsidP="006E66CB">
            <w:pPr>
              <w:keepNext/>
              <w:jc w:val="center"/>
              <w:rPr>
                <w:sz w:val="22"/>
                <w:szCs w:val="22"/>
              </w:rPr>
            </w:pPr>
            <w:r w:rsidRPr="008E7081">
              <w:rPr>
                <w:sz w:val="22"/>
                <w:szCs w:val="22"/>
              </w:rPr>
              <w:t>(a) mechanical cooling load</w:t>
            </w:r>
          </w:p>
        </w:tc>
        <w:tc>
          <w:tcPr>
            <w:tcW w:w="3117" w:type="dxa"/>
            <w:vAlign w:val="center"/>
          </w:tcPr>
          <w:p w14:paraId="6160A77A" w14:textId="77777777" w:rsidR="00D417DB" w:rsidRPr="008E7081" w:rsidRDefault="00D417DB" w:rsidP="006E66CB">
            <w:pPr>
              <w:keepNext/>
              <w:jc w:val="center"/>
              <w:rPr>
                <w:sz w:val="22"/>
                <w:szCs w:val="22"/>
              </w:rPr>
            </w:pPr>
            <w:r w:rsidRPr="008E7081">
              <w:rPr>
                <w:sz w:val="22"/>
                <w:szCs w:val="22"/>
              </w:rPr>
              <w:t>(b) changepoint temperature</w:t>
            </w:r>
          </w:p>
        </w:tc>
        <w:tc>
          <w:tcPr>
            <w:tcW w:w="3117" w:type="dxa"/>
            <w:vAlign w:val="center"/>
          </w:tcPr>
          <w:p w14:paraId="5405CC42" w14:textId="77777777" w:rsidR="00D417DB" w:rsidRPr="008E7081" w:rsidRDefault="00D417DB" w:rsidP="006E66CB">
            <w:pPr>
              <w:keepNext/>
              <w:jc w:val="center"/>
              <w:rPr>
                <w:sz w:val="22"/>
                <w:szCs w:val="22"/>
              </w:rPr>
            </w:pPr>
            <w:r w:rsidRPr="008E7081">
              <w:rPr>
                <w:sz w:val="22"/>
                <w:szCs w:val="22"/>
              </w:rPr>
              <w:t>(c) transient behavior</w:t>
            </w:r>
          </w:p>
        </w:tc>
      </w:tr>
    </w:tbl>
    <w:p w14:paraId="4A23F061" w14:textId="4F886A87" w:rsidR="00D417DB" w:rsidRDefault="00D417DB" w:rsidP="00D417DB">
      <w:pPr>
        <w:pStyle w:val="NRELFigureCaption"/>
      </w:pPr>
      <w:bookmarkStart w:id="9" w:name="_Ref135920406"/>
      <w:bookmarkStart w:id="10" w:name="_Toc145599166"/>
      <w:r>
        <w:t xml:space="preserve">Figure </w:t>
      </w:r>
      <w:r>
        <w:fldChar w:fldCharType="begin"/>
      </w:r>
      <w:r>
        <w:instrText>SEQ Figure \* ARABIC</w:instrText>
      </w:r>
      <w:r>
        <w:fldChar w:fldCharType="separate"/>
      </w:r>
      <w:r w:rsidR="00F256F3">
        <w:rPr>
          <w:noProof/>
        </w:rPr>
        <w:t>3</w:t>
      </w:r>
      <w:r>
        <w:fldChar w:fldCharType="end"/>
      </w:r>
      <w:bookmarkEnd w:id="9"/>
      <w:r>
        <w:t>. Simulation example of fault implementation</w:t>
      </w:r>
      <w:bookmarkStart w:id="11" w:name="_Toc100058849"/>
      <w:bookmarkStart w:id="12" w:name="_Toc100827778"/>
      <w:bookmarkEnd w:id="10"/>
      <w:bookmarkEnd w:id="11"/>
      <w:bookmarkEnd w:id="12"/>
    </w:p>
    <w:p w14:paraId="5FC9830B" w14:textId="5DD38962" w:rsidR="00356925" w:rsidRDefault="00D417DB" w:rsidP="00D417DB">
      <w:pPr>
        <w:pStyle w:val="NRELBodyText"/>
      </w:pPr>
      <w:r>
        <w:t xml:space="preserve">As reported by Heinemeier </w:t>
      </w:r>
      <w:r>
        <w:fldChar w:fldCharType="begin"/>
      </w:r>
      <w:r>
        <w:instrText xml:space="preserve"> ADDIN ZOTERO_ITEM CSL_CITATION {"citationID":"IcPNYUq5","properties":{"formattedCitation":"[12]","plainCitation":"[12]","noteIndex":0},"citationItems":[{"id":3532,"uris":["http://zotero.org/groups/2277377/items/78798BSQ"],"itemData":{"id":3532,"type":"article-journal","abstract":"Air-side Economizers provide “free cooling” for commercial-building Rooftop Units (RTUs) when the air outside has an appropriate temperature or enthalpy. They can provide on the order of 20-30% cooling energy savings, in California climates. This paper discusses the prevalence and causes of failures in economizers. The author conducted a survey of California contractors and found that 30-40% of the time, the economizer is disabled and the outside air dampers are closed. This type of failure means that the economizer is not providing any savings, and that the building may not be bringing in any outside air. Other studies have found that the high-limit setpoints, set by technicians, are incorrect on the majority of RTUs in California, resulting in very few hours in the “free cooling” range. The author has calculated the energy penalty of having the wrong high-limit setpoint. Economizers are required in many building codes, nationally. California’s Title 24 energy code requires economizers, and also specifies the types of economizer control that are allowable. In an innovative mandatory measure, economizers are required to have Fault Detection and Diagnostics (FDD) capabilities. In addition to these measures, there is factory certification required in some instances, along with field acceptance tests. This paper describes the problems and solutions with existing economizers in the field, from a behavioral as well as a technical perspective. It describes the challenges and opportunities for potential utility-funded rebate programs that target repair, replacement, and decommissioning.","container-title":"ACEEE Summer Study Energy Efficiency Build","language":"en","source":"Zotero","title":"Free Cooling: At What Cost?","author":[{"family":"Heinemeier","given":"Kristin"}],"issued":{"date-parts":[["2014"]]}}}],"schema":"https://github.com/citation-style-language/schema/raw/master/csl-citation.json"} </w:instrText>
      </w:r>
      <w:r>
        <w:fldChar w:fldCharType="separate"/>
      </w:r>
      <w:r w:rsidRPr="00DD162D">
        <w:t>[12]</w:t>
      </w:r>
      <w:r>
        <w:fldChar w:fldCharType="end"/>
      </w:r>
      <w:r>
        <w:t xml:space="preserve">, contractors in California have witnessed 30-40% of economizers they have worked with were disabled with fully closed dampers. This is often caused by mechanical linkage issues between damper and actuator and where the economizer automatically reverts to the fully closed position as a safety measure. An economizer with a fully closed damper will not draw any fresh outdoor air causing an air quality issue and depending on the outdoor air condition (i.e., favorable or not favorable for economizing), it can either reduce or increase </w:t>
      </w:r>
      <w:proofErr w:type="gramStart"/>
      <w:r>
        <w:t>the energy</w:t>
      </w:r>
      <w:proofErr w:type="gramEnd"/>
      <w:r>
        <w:t xml:space="preserve"> consumption. </w:t>
      </w:r>
      <w:r>
        <w:fldChar w:fldCharType="begin"/>
      </w:r>
      <w:r>
        <w:instrText xml:space="preserve"> REF _Ref136604347 \h </w:instrText>
      </w:r>
      <w:r>
        <w:fldChar w:fldCharType="separate"/>
      </w:r>
      <w:r w:rsidR="00F256F3">
        <w:t xml:space="preserve">Table </w:t>
      </w:r>
      <w:r w:rsidR="00F256F3">
        <w:rPr>
          <w:noProof/>
        </w:rPr>
        <w:t>4</w:t>
      </w:r>
      <w:r>
        <w:fldChar w:fldCharType="end"/>
      </w:r>
      <w:r>
        <w:t xml:space="preserve"> shows the description of the fault for the economizer outdoor air damper fully closed and stuck. </w:t>
      </w:r>
      <w:proofErr w:type="gramStart"/>
      <w:r>
        <w:t>Unlike from</w:t>
      </w:r>
      <w:proofErr w:type="gramEnd"/>
      <w:r>
        <w:t xml:space="preserve"> the fault described in </w:t>
      </w:r>
      <w:r>
        <w:fldChar w:fldCharType="begin"/>
      </w:r>
      <w:r>
        <w:instrText xml:space="preserve"> REF _Ref136602605 \h </w:instrText>
      </w:r>
      <w:r>
        <w:fldChar w:fldCharType="separate"/>
      </w:r>
      <w:r w:rsidR="00F256F3">
        <w:t xml:space="preserve">Table </w:t>
      </w:r>
      <w:r w:rsidR="00F256F3">
        <w:rPr>
          <w:noProof/>
        </w:rPr>
        <w:t>3</w:t>
      </w:r>
      <w:r>
        <w:fldChar w:fldCharType="end"/>
      </w:r>
      <w:r>
        <w:t xml:space="preserve">, this fault has a bigger impact on air quality and </w:t>
      </w:r>
      <w:proofErr w:type="gramStart"/>
      <w:r>
        <w:t>energy</w:t>
      </w:r>
      <w:proofErr w:type="gramEnd"/>
      <w:r>
        <w:t xml:space="preserve"> and the incidence of the fault is important.</w:t>
      </w:r>
    </w:p>
    <w:p w14:paraId="174A51AA" w14:textId="77777777" w:rsidR="00356925" w:rsidRDefault="00356925">
      <w:pPr>
        <w:spacing w:before="0"/>
        <w:rPr>
          <w:rFonts w:ascii="Times New Roman" w:eastAsia="Times" w:hAnsi="Times New Roman" w:cs="Times New Roman"/>
          <w:color w:val="000000" w:themeColor="text1"/>
          <w:sz w:val="24"/>
          <w:szCs w:val="20"/>
        </w:rPr>
      </w:pPr>
      <w:r>
        <w:br w:type="page"/>
      </w:r>
    </w:p>
    <w:p w14:paraId="28C30CEC" w14:textId="77777777" w:rsidR="00D417DB" w:rsidRDefault="00D417DB" w:rsidP="00D417DB">
      <w:pPr>
        <w:pStyle w:val="NRELBodyText"/>
      </w:pPr>
    </w:p>
    <w:p w14:paraId="50B5139D" w14:textId="762839B3" w:rsidR="00D417DB" w:rsidRDefault="00D417DB" w:rsidP="00D417DB">
      <w:pPr>
        <w:pStyle w:val="NRELTableCaption"/>
      </w:pPr>
      <w:bookmarkStart w:id="13" w:name="_Ref136604347"/>
      <w:bookmarkStart w:id="14" w:name="_Toc145599186"/>
      <w:r>
        <w:t xml:space="preserve">Table </w:t>
      </w:r>
      <w:fldSimple w:instr=" SEQ Table \* ARABIC ">
        <w:r w:rsidR="00F256F3">
          <w:rPr>
            <w:noProof/>
          </w:rPr>
          <w:t>4</w:t>
        </w:r>
      </w:fldSimple>
      <w:bookmarkEnd w:id="13"/>
      <w:r>
        <w:t>. Description of fault: damper fully stuck closed</w:t>
      </w:r>
      <w:bookmarkEnd w:id="14"/>
    </w:p>
    <w:tbl>
      <w:tblPr>
        <w:tblStyle w:val="TableGrid"/>
        <w:tblW w:w="0" w:type="auto"/>
        <w:tblLook w:val="04A0" w:firstRow="1" w:lastRow="0" w:firstColumn="1" w:lastColumn="0" w:noHBand="0" w:noVBand="1"/>
      </w:tblPr>
      <w:tblGrid>
        <w:gridCol w:w="2880"/>
        <w:gridCol w:w="506"/>
        <w:gridCol w:w="2338"/>
        <w:gridCol w:w="3600"/>
      </w:tblGrid>
      <w:tr w:rsidR="00D417DB" w14:paraId="440E0425" w14:textId="77777777" w:rsidTr="006E66CB">
        <w:tc>
          <w:tcPr>
            <w:tcW w:w="2880" w:type="dxa"/>
            <w:shd w:val="clear" w:color="auto" w:fill="D9D9D9" w:themeFill="background1" w:themeFillShade="D9"/>
            <w:vAlign w:val="center"/>
          </w:tcPr>
          <w:p w14:paraId="4DBE46F9" w14:textId="77777777" w:rsidR="00D417DB" w:rsidRDefault="00D417DB" w:rsidP="006E66CB">
            <w:pPr>
              <w:pStyle w:val="NRELBodyText"/>
              <w:spacing w:after="0"/>
              <w:rPr>
                <w:b/>
                <w:bCs/>
              </w:rPr>
            </w:pPr>
            <w:r>
              <w:rPr>
                <w:b/>
                <w:bCs/>
              </w:rPr>
              <w:t>Evidence data</w:t>
            </w:r>
          </w:p>
        </w:tc>
        <w:tc>
          <w:tcPr>
            <w:tcW w:w="506" w:type="dxa"/>
            <w:vMerge w:val="restart"/>
            <w:shd w:val="clear" w:color="auto" w:fill="E0AA6E"/>
            <w:textDirection w:val="btLr"/>
          </w:tcPr>
          <w:p w14:paraId="17B5AF9A" w14:textId="77777777" w:rsidR="00D417DB" w:rsidRDefault="00D417DB" w:rsidP="006E66CB">
            <w:pPr>
              <w:pStyle w:val="NRELBodyText"/>
              <w:spacing w:after="0"/>
              <w:ind w:left="113" w:right="113"/>
              <w:jc w:val="center"/>
              <w:rPr>
                <w:b/>
                <w:bCs/>
              </w:rPr>
            </w:pPr>
            <w:r>
              <w:rPr>
                <w:b/>
                <w:bCs/>
              </w:rPr>
              <w:t>translate evidence data to fault</w:t>
            </w:r>
          </w:p>
        </w:tc>
        <w:tc>
          <w:tcPr>
            <w:tcW w:w="2338" w:type="dxa"/>
            <w:shd w:val="clear" w:color="auto" w:fill="D9D9D9" w:themeFill="background1" w:themeFillShade="D9"/>
          </w:tcPr>
          <w:p w14:paraId="301E6510" w14:textId="77777777" w:rsidR="00D417DB" w:rsidRDefault="00D417DB" w:rsidP="006E66CB">
            <w:pPr>
              <w:pStyle w:val="NRELBodyText"/>
              <w:spacing w:after="0"/>
              <w:rPr>
                <w:b/>
                <w:bCs/>
              </w:rPr>
            </w:pPr>
            <w:r>
              <w:rPr>
                <w:b/>
                <w:bCs/>
              </w:rPr>
              <w:t>Fault Characteristic</w:t>
            </w:r>
          </w:p>
        </w:tc>
        <w:tc>
          <w:tcPr>
            <w:tcW w:w="3600" w:type="dxa"/>
            <w:shd w:val="clear" w:color="auto" w:fill="D9D9D9" w:themeFill="background1" w:themeFillShade="D9"/>
          </w:tcPr>
          <w:p w14:paraId="1917E08B" w14:textId="77777777" w:rsidR="00D417DB" w:rsidRDefault="00D417DB" w:rsidP="006E66CB">
            <w:pPr>
              <w:pStyle w:val="NRELBodyText"/>
              <w:spacing w:after="0"/>
              <w:rPr>
                <w:b/>
                <w:bCs/>
              </w:rPr>
            </w:pPr>
            <w:r>
              <w:rPr>
                <w:b/>
                <w:bCs/>
              </w:rPr>
              <w:t>Definition</w:t>
            </w:r>
          </w:p>
        </w:tc>
      </w:tr>
      <w:tr w:rsidR="00D417DB" w14:paraId="47CB8546" w14:textId="77777777" w:rsidTr="006E66CB">
        <w:trPr>
          <w:trHeight w:val="864"/>
        </w:trPr>
        <w:tc>
          <w:tcPr>
            <w:tcW w:w="2880" w:type="dxa"/>
            <w:vMerge w:val="restart"/>
            <w:vAlign w:val="center"/>
          </w:tcPr>
          <w:p w14:paraId="68C1DC80" w14:textId="5AB85EC5" w:rsidR="00D417DB" w:rsidRPr="00FA6FC1" w:rsidRDefault="00D417DB" w:rsidP="006E66CB">
            <w:pPr>
              <w:pStyle w:val="NRELBodyText"/>
              <w:spacing w:after="0"/>
              <w:rPr>
                <w:color w:val="A6A6A6" w:themeColor="background1" w:themeShade="A6"/>
                <w:sz w:val="20"/>
              </w:rPr>
            </w:pPr>
            <w:r w:rsidRPr="00FA6FC1">
              <w:rPr>
                <w:color w:val="A6A6A6" w:themeColor="background1" w:themeShade="A6"/>
                <w:sz w:val="20"/>
              </w:rPr>
              <w:t xml:space="preserve">From a survey </w:t>
            </w:r>
            <w:proofErr w:type="gramStart"/>
            <w:r w:rsidRPr="00FA6FC1">
              <w:rPr>
                <w:color w:val="A6A6A6" w:themeColor="background1" w:themeShade="A6"/>
                <w:sz w:val="20"/>
              </w:rPr>
              <w:t>from</w:t>
            </w:r>
            <w:proofErr w:type="gramEnd"/>
            <w:r w:rsidRPr="00FA6FC1">
              <w:rPr>
                <w:color w:val="A6A6A6" w:themeColor="background1" w:themeShade="A6"/>
                <w:sz w:val="20"/>
              </w:rPr>
              <w:t xml:space="preserve"> 20 contractors,</w:t>
            </w:r>
          </w:p>
          <w:p w14:paraId="70350B44" w14:textId="77777777" w:rsidR="00D417DB" w:rsidRDefault="00D417DB" w:rsidP="006E66CB">
            <w:pPr>
              <w:pStyle w:val="NRELBodyText"/>
              <w:spacing w:after="0"/>
            </w:pPr>
            <w:r w:rsidRPr="00483228">
              <w:rPr>
                <w:b/>
                <w:bCs/>
                <w:color w:val="FF0000"/>
              </w:rPr>
              <w:t>3</w:t>
            </w:r>
            <w:r>
              <w:rPr>
                <w:b/>
                <w:bCs/>
                <w:color w:val="FF0000"/>
              </w:rPr>
              <w:t>0-40</w:t>
            </w:r>
            <w:r w:rsidRPr="00483228">
              <w:rPr>
                <w:b/>
                <w:bCs/>
                <w:color w:val="FF0000"/>
              </w:rPr>
              <w:t>%</w:t>
            </w:r>
            <w:r w:rsidRPr="00E16E7C">
              <w:t xml:space="preserve"> of all economizers</w:t>
            </w:r>
            <w:r>
              <w:t xml:space="preserve"> were disabled with dampers fully closed.</w:t>
            </w:r>
          </w:p>
          <w:p w14:paraId="3DFE17B4" w14:textId="77777777" w:rsidR="00D417DB" w:rsidRDefault="00D417DB" w:rsidP="006E66CB">
            <w:pPr>
              <w:pStyle w:val="NRELBodyText"/>
              <w:spacing w:after="0"/>
            </w:pPr>
          </w:p>
          <w:p w14:paraId="57E032B9" w14:textId="6E18A147" w:rsidR="00D417DB" w:rsidRPr="00FA4CF0" w:rsidRDefault="00D417DB" w:rsidP="006E66CB">
            <w:pPr>
              <w:pStyle w:val="NRELBodyText"/>
              <w:rPr>
                <w:color w:val="A6A6A6" w:themeColor="background1" w:themeShade="A6"/>
                <w:sz w:val="20"/>
              </w:rPr>
            </w:pPr>
            <w:r w:rsidRPr="00FA4CF0">
              <w:rPr>
                <w:color w:val="A6A6A6" w:themeColor="background1" w:themeShade="A6"/>
                <w:sz w:val="20"/>
              </w:rPr>
              <w:t>From 3,660 AHUs,</w:t>
            </w:r>
            <w:r>
              <w:rPr>
                <w:color w:val="A6A6A6" w:themeColor="background1" w:themeShade="A6"/>
                <w:sz w:val="20"/>
              </w:rPr>
              <w:br/>
            </w:r>
            <w:r w:rsidRPr="00FA4CF0">
              <w:rPr>
                <w:b/>
                <w:bCs/>
                <w:color w:val="FF0000"/>
              </w:rPr>
              <w:t>30%</w:t>
            </w:r>
            <w:r w:rsidRPr="00FA4CF0">
              <w:t xml:space="preserve"> of all economizers had outdoor damper issue. And having outdoor air flow </w:t>
            </w:r>
            <w:proofErr w:type="gramStart"/>
            <w:r w:rsidRPr="00FA4CF0">
              <w:t>issue</w:t>
            </w:r>
            <w:proofErr w:type="gramEnd"/>
            <w:r w:rsidRPr="00FA4CF0">
              <w:t xml:space="preserve"> for </w:t>
            </w:r>
            <w:r w:rsidRPr="00FA4CF0">
              <w:rPr>
                <w:b/>
                <w:bCs/>
                <w:color w:val="FF0000"/>
              </w:rPr>
              <w:t>30%</w:t>
            </w:r>
            <w:r w:rsidRPr="00FA4CF0">
              <w:t xml:space="preserve"> of the time.</w:t>
            </w:r>
          </w:p>
          <w:p w14:paraId="4F06D758" w14:textId="41F00858" w:rsidR="00D417DB" w:rsidRPr="00FA6FC1" w:rsidRDefault="00D417DB" w:rsidP="006E66CB">
            <w:pPr>
              <w:pStyle w:val="NRELBodyText"/>
              <w:spacing w:after="0"/>
              <w:rPr>
                <w:color w:val="A6A6A6" w:themeColor="background1" w:themeShade="A6"/>
                <w:sz w:val="20"/>
              </w:rPr>
            </w:pPr>
            <w:r w:rsidRPr="00FA6FC1">
              <w:rPr>
                <w:color w:val="A6A6A6" w:themeColor="background1" w:themeShade="A6"/>
                <w:sz w:val="20"/>
              </w:rPr>
              <w:t>From 1,416 RTUs (owned by food chain and clothing retailer),</w:t>
            </w:r>
          </w:p>
          <w:p w14:paraId="548039A3" w14:textId="77777777" w:rsidR="00D417DB" w:rsidRPr="00E16E7C" w:rsidRDefault="00D417DB" w:rsidP="006E66CB">
            <w:pPr>
              <w:pStyle w:val="NRELBodyText"/>
              <w:spacing w:after="0"/>
            </w:pPr>
            <w:proofErr w:type="gramStart"/>
            <w:r>
              <w:t>economizer</w:t>
            </w:r>
            <w:proofErr w:type="gramEnd"/>
            <w:r>
              <w:t xml:space="preserve"> damper fully closing happened between </w:t>
            </w:r>
            <w:r w:rsidRPr="00DF1A85">
              <w:rPr>
                <w:b/>
                <w:bCs/>
                <w:color w:val="FF0000"/>
              </w:rPr>
              <w:t>0.2-1</w:t>
            </w:r>
            <w:r>
              <w:t xml:space="preserve"> times per year per economizer</w:t>
            </w:r>
          </w:p>
        </w:tc>
        <w:tc>
          <w:tcPr>
            <w:tcW w:w="506" w:type="dxa"/>
            <w:vMerge/>
            <w:shd w:val="clear" w:color="auto" w:fill="E0AA6E"/>
          </w:tcPr>
          <w:p w14:paraId="563006EB" w14:textId="77777777" w:rsidR="00D417DB" w:rsidRPr="00E16E7C" w:rsidRDefault="00D417DB" w:rsidP="006E66CB">
            <w:pPr>
              <w:pStyle w:val="NRELBodyText"/>
              <w:spacing w:after="0"/>
            </w:pPr>
          </w:p>
        </w:tc>
        <w:tc>
          <w:tcPr>
            <w:tcW w:w="2338" w:type="dxa"/>
            <w:shd w:val="clear" w:color="auto" w:fill="D9D9D9" w:themeFill="background1" w:themeFillShade="D9"/>
          </w:tcPr>
          <w:p w14:paraId="0B864402" w14:textId="77777777" w:rsidR="00D417DB" w:rsidRPr="00E16E7C" w:rsidRDefault="00D417DB" w:rsidP="006E66CB">
            <w:pPr>
              <w:pStyle w:val="NRELBodyText"/>
              <w:spacing w:after="0"/>
            </w:pPr>
            <w:r w:rsidRPr="00E16E7C">
              <w:t>Description</w:t>
            </w:r>
          </w:p>
        </w:tc>
        <w:tc>
          <w:tcPr>
            <w:tcW w:w="3600" w:type="dxa"/>
          </w:tcPr>
          <w:p w14:paraId="38EBC403" w14:textId="77777777" w:rsidR="00D417DB" w:rsidRPr="00E16E7C" w:rsidRDefault="00D417DB" w:rsidP="006E66CB">
            <w:pPr>
              <w:pStyle w:val="NRELBodyText"/>
              <w:spacing w:after="0"/>
            </w:pPr>
            <w:r>
              <w:t>economizer outdoor air damper fully closed during faulted period</w:t>
            </w:r>
          </w:p>
        </w:tc>
      </w:tr>
      <w:tr w:rsidR="00D417DB" w14:paraId="3E6041EA" w14:textId="77777777" w:rsidTr="006E66CB">
        <w:trPr>
          <w:trHeight w:val="864"/>
        </w:trPr>
        <w:tc>
          <w:tcPr>
            <w:tcW w:w="2880" w:type="dxa"/>
            <w:vMerge/>
            <w:vAlign w:val="center"/>
          </w:tcPr>
          <w:p w14:paraId="65C4B4A1" w14:textId="77777777" w:rsidR="00D417DB" w:rsidRPr="00E16E7C" w:rsidRDefault="00D417DB" w:rsidP="006E66CB">
            <w:pPr>
              <w:pStyle w:val="NRELBodyText"/>
              <w:spacing w:after="0"/>
            </w:pPr>
          </w:p>
        </w:tc>
        <w:tc>
          <w:tcPr>
            <w:tcW w:w="506" w:type="dxa"/>
            <w:vMerge/>
            <w:shd w:val="clear" w:color="auto" w:fill="E0AA6E"/>
          </w:tcPr>
          <w:p w14:paraId="46527B66" w14:textId="77777777" w:rsidR="00D417DB" w:rsidRPr="00E16E7C" w:rsidRDefault="00D417DB" w:rsidP="006E66CB">
            <w:pPr>
              <w:pStyle w:val="NRELBodyText"/>
              <w:spacing w:after="0"/>
            </w:pPr>
          </w:p>
        </w:tc>
        <w:tc>
          <w:tcPr>
            <w:tcW w:w="2338" w:type="dxa"/>
            <w:shd w:val="clear" w:color="auto" w:fill="D9D9D9" w:themeFill="background1" w:themeFillShade="D9"/>
          </w:tcPr>
          <w:p w14:paraId="6554DC02" w14:textId="77777777" w:rsidR="00D417DB" w:rsidRPr="00E16E7C" w:rsidRDefault="00D417DB" w:rsidP="006E66CB">
            <w:pPr>
              <w:pStyle w:val="NRELBodyText"/>
              <w:spacing w:after="0"/>
            </w:pPr>
            <w:r w:rsidRPr="00E16E7C">
              <w:t>Intensity/severity</w:t>
            </w:r>
          </w:p>
        </w:tc>
        <w:tc>
          <w:tcPr>
            <w:tcW w:w="3600" w:type="dxa"/>
          </w:tcPr>
          <w:p w14:paraId="03891E69" w14:textId="77777777" w:rsidR="00D417DB" w:rsidRPr="00E16E7C" w:rsidRDefault="00D417DB" w:rsidP="006E66CB">
            <w:pPr>
              <w:pStyle w:val="NRELBodyText"/>
              <w:spacing w:after="0"/>
            </w:pPr>
            <w:r>
              <w:t>damper fully closed</w:t>
            </w:r>
          </w:p>
        </w:tc>
      </w:tr>
      <w:tr w:rsidR="00D417DB" w14:paraId="0B6F40D0" w14:textId="77777777" w:rsidTr="006E66CB">
        <w:trPr>
          <w:trHeight w:val="864"/>
        </w:trPr>
        <w:tc>
          <w:tcPr>
            <w:tcW w:w="2880" w:type="dxa"/>
            <w:vMerge/>
            <w:vAlign w:val="center"/>
          </w:tcPr>
          <w:p w14:paraId="0DCD8873" w14:textId="77777777" w:rsidR="00D417DB" w:rsidRPr="00E16E7C" w:rsidRDefault="00D417DB" w:rsidP="006E66CB">
            <w:pPr>
              <w:pStyle w:val="NRELBodyText"/>
              <w:spacing w:after="0"/>
            </w:pPr>
          </w:p>
        </w:tc>
        <w:tc>
          <w:tcPr>
            <w:tcW w:w="506" w:type="dxa"/>
            <w:vMerge/>
            <w:shd w:val="clear" w:color="auto" w:fill="E0AA6E"/>
          </w:tcPr>
          <w:p w14:paraId="20F86079" w14:textId="77777777" w:rsidR="00D417DB" w:rsidRPr="00E16E7C" w:rsidRDefault="00D417DB" w:rsidP="006E66CB">
            <w:pPr>
              <w:pStyle w:val="NRELBodyText"/>
              <w:spacing w:after="0"/>
            </w:pPr>
          </w:p>
        </w:tc>
        <w:tc>
          <w:tcPr>
            <w:tcW w:w="2338" w:type="dxa"/>
            <w:shd w:val="clear" w:color="auto" w:fill="D9D9D9" w:themeFill="background1" w:themeFillShade="D9"/>
          </w:tcPr>
          <w:p w14:paraId="7399BA60" w14:textId="77777777" w:rsidR="00D417DB" w:rsidRPr="00E16E7C" w:rsidRDefault="00D417DB" w:rsidP="006E66CB">
            <w:pPr>
              <w:pStyle w:val="NRELBodyText"/>
              <w:spacing w:after="0"/>
            </w:pPr>
            <w:r w:rsidRPr="00E16E7C">
              <w:t>Prevalence</w:t>
            </w:r>
          </w:p>
        </w:tc>
        <w:tc>
          <w:tcPr>
            <w:tcW w:w="3600" w:type="dxa"/>
          </w:tcPr>
          <w:p w14:paraId="6B8FEC75" w14:textId="77777777" w:rsidR="00D417DB" w:rsidRPr="00E16E7C" w:rsidRDefault="00D417DB" w:rsidP="006E66CB">
            <w:pPr>
              <w:pStyle w:val="NRELBodyText"/>
              <w:spacing w:after="0"/>
            </w:pPr>
            <w:r>
              <w:t>35% of buildings with economizers</w:t>
            </w:r>
          </w:p>
        </w:tc>
      </w:tr>
      <w:tr w:rsidR="00D417DB" w14:paraId="23B4BCCF" w14:textId="77777777" w:rsidTr="006E66CB">
        <w:trPr>
          <w:trHeight w:val="864"/>
        </w:trPr>
        <w:tc>
          <w:tcPr>
            <w:tcW w:w="2880" w:type="dxa"/>
            <w:vMerge/>
            <w:vAlign w:val="center"/>
          </w:tcPr>
          <w:p w14:paraId="46162C3A" w14:textId="77777777" w:rsidR="00D417DB" w:rsidRPr="00E16E7C" w:rsidRDefault="00D417DB" w:rsidP="006E66CB">
            <w:pPr>
              <w:pStyle w:val="NRELBodyText"/>
              <w:spacing w:after="0"/>
            </w:pPr>
          </w:p>
        </w:tc>
        <w:tc>
          <w:tcPr>
            <w:tcW w:w="506" w:type="dxa"/>
            <w:vMerge/>
            <w:shd w:val="clear" w:color="auto" w:fill="E0AA6E"/>
          </w:tcPr>
          <w:p w14:paraId="5BAB7D8B" w14:textId="77777777" w:rsidR="00D417DB" w:rsidRPr="00E16E7C" w:rsidRDefault="00D417DB" w:rsidP="006E66CB">
            <w:pPr>
              <w:pStyle w:val="NRELBodyText"/>
              <w:spacing w:after="0"/>
            </w:pPr>
          </w:p>
        </w:tc>
        <w:tc>
          <w:tcPr>
            <w:tcW w:w="2338" w:type="dxa"/>
            <w:shd w:val="clear" w:color="auto" w:fill="D9D9D9" w:themeFill="background1" w:themeFillShade="D9"/>
          </w:tcPr>
          <w:p w14:paraId="5CFC1A7B" w14:textId="77777777" w:rsidR="00D417DB" w:rsidRPr="00E16E7C" w:rsidRDefault="00D417DB" w:rsidP="006E66CB">
            <w:pPr>
              <w:pStyle w:val="NRELBodyText"/>
              <w:spacing w:after="0"/>
            </w:pPr>
            <w:r w:rsidRPr="00E16E7C">
              <w:t>Incidence</w:t>
            </w:r>
          </w:p>
        </w:tc>
        <w:tc>
          <w:tcPr>
            <w:tcW w:w="3600" w:type="dxa"/>
          </w:tcPr>
          <w:p w14:paraId="4E90CA7B" w14:textId="77777777" w:rsidR="00D417DB" w:rsidRPr="00E16E7C" w:rsidRDefault="00D417DB" w:rsidP="006E66CB">
            <w:pPr>
              <w:pStyle w:val="NRELBodyText"/>
              <w:spacing w:after="0"/>
            </w:pPr>
            <w:r w:rsidRPr="00FA59D6">
              <w:t xml:space="preserve">Once per year with </w:t>
            </w:r>
            <w:proofErr w:type="gramStart"/>
            <w:r w:rsidRPr="00FA59D6">
              <w:t>the</w:t>
            </w:r>
            <w:proofErr w:type="gramEnd"/>
            <w:r w:rsidRPr="00FA59D6">
              <w:t xml:space="preserve"> duration of one month</w:t>
            </w:r>
          </w:p>
        </w:tc>
      </w:tr>
      <w:tr w:rsidR="00D417DB" w14:paraId="0764003C" w14:textId="77777777" w:rsidTr="006E66CB">
        <w:trPr>
          <w:trHeight w:val="864"/>
        </w:trPr>
        <w:tc>
          <w:tcPr>
            <w:tcW w:w="2880" w:type="dxa"/>
            <w:vMerge/>
            <w:vAlign w:val="center"/>
          </w:tcPr>
          <w:p w14:paraId="67BC08CB" w14:textId="77777777" w:rsidR="00D417DB" w:rsidRPr="00E16E7C" w:rsidRDefault="00D417DB" w:rsidP="006E66CB">
            <w:pPr>
              <w:pStyle w:val="NRELBodyText"/>
              <w:spacing w:after="0"/>
            </w:pPr>
          </w:p>
        </w:tc>
        <w:tc>
          <w:tcPr>
            <w:tcW w:w="506" w:type="dxa"/>
            <w:vMerge/>
            <w:shd w:val="clear" w:color="auto" w:fill="E0AA6E"/>
          </w:tcPr>
          <w:p w14:paraId="33AA4B68" w14:textId="77777777" w:rsidR="00D417DB" w:rsidRPr="00E16E7C" w:rsidRDefault="00D417DB" w:rsidP="006E66CB">
            <w:pPr>
              <w:pStyle w:val="NRELBodyText"/>
              <w:spacing w:after="0"/>
            </w:pPr>
          </w:p>
        </w:tc>
        <w:tc>
          <w:tcPr>
            <w:tcW w:w="2338" w:type="dxa"/>
            <w:shd w:val="clear" w:color="auto" w:fill="D9D9D9" w:themeFill="background1" w:themeFillShade="D9"/>
          </w:tcPr>
          <w:p w14:paraId="271BB1B2" w14:textId="77777777" w:rsidR="00D417DB" w:rsidRPr="00E16E7C" w:rsidRDefault="00D417DB" w:rsidP="006E66CB">
            <w:pPr>
              <w:pStyle w:val="NRELBodyText"/>
              <w:spacing w:after="0"/>
            </w:pPr>
            <w:r w:rsidRPr="00E16E7C">
              <w:t>Evolution</w:t>
            </w:r>
          </w:p>
        </w:tc>
        <w:tc>
          <w:tcPr>
            <w:tcW w:w="3600" w:type="dxa"/>
          </w:tcPr>
          <w:p w14:paraId="6C7CB621" w14:textId="77777777" w:rsidR="00D417DB" w:rsidRPr="00E16E7C" w:rsidRDefault="00D417DB" w:rsidP="006E66CB">
            <w:pPr>
              <w:pStyle w:val="NRELBodyText"/>
              <w:spacing w:after="0"/>
            </w:pPr>
            <w:r w:rsidRPr="007F39D8">
              <w:t>not relevant so not implemented</w:t>
            </w:r>
          </w:p>
        </w:tc>
      </w:tr>
    </w:tbl>
    <w:p w14:paraId="2269B52C" w14:textId="77777777" w:rsidR="00D417DB" w:rsidRPr="00F422ED" w:rsidRDefault="00D417DB" w:rsidP="00D417DB">
      <w:pPr>
        <w:pStyle w:val="NRELBodyText"/>
        <w:rPr>
          <w:color w:val="FF0000"/>
        </w:rPr>
      </w:pPr>
    </w:p>
    <w:p w14:paraId="4C581560" w14:textId="0B1948E0" w:rsidR="00D417DB" w:rsidRDefault="00D417DB" w:rsidP="00D417DB">
      <w:pPr>
        <w:pStyle w:val="NRELBodyText"/>
      </w:pPr>
      <w:r w:rsidRPr="008454E3">
        <w:fldChar w:fldCharType="begin"/>
      </w:r>
      <w:r w:rsidRPr="008454E3">
        <w:instrText xml:space="preserve"> REF _Ref137729856 \h </w:instrText>
      </w:r>
      <w:r>
        <w:instrText xml:space="preserve"> \* MERGEFORMAT </w:instrText>
      </w:r>
      <w:r w:rsidRPr="008454E3">
        <w:fldChar w:fldCharType="separate"/>
      </w:r>
      <w:r w:rsidR="00F256F3">
        <w:t>Figure 4</w:t>
      </w:r>
      <w:r w:rsidRPr="008454E3">
        <w:fldChar w:fldCharType="end"/>
      </w:r>
      <w:r w:rsidRPr="008454E3">
        <w:t xml:space="preserve"> shows example simulation</w:t>
      </w:r>
      <w:r>
        <w:t xml:space="preserve"> results</w:t>
      </w:r>
      <w:r w:rsidRPr="008454E3">
        <w:t xml:space="preserve"> </w:t>
      </w:r>
      <w:r>
        <w:t>for</w:t>
      </w:r>
      <w:r w:rsidRPr="008454E3">
        <w:t xml:space="preserve"> </w:t>
      </w:r>
      <w:r>
        <w:t xml:space="preserve">a </w:t>
      </w:r>
      <w:r w:rsidRPr="008454E3">
        <w:t xml:space="preserve">building with and without </w:t>
      </w:r>
      <w:r>
        <w:t xml:space="preserve">the </w:t>
      </w:r>
      <w:r w:rsidRPr="008454E3">
        <w:t xml:space="preserve">damper fully closed fault. </w:t>
      </w:r>
      <w:r>
        <w:t xml:space="preserve">The fault was imposed once during the entire April period resulting in 1.8% mechanical load increase. As mentioned previously, the energy impact of the fault can either be increased or decreased consumption, and </w:t>
      </w:r>
      <w:r w:rsidRPr="008454E3">
        <w:fldChar w:fldCharType="begin"/>
      </w:r>
      <w:r w:rsidRPr="008454E3">
        <w:instrText xml:space="preserve"> REF _Ref137729856 \h </w:instrText>
      </w:r>
      <w:r>
        <w:instrText xml:space="preserve"> \* MERGEFORMAT </w:instrText>
      </w:r>
      <w:r w:rsidRPr="008454E3">
        <w:fldChar w:fldCharType="separate"/>
      </w:r>
      <w:r w:rsidR="00F256F3">
        <w:t>Figure 4</w:t>
      </w:r>
      <w:r w:rsidRPr="008454E3">
        <w:fldChar w:fldCharType="end"/>
      </w:r>
      <w:r>
        <w:t xml:space="preserve"> (c) highlights the transition from negative to positive savings when the outdoor air temperature transitions from favorable to unfavorable conditions.</w:t>
      </w:r>
    </w:p>
    <w:p w14:paraId="6A38ED26" w14:textId="77777777" w:rsidR="00D417DB" w:rsidRPr="008454E3" w:rsidRDefault="00D417DB" w:rsidP="00D417DB">
      <w:pPr>
        <w:pStyle w:val="NRELBodyText"/>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16"/>
        <w:gridCol w:w="3117"/>
        <w:gridCol w:w="3117"/>
      </w:tblGrid>
      <w:tr w:rsidR="00D417DB" w14:paraId="49C34043" w14:textId="77777777" w:rsidTr="006E66CB">
        <w:trPr>
          <w:jc w:val="center"/>
        </w:trPr>
        <w:tc>
          <w:tcPr>
            <w:tcW w:w="3116" w:type="dxa"/>
            <w:vAlign w:val="center"/>
          </w:tcPr>
          <w:p w14:paraId="24EEAC83" w14:textId="77777777" w:rsidR="00D417DB" w:rsidRDefault="00D417DB" w:rsidP="006E66CB">
            <w:pPr>
              <w:keepNext/>
              <w:jc w:val="center"/>
            </w:pPr>
            <w:r w:rsidRPr="00131279">
              <w:rPr>
                <w:noProof/>
              </w:rPr>
              <w:lastRenderedPageBreak/>
              <w:drawing>
                <wp:inline distT="0" distB="0" distL="0" distR="0" wp14:anchorId="249093D3" wp14:editId="5983BBE6">
                  <wp:extent cx="1954530" cy="2606040"/>
                  <wp:effectExtent l="0" t="0" r="7620" b="3810"/>
                  <wp:docPr id="868935567" name="Picture 868935567" descr="Chart, bar chart&#10;&#10;Description automatically generated">
                    <a:extLst xmlns:a="http://schemas.openxmlformats.org/drawingml/2006/main">
                      <a:ext uri="{FF2B5EF4-FFF2-40B4-BE49-F238E27FC236}">
                        <a16:creationId xmlns:a16="http://schemas.microsoft.com/office/drawing/2014/main" id="{36134389-435F-56F0-71AD-9DFDD8ABFF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35567" name="Picture 868935567" descr="Chart, bar chart&#10;&#10;Description automatically generated">
                            <a:extLst>
                              <a:ext uri="{FF2B5EF4-FFF2-40B4-BE49-F238E27FC236}">
                                <a16:creationId xmlns:a16="http://schemas.microsoft.com/office/drawing/2014/main" id="{36134389-435F-56F0-71AD-9DFDD8ABFF66}"/>
                              </a:ext>
                            </a:extLst>
                          </pic:cNvPr>
                          <pic:cNvPicPr>
                            <a:picLocks noChangeAspect="1"/>
                          </pic:cNvPicPr>
                        </pic:nvPicPr>
                        <pic:blipFill>
                          <a:blip r:embed="rId14"/>
                          <a:stretch>
                            <a:fillRect/>
                          </a:stretch>
                        </pic:blipFill>
                        <pic:spPr>
                          <a:xfrm>
                            <a:off x="0" y="0"/>
                            <a:ext cx="1954530" cy="2606040"/>
                          </a:xfrm>
                          <a:prstGeom prst="rect">
                            <a:avLst/>
                          </a:prstGeom>
                        </pic:spPr>
                      </pic:pic>
                    </a:graphicData>
                  </a:graphic>
                </wp:inline>
              </w:drawing>
            </w:r>
          </w:p>
        </w:tc>
        <w:tc>
          <w:tcPr>
            <w:tcW w:w="3117" w:type="dxa"/>
            <w:vAlign w:val="center"/>
          </w:tcPr>
          <w:p w14:paraId="735CF208" w14:textId="77777777" w:rsidR="00D417DB" w:rsidRDefault="00D417DB" w:rsidP="006E66CB">
            <w:pPr>
              <w:keepNext/>
              <w:jc w:val="center"/>
            </w:pPr>
            <w:r w:rsidRPr="00131279">
              <w:rPr>
                <w:noProof/>
              </w:rPr>
              <w:drawing>
                <wp:inline distT="0" distB="0" distL="0" distR="0" wp14:anchorId="2DCC53E0" wp14:editId="12BA92BE">
                  <wp:extent cx="1954530" cy="2606039"/>
                  <wp:effectExtent l="0" t="0" r="7620" b="4445"/>
                  <wp:docPr id="355962452" name="Picture 355962452" descr="Map, scatter chart&#10;&#10;Description automatically generated">
                    <a:extLst xmlns:a="http://schemas.openxmlformats.org/drawingml/2006/main">
                      <a:ext uri="{FF2B5EF4-FFF2-40B4-BE49-F238E27FC236}">
                        <a16:creationId xmlns:a16="http://schemas.microsoft.com/office/drawing/2014/main" id="{EBC86C88-AEDA-CAF9-D7A1-576A52893F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62452" name="Picture 355962452" descr="Map, scatter chart&#10;&#10;Description automatically generated">
                            <a:extLst>
                              <a:ext uri="{FF2B5EF4-FFF2-40B4-BE49-F238E27FC236}">
                                <a16:creationId xmlns:a16="http://schemas.microsoft.com/office/drawing/2014/main" id="{EBC86C88-AEDA-CAF9-D7A1-576A52893F82}"/>
                              </a:ext>
                            </a:extLst>
                          </pic:cNvPr>
                          <pic:cNvPicPr>
                            <a:picLocks noChangeAspect="1"/>
                          </pic:cNvPicPr>
                        </pic:nvPicPr>
                        <pic:blipFill>
                          <a:blip r:embed="rId15"/>
                          <a:stretch>
                            <a:fillRect/>
                          </a:stretch>
                        </pic:blipFill>
                        <pic:spPr>
                          <a:xfrm>
                            <a:off x="0" y="0"/>
                            <a:ext cx="1954530" cy="2606039"/>
                          </a:xfrm>
                          <a:prstGeom prst="rect">
                            <a:avLst/>
                          </a:prstGeom>
                        </pic:spPr>
                      </pic:pic>
                    </a:graphicData>
                  </a:graphic>
                </wp:inline>
              </w:drawing>
            </w:r>
          </w:p>
        </w:tc>
        <w:tc>
          <w:tcPr>
            <w:tcW w:w="3117" w:type="dxa"/>
            <w:vAlign w:val="center"/>
          </w:tcPr>
          <w:p w14:paraId="4FBE11F2" w14:textId="77777777" w:rsidR="00D417DB" w:rsidRDefault="00D417DB" w:rsidP="006E66CB">
            <w:pPr>
              <w:keepNext/>
              <w:jc w:val="center"/>
            </w:pPr>
            <w:r w:rsidRPr="00773E12">
              <w:rPr>
                <w:noProof/>
              </w:rPr>
              <w:drawing>
                <wp:inline distT="0" distB="0" distL="0" distR="0" wp14:anchorId="1A9C38C0" wp14:editId="7639DA4A">
                  <wp:extent cx="1954530" cy="2606039"/>
                  <wp:effectExtent l="0" t="0" r="7620" b="4445"/>
                  <wp:docPr id="50742909" name="Picture 50742909" descr="Chart, histogram&#10;&#10;Description automatically generated">
                    <a:extLst xmlns:a="http://schemas.openxmlformats.org/drawingml/2006/main">
                      <a:ext uri="{FF2B5EF4-FFF2-40B4-BE49-F238E27FC236}">
                        <a16:creationId xmlns:a16="http://schemas.microsoft.com/office/drawing/2014/main" id="{60D7F091-93A0-F008-9FDE-4E0837A76E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2909" name="Picture 50742909" descr="Chart, histogram&#10;&#10;Description automatically generated">
                            <a:extLst>
                              <a:ext uri="{FF2B5EF4-FFF2-40B4-BE49-F238E27FC236}">
                                <a16:creationId xmlns:a16="http://schemas.microsoft.com/office/drawing/2014/main" id="{60D7F091-93A0-F008-9FDE-4E0837A76EBE}"/>
                              </a:ext>
                            </a:extLst>
                          </pic:cNvPr>
                          <pic:cNvPicPr>
                            <a:picLocks noChangeAspect="1"/>
                          </pic:cNvPicPr>
                        </pic:nvPicPr>
                        <pic:blipFill>
                          <a:blip r:embed="rId16"/>
                          <a:stretch>
                            <a:fillRect/>
                          </a:stretch>
                        </pic:blipFill>
                        <pic:spPr>
                          <a:xfrm>
                            <a:off x="0" y="0"/>
                            <a:ext cx="1954530" cy="2606039"/>
                          </a:xfrm>
                          <a:prstGeom prst="rect">
                            <a:avLst/>
                          </a:prstGeom>
                        </pic:spPr>
                      </pic:pic>
                    </a:graphicData>
                  </a:graphic>
                </wp:inline>
              </w:drawing>
            </w:r>
          </w:p>
        </w:tc>
      </w:tr>
      <w:tr w:rsidR="00D417DB" w14:paraId="1C82359B" w14:textId="77777777" w:rsidTr="006E66CB">
        <w:trPr>
          <w:trHeight w:val="576"/>
          <w:jc w:val="center"/>
        </w:trPr>
        <w:tc>
          <w:tcPr>
            <w:tcW w:w="3116" w:type="dxa"/>
            <w:vAlign w:val="center"/>
          </w:tcPr>
          <w:p w14:paraId="628531E4" w14:textId="77777777" w:rsidR="00D417DB" w:rsidRPr="008E7081" w:rsidRDefault="00D417DB" w:rsidP="006E66CB">
            <w:pPr>
              <w:keepNext/>
              <w:jc w:val="center"/>
              <w:rPr>
                <w:sz w:val="22"/>
                <w:szCs w:val="22"/>
              </w:rPr>
            </w:pPr>
            <w:r w:rsidRPr="008E7081">
              <w:rPr>
                <w:sz w:val="22"/>
                <w:szCs w:val="22"/>
              </w:rPr>
              <w:t>(a) mechanical cooling load</w:t>
            </w:r>
          </w:p>
        </w:tc>
        <w:tc>
          <w:tcPr>
            <w:tcW w:w="3117" w:type="dxa"/>
            <w:vAlign w:val="center"/>
          </w:tcPr>
          <w:p w14:paraId="2AD7D2B8" w14:textId="77777777" w:rsidR="00D417DB" w:rsidRPr="008E7081" w:rsidRDefault="00D417DB" w:rsidP="006E66CB">
            <w:pPr>
              <w:keepNext/>
              <w:jc w:val="center"/>
              <w:rPr>
                <w:sz w:val="22"/>
                <w:szCs w:val="22"/>
              </w:rPr>
            </w:pPr>
            <w:r w:rsidRPr="008E7081">
              <w:rPr>
                <w:sz w:val="22"/>
                <w:szCs w:val="22"/>
              </w:rPr>
              <w:t xml:space="preserve">(b) changepoint </w:t>
            </w:r>
            <w:r>
              <w:rPr>
                <w:sz w:val="22"/>
                <w:szCs w:val="22"/>
              </w:rPr>
              <w:t>plot</w:t>
            </w:r>
          </w:p>
        </w:tc>
        <w:tc>
          <w:tcPr>
            <w:tcW w:w="3117" w:type="dxa"/>
            <w:vAlign w:val="center"/>
          </w:tcPr>
          <w:p w14:paraId="34BB9CFC" w14:textId="77777777" w:rsidR="00D417DB" w:rsidRPr="008E7081" w:rsidRDefault="00D417DB" w:rsidP="006E66CB">
            <w:pPr>
              <w:keepNext/>
              <w:jc w:val="center"/>
              <w:rPr>
                <w:sz w:val="22"/>
                <w:szCs w:val="22"/>
              </w:rPr>
            </w:pPr>
            <w:r w:rsidRPr="008E7081">
              <w:rPr>
                <w:sz w:val="22"/>
                <w:szCs w:val="22"/>
              </w:rPr>
              <w:t>(c) transient behavior</w:t>
            </w:r>
          </w:p>
        </w:tc>
      </w:tr>
    </w:tbl>
    <w:p w14:paraId="4A4F4EC7" w14:textId="41DF1BDA" w:rsidR="00D417DB" w:rsidRDefault="00D417DB" w:rsidP="00D417DB">
      <w:pPr>
        <w:pStyle w:val="NRELFigureCaption"/>
      </w:pPr>
      <w:bookmarkStart w:id="15" w:name="_Ref137729856"/>
      <w:bookmarkStart w:id="16" w:name="_Toc145599167"/>
      <w:r>
        <w:t xml:space="preserve">Figure </w:t>
      </w:r>
      <w:r>
        <w:fldChar w:fldCharType="begin"/>
      </w:r>
      <w:r>
        <w:instrText>SEQ Figure \* ARABIC</w:instrText>
      </w:r>
      <w:r>
        <w:fldChar w:fldCharType="separate"/>
      </w:r>
      <w:r w:rsidR="00F256F3">
        <w:rPr>
          <w:noProof/>
        </w:rPr>
        <w:t>4</w:t>
      </w:r>
      <w:r>
        <w:fldChar w:fldCharType="end"/>
      </w:r>
      <w:bookmarkEnd w:id="15"/>
      <w:r>
        <w:t>. Simulation example of fault implementation: damper stuck closed</w:t>
      </w:r>
      <w:bookmarkEnd w:id="16"/>
    </w:p>
    <w:p w14:paraId="5F8E0F78" w14:textId="77777777" w:rsidR="00D417DB" w:rsidRDefault="00D417DB" w:rsidP="00D417DB">
      <w:pPr>
        <w:pStyle w:val="NRELBodyText"/>
        <w:rPr>
          <w:color w:val="auto"/>
        </w:rPr>
      </w:pPr>
      <w:r>
        <w:rPr>
          <w:color w:val="auto"/>
        </w:rPr>
        <w:t xml:space="preserve">Although faults (e.g., damper fully closed) are implemented with fixed prevalence (e.g., 35%), the actual percentage of economizers being faulted (among applicable economizers) is less than the defined prevalence due to implementation limitation. For example, 35% of </w:t>
      </w:r>
      <w:r w:rsidRPr="00D03164">
        <w:rPr>
          <w:color w:val="auto"/>
        </w:rPr>
        <w:t xml:space="preserve">randomly selected buildings that include </w:t>
      </w:r>
      <w:r>
        <w:rPr>
          <w:color w:val="auto"/>
        </w:rPr>
        <w:t xml:space="preserve">certain HVAC system types (that are categorized as the air system) are imposed with damper fully closed fault. However, certain portions of these air systems do not have economizers, thus, it is not applicable to implement any economizer faults. </w:t>
      </w:r>
      <w:r w:rsidRPr="00D03164">
        <w:rPr>
          <w:color w:val="auto"/>
        </w:rPr>
        <w:t xml:space="preserve">In other words, the current limitation is that the random selection of faulted economizers is not fully aligned with buildings that </w:t>
      </w:r>
      <w:proofErr w:type="gramStart"/>
      <w:r w:rsidRPr="00D03164">
        <w:rPr>
          <w:color w:val="auto"/>
        </w:rPr>
        <w:t>actually have</w:t>
      </w:r>
      <w:proofErr w:type="gramEnd"/>
      <w:r w:rsidRPr="00D03164">
        <w:rPr>
          <w:color w:val="auto"/>
        </w:rPr>
        <w:t xml:space="preserve"> economizers. </w:t>
      </w:r>
      <w:r>
        <w:rPr>
          <w:color w:val="auto"/>
        </w:rPr>
        <w:t xml:space="preserve">In these cases, we are losing the opportunity for applying faults and decreasing the representation of fault prevalence in final building stock. Additional to sampling limitations, another limitation is that the economizer faults are currently not applied to packaged single zone systems due to incorrect applicability implementation. </w:t>
      </w:r>
    </w:p>
    <w:p w14:paraId="366E4C51" w14:textId="60EE6D53" w:rsidR="007A25A0" w:rsidRPr="007E2B74" w:rsidRDefault="00D417DB" w:rsidP="007E2B74">
      <w:pPr>
        <w:pStyle w:val="NRELBodyText"/>
        <w:rPr>
          <w:color w:val="auto"/>
        </w:rPr>
      </w:pPr>
      <w:proofErr w:type="gramStart"/>
      <w:r>
        <w:rPr>
          <w:color w:val="auto"/>
        </w:rPr>
        <w:t>In reality, California’s</w:t>
      </w:r>
      <w:proofErr w:type="gramEnd"/>
      <w:r>
        <w:rPr>
          <w:color w:val="auto"/>
        </w:rPr>
        <w:t xml:space="preserve"> TITLE 24 energy code requires fault detection and diagnostics (FDD) for economizers which prevents and quickly mitigates, not all </w:t>
      </w:r>
      <w:proofErr w:type="gramStart"/>
      <w:r>
        <w:rPr>
          <w:color w:val="auto"/>
        </w:rPr>
        <w:t>but,</w:t>
      </w:r>
      <w:proofErr w:type="gramEnd"/>
      <w:r>
        <w:rPr>
          <w:color w:val="auto"/>
        </w:rPr>
        <w:t xml:space="preserve"> faults that can happen in economizers. However, the current version of ComStock does not reflect the preventative or quickly resolving FDD methodologies, thus, possibly overestimating the impact of faults in buildings in California.</w:t>
      </w:r>
      <w:r w:rsidR="007A25A0">
        <w:t xml:space="preserve"> </w:t>
      </w:r>
    </w:p>
    <w:p w14:paraId="401B39D6" w14:textId="392AB4FE" w:rsidR="007041C4" w:rsidRDefault="007041C4" w:rsidP="007041C4">
      <w:pPr>
        <w:pStyle w:val="Heading1"/>
      </w:pPr>
      <w:r>
        <w:t>Software Changes</w:t>
      </w:r>
    </w:p>
    <w:p w14:paraId="6C669AF2" w14:textId="19ADE34F" w:rsidR="00FC34B1" w:rsidRDefault="00772BC6" w:rsidP="009A2BBA">
      <w:pPr>
        <w:pStyle w:val="NRELBodyText"/>
      </w:pPr>
      <w:r>
        <w:t xml:space="preserve">Two new </w:t>
      </w:r>
      <w:r w:rsidR="00002B5E">
        <w:t xml:space="preserve">TSVs were introduced. </w:t>
      </w:r>
      <w:proofErr w:type="gramStart"/>
      <w:r w:rsidR="00002B5E">
        <w:t>The first</w:t>
      </w:r>
      <w:proofErr w:type="gramEnd"/>
      <w:r w:rsidR="00002B5E">
        <w:t xml:space="preserve">, </w:t>
      </w:r>
      <w:proofErr w:type="spellStart"/>
      <w:r w:rsidR="00002B5E">
        <w:t>fault_economizer_db_limit.tsv</w:t>
      </w:r>
      <w:proofErr w:type="spellEnd"/>
      <w:r w:rsidR="00002B5E">
        <w:t xml:space="preserve">, controls the prevalence of the </w:t>
      </w:r>
      <w:r w:rsidR="00831B87">
        <w:t xml:space="preserve">incorrect economizer </w:t>
      </w:r>
      <w:proofErr w:type="spellStart"/>
      <w:r w:rsidR="00831B87">
        <w:t>drybulb</w:t>
      </w:r>
      <w:proofErr w:type="spellEnd"/>
      <w:r w:rsidR="00831B87">
        <w:t xml:space="preserve"> limit fault. </w:t>
      </w:r>
      <w:r w:rsidR="00A527CE">
        <w:t>Prevalence</w:t>
      </w:r>
      <w:r w:rsidR="00831B87">
        <w:t xml:space="preserve"> depends on HVAC system type, energy code during last HVAC replacement, and climate zone.</w:t>
      </w:r>
      <w:r w:rsidR="00A527CE">
        <w:t xml:space="preserve"> The second, </w:t>
      </w:r>
      <w:proofErr w:type="spellStart"/>
      <w:r w:rsidR="00A527CE" w:rsidRPr="00A527CE">
        <w:t>fault_economizer_damper_fully_closed.tsv</w:t>
      </w:r>
      <w:proofErr w:type="spellEnd"/>
      <w:r w:rsidR="00A527CE">
        <w:t xml:space="preserve">, controls the economizer damper stuck fault. Prevalence depends on </w:t>
      </w:r>
      <w:r w:rsidR="003F633E">
        <w:t>HVAC system type. These TSVs are sampled independently, which means that some buildings will get neither fault, some will get one or the other, and some will get both faults.</w:t>
      </w:r>
    </w:p>
    <w:p w14:paraId="41745CE2" w14:textId="029469E3" w:rsidR="00FC34B1" w:rsidRDefault="00653FC2" w:rsidP="00653FC2">
      <w:pPr>
        <w:pStyle w:val="Heading1"/>
      </w:pPr>
      <w:r>
        <w:lastRenderedPageBreak/>
        <w:t>Impact of Change</w:t>
      </w:r>
    </w:p>
    <w:p w14:paraId="7309E820" w14:textId="77777777" w:rsidR="000A4743" w:rsidRDefault="000A4743" w:rsidP="000A4743">
      <w:pPr>
        <w:pStyle w:val="Heading2"/>
      </w:pPr>
      <w:r>
        <w:t>National Scale Impact</w:t>
      </w:r>
    </w:p>
    <w:p w14:paraId="02C6D07E" w14:textId="77777777" w:rsidR="000A4743" w:rsidRDefault="000A4743" w:rsidP="000A4743">
      <w:pPr>
        <w:pStyle w:val="Heading6"/>
      </w:pPr>
      <w:r>
        <w:t>Change in economizer population</w:t>
      </w:r>
    </w:p>
    <w:p w14:paraId="20392DA5" w14:textId="77777777" w:rsidR="000A4743" w:rsidRPr="00404D9F" w:rsidRDefault="000A4743" w:rsidP="000A4743">
      <w:pPr>
        <w:pStyle w:val="NRELBodyText"/>
        <w:rPr>
          <w:color w:val="auto"/>
        </w:rPr>
      </w:pPr>
      <w:r>
        <w:rPr>
          <w:color w:val="auto"/>
        </w:rPr>
        <w:fldChar w:fldCharType="begin"/>
      </w:r>
      <w:r>
        <w:rPr>
          <w:color w:val="auto"/>
        </w:rPr>
        <w:instrText xml:space="preserve"> REF _Ref142914743 \h </w:instrText>
      </w:r>
      <w:r>
        <w:rPr>
          <w:color w:val="auto"/>
        </w:rPr>
      </w:r>
      <w:r>
        <w:rPr>
          <w:color w:val="auto"/>
        </w:rPr>
        <w:fldChar w:fldCharType="separate"/>
      </w:r>
      <w:r>
        <w:t xml:space="preserve">Figure </w:t>
      </w:r>
      <w:r>
        <w:rPr>
          <w:noProof/>
        </w:rPr>
        <w:t>16</w:t>
      </w:r>
      <w:r>
        <w:rPr>
          <w:color w:val="auto"/>
        </w:rPr>
        <w:fldChar w:fldCharType="end"/>
      </w:r>
      <w:r>
        <w:rPr>
          <w:color w:val="auto"/>
        </w:rPr>
        <w:t xml:space="preserve"> shows the impact of the baseline change with 10k model results that is described in section </w:t>
      </w:r>
      <w:r>
        <w:rPr>
          <w:color w:val="auto"/>
        </w:rPr>
        <w:fldChar w:fldCharType="begin"/>
      </w:r>
      <w:r>
        <w:rPr>
          <w:color w:val="auto"/>
        </w:rPr>
        <w:instrText xml:space="preserve"> REF _Ref142914795 \r \h </w:instrText>
      </w:r>
      <w:r>
        <w:rPr>
          <w:color w:val="auto"/>
        </w:rPr>
      </w:r>
      <w:r>
        <w:rPr>
          <w:color w:val="auto"/>
        </w:rPr>
        <w:fldChar w:fldCharType="separate"/>
      </w:r>
      <w:r>
        <w:rPr>
          <w:color w:val="auto"/>
        </w:rPr>
        <w:t>3.1</w:t>
      </w:r>
      <w:r>
        <w:rPr>
          <w:color w:val="auto"/>
        </w:rPr>
        <w:fldChar w:fldCharType="end"/>
      </w:r>
      <w:r>
        <w:rPr>
          <w:color w:val="auto"/>
        </w:rPr>
        <w:t>. Two changes including (1) economizer application updates on TITLE 24 standards (for buildings in California) and (2) adding code-required economizers when an existing building goes through HVAC upgrade resulted in increased floor area covered by economizers and reduction in electricity usage for cooling.</w:t>
      </w:r>
      <w:commentRangeStart w:id="17"/>
      <w:commentRangeStart w:id="18"/>
      <w:commentRangeEnd w:id="17"/>
      <w:r>
        <w:rPr>
          <w:rStyle w:val="CommentReference"/>
          <w:rFonts w:eastAsia="Times New Roman"/>
          <w:color w:val="auto"/>
        </w:rPr>
        <w:commentReference w:id="17"/>
      </w:r>
      <w:commentRangeEnd w:id="18"/>
      <w:r>
        <w:rPr>
          <w:rStyle w:val="CommentReference"/>
          <w:rFonts w:eastAsia="Times New Roman"/>
          <w:color w:val="auto"/>
        </w:rPr>
        <w:commentReference w:id="18"/>
      </w:r>
    </w:p>
    <w:p w14:paraId="4C98CB70" w14:textId="77777777" w:rsidR="000A4743" w:rsidRDefault="000A4743" w:rsidP="000A4743">
      <w:pPr>
        <w:pStyle w:val="NRELBodyText"/>
        <w:keepNext/>
      </w:pPr>
      <w:r>
        <w:rPr>
          <w:noProof/>
        </w:rPr>
        <w:drawing>
          <wp:inline distT="0" distB="0" distL="0" distR="0" wp14:anchorId="3365AF72" wp14:editId="5F086567">
            <wp:extent cx="5943600" cy="3129915"/>
            <wp:effectExtent l="0" t="0" r="0" b="0"/>
            <wp:docPr id="268825219" name="Picture 26882521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5219" name="Picture 1" descr="Chart&#10;&#10;Description automatically generated"/>
                    <pic:cNvPicPr/>
                  </pic:nvPicPr>
                  <pic:blipFill>
                    <a:blip r:embed="rId21"/>
                    <a:stretch>
                      <a:fillRect/>
                    </a:stretch>
                  </pic:blipFill>
                  <pic:spPr>
                    <a:xfrm>
                      <a:off x="0" y="0"/>
                      <a:ext cx="5943600" cy="3129915"/>
                    </a:xfrm>
                    <a:prstGeom prst="rect">
                      <a:avLst/>
                    </a:prstGeom>
                  </pic:spPr>
                </pic:pic>
              </a:graphicData>
            </a:graphic>
          </wp:inline>
        </w:drawing>
      </w:r>
    </w:p>
    <w:p w14:paraId="1CC176E2" w14:textId="77777777" w:rsidR="000A4743" w:rsidRPr="008F5800" w:rsidRDefault="000A4743" w:rsidP="000A4743">
      <w:pPr>
        <w:pStyle w:val="NRELFigureCaption"/>
        <w:rPr>
          <w:noProof/>
          <w:color w:val="auto"/>
        </w:rPr>
      </w:pPr>
      <w:bookmarkStart w:id="19" w:name="_Ref142914743"/>
      <w:bookmarkStart w:id="20" w:name="_Toc145599176"/>
      <w:r>
        <w:t xml:space="preserve">Figure </w:t>
      </w:r>
      <w:fldSimple w:instr=" SEQ Figure \* ARABIC ">
        <w:r>
          <w:rPr>
            <w:noProof/>
          </w:rPr>
          <w:t>16</w:t>
        </w:r>
      </w:fldSimple>
      <w:bookmarkEnd w:id="19"/>
      <w:r>
        <w:t>. Impact of baseline change: increased economizer population</w:t>
      </w:r>
      <w:bookmarkEnd w:id="20"/>
    </w:p>
    <w:p w14:paraId="44FA84DB" w14:textId="77777777" w:rsidR="000A4743" w:rsidRDefault="000A4743" w:rsidP="000A4743">
      <w:pPr>
        <w:pStyle w:val="Els-body-text"/>
        <w:rPr>
          <w:noProof/>
        </w:rPr>
      </w:pPr>
    </w:p>
    <w:p w14:paraId="59C7ADB5" w14:textId="77777777" w:rsidR="000A4743" w:rsidRDefault="000A4743" w:rsidP="000A4743">
      <w:pPr>
        <w:pStyle w:val="Heading6"/>
        <w:rPr>
          <w:noProof/>
        </w:rPr>
      </w:pPr>
      <w:r>
        <w:rPr>
          <w:noProof/>
        </w:rPr>
        <w:t>Change in prevalence of economizer control type</w:t>
      </w:r>
    </w:p>
    <w:p w14:paraId="5C5FE506" w14:textId="77777777" w:rsidR="000A4743" w:rsidRDefault="000A4743" w:rsidP="000A4743">
      <w:pPr>
        <w:pStyle w:val="NRELBodyText"/>
        <w:rPr>
          <w:color w:val="auto"/>
        </w:rPr>
      </w:pPr>
      <w:r>
        <w:rPr>
          <w:noProof/>
        </w:rPr>
        <w:fldChar w:fldCharType="begin"/>
      </w:r>
      <w:r>
        <w:rPr>
          <w:noProof/>
        </w:rPr>
        <w:instrText xml:space="preserve"> REF _Ref142915075 \h </w:instrText>
      </w:r>
      <w:r>
        <w:rPr>
          <w:noProof/>
        </w:rPr>
      </w:r>
      <w:r>
        <w:rPr>
          <w:noProof/>
        </w:rPr>
        <w:fldChar w:fldCharType="separate"/>
      </w:r>
      <w:r>
        <w:t xml:space="preserve">Figure </w:t>
      </w:r>
      <w:r>
        <w:rPr>
          <w:noProof/>
        </w:rPr>
        <w:t>17</w:t>
      </w:r>
      <w:r>
        <w:rPr>
          <w:noProof/>
        </w:rPr>
        <w:fldChar w:fldCharType="end"/>
      </w:r>
      <w:r>
        <w:rPr>
          <w:noProof/>
        </w:rPr>
        <w:t xml:space="preserve"> </w:t>
      </w:r>
      <w:r>
        <w:rPr>
          <w:color w:val="auto"/>
        </w:rPr>
        <w:t xml:space="preserve">shows the impact of the baseline change (described in section </w:t>
      </w:r>
      <w:r>
        <w:rPr>
          <w:color w:val="auto"/>
        </w:rPr>
        <w:fldChar w:fldCharType="begin"/>
      </w:r>
      <w:r>
        <w:rPr>
          <w:color w:val="auto"/>
        </w:rPr>
        <w:instrText xml:space="preserve"> REF _Ref142914799 \r \h </w:instrText>
      </w:r>
      <w:r>
        <w:rPr>
          <w:color w:val="auto"/>
        </w:rPr>
      </w:r>
      <w:r>
        <w:rPr>
          <w:color w:val="auto"/>
        </w:rPr>
        <w:fldChar w:fldCharType="separate"/>
      </w:r>
      <w:r>
        <w:rPr>
          <w:color w:val="auto"/>
        </w:rPr>
        <w:t>3.2</w:t>
      </w:r>
      <w:r>
        <w:rPr>
          <w:color w:val="auto"/>
        </w:rPr>
        <w:fldChar w:fldCharType="end"/>
      </w:r>
      <w:r>
        <w:rPr>
          <w:color w:val="auto"/>
        </w:rPr>
        <w:t>) with 10k model results in terms of total floor area coverage. As shown in the figure, the most prevalent control type after the change is fixed dry-bulb control (36%) followed by differential dry-bulb (4.4%) and differential enthalpy (4.3%) control. The figure also shows the overall decrease of total floor area of buildings without economizer (shown as “</w:t>
      </w:r>
      <w:proofErr w:type="spellStart"/>
      <w:r>
        <w:rPr>
          <w:color w:val="auto"/>
        </w:rPr>
        <w:t>NoEconomizer</w:t>
      </w:r>
      <w:proofErr w:type="spellEnd"/>
      <w:r>
        <w:rPr>
          <w:color w:val="auto"/>
        </w:rPr>
        <w:t xml:space="preserve">” in the figure) that was highlighted in </w:t>
      </w:r>
      <w:r>
        <w:rPr>
          <w:color w:val="auto"/>
        </w:rPr>
        <w:fldChar w:fldCharType="begin"/>
      </w:r>
      <w:r>
        <w:rPr>
          <w:color w:val="auto"/>
        </w:rPr>
        <w:instrText xml:space="preserve"> REF _Ref142914743 \h </w:instrText>
      </w:r>
      <w:r>
        <w:rPr>
          <w:color w:val="auto"/>
        </w:rPr>
      </w:r>
      <w:r>
        <w:rPr>
          <w:color w:val="auto"/>
        </w:rPr>
        <w:fldChar w:fldCharType="separate"/>
      </w:r>
      <w:r>
        <w:t xml:space="preserve">Figure </w:t>
      </w:r>
      <w:r>
        <w:rPr>
          <w:noProof/>
        </w:rPr>
        <w:t>16</w:t>
      </w:r>
      <w:r>
        <w:rPr>
          <w:color w:val="auto"/>
        </w:rPr>
        <w:fldChar w:fldCharType="end"/>
      </w:r>
      <w:r>
        <w:rPr>
          <w:color w:val="auto"/>
        </w:rPr>
        <w:t>.</w:t>
      </w:r>
    </w:p>
    <w:p w14:paraId="65E20313" w14:textId="77777777" w:rsidR="000A4743" w:rsidRDefault="000A4743" w:rsidP="000A4743">
      <w:pPr>
        <w:rPr>
          <w:noProof/>
        </w:rPr>
      </w:pPr>
    </w:p>
    <w:p w14:paraId="2A9CDF53" w14:textId="77777777" w:rsidR="000A4743" w:rsidRDefault="000A4743" w:rsidP="000A4743">
      <w:pPr>
        <w:keepNext/>
      </w:pPr>
      <w:commentRangeStart w:id="21"/>
      <w:r>
        <w:rPr>
          <w:noProof/>
        </w:rPr>
        <w:lastRenderedPageBreak/>
        <w:drawing>
          <wp:inline distT="0" distB="0" distL="0" distR="0" wp14:anchorId="60271B13" wp14:editId="57468F01">
            <wp:extent cx="5943600" cy="2948305"/>
            <wp:effectExtent l="0" t="0" r="0" b="4445"/>
            <wp:docPr id="424168967" name="Picture 42416896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68967" name="Picture 1" descr="Chart, bar chart&#10;&#10;Description automatically generated"/>
                    <pic:cNvPicPr/>
                  </pic:nvPicPr>
                  <pic:blipFill>
                    <a:blip r:embed="rId22"/>
                    <a:stretch>
                      <a:fillRect/>
                    </a:stretch>
                  </pic:blipFill>
                  <pic:spPr>
                    <a:xfrm>
                      <a:off x="0" y="0"/>
                      <a:ext cx="5943600" cy="2948305"/>
                    </a:xfrm>
                    <a:prstGeom prst="rect">
                      <a:avLst/>
                    </a:prstGeom>
                  </pic:spPr>
                </pic:pic>
              </a:graphicData>
            </a:graphic>
          </wp:inline>
        </w:drawing>
      </w:r>
      <w:commentRangeEnd w:id="21"/>
      <w:r>
        <w:rPr>
          <w:rStyle w:val="CommentReference"/>
        </w:rPr>
        <w:commentReference w:id="21"/>
      </w:r>
    </w:p>
    <w:p w14:paraId="5F302A73" w14:textId="77777777" w:rsidR="000A4743" w:rsidRDefault="000A4743" w:rsidP="000A4743">
      <w:pPr>
        <w:pStyle w:val="NRELFigureCaption"/>
        <w:rPr>
          <w:noProof/>
        </w:rPr>
      </w:pPr>
      <w:bookmarkStart w:id="22" w:name="_Ref142915075"/>
      <w:bookmarkStart w:id="23" w:name="_Toc145599177"/>
      <w:r>
        <w:t xml:space="preserve">Figure </w:t>
      </w:r>
      <w:fldSimple w:instr=" SEQ Figure \* ARABIC ">
        <w:r>
          <w:rPr>
            <w:noProof/>
          </w:rPr>
          <w:t>17</w:t>
        </w:r>
      </w:fldSimple>
      <w:bookmarkEnd w:id="22"/>
      <w:r>
        <w:t>. Impact of baseline change: economizer control type</w:t>
      </w:r>
      <w:bookmarkEnd w:id="23"/>
    </w:p>
    <w:p w14:paraId="55D95990" w14:textId="77777777" w:rsidR="000A4743" w:rsidRPr="00815E9C" w:rsidRDefault="000A4743" w:rsidP="000A4743">
      <w:pPr>
        <w:rPr>
          <w:rStyle w:val="normaltextrun"/>
          <w:b/>
          <w:iCs/>
        </w:rPr>
      </w:pPr>
      <w:r>
        <w:rPr>
          <w:noProof/>
        </w:rPr>
        <w:t xml:space="preserve"> </w:t>
      </w:r>
    </w:p>
    <w:p w14:paraId="0E4DD6B6" w14:textId="77777777" w:rsidR="000A4743" w:rsidRDefault="000A4743" w:rsidP="000A4743">
      <w:pPr>
        <w:pStyle w:val="Heading6"/>
        <w:rPr>
          <w:noProof/>
        </w:rPr>
      </w:pPr>
      <w:r>
        <w:rPr>
          <w:noProof/>
        </w:rPr>
        <w:t>New addition of fault implementation</w:t>
      </w:r>
    </w:p>
    <w:p w14:paraId="5B32BF16" w14:textId="77777777" w:rsidR="000A4743" w:rsidRDefault="000A4743" w:rsidP="000A4743">
      <w:pPr>
        <w:pStyle w:val="NRELBodyText"/>
      </w:pPr>
      <w:r>
        <w:fldChar w:fldCharType="begin"/>
      </w:r>
      <w:r>
        <w:instrText xml:space="preserve"> REF _Ref142917716 \h  \* MERGEFORMAT </w:instrText>
      </w:r>
      <w:r>
        <w:fldChar w:fldCharType="separate"/>
      </w:r>
      <w:r>
        <w:t xml:space="preserve">Figure </w:t>
      </w:r>
      <w:r>
        <w:rPr>
          <w:noProof/>
        </w:rPr>
        <w:t>18</w:t>
      </w:r>
      <w:r>
        <w:fldChar w:fldCharType="end"/>
      </w:r>
      <w:r>
        <w:t xml:space="preserve"> shows the impact of the baseline change that is described in section </w:t>
      </w:r>
      <w:r>
        <w:fldChar w:fldCharType="begin"/>
      </w:r>
      <w:r>
        <w:instrText xml:space="preserve"> REF _Ref142917749 \r \h  \* MERGEFORMAT </w:instrText>
      </w:r>
      <w:r>
        <w:fldChar w:fldCharType="separate"/>
      </w:r>
      <w:r>
        <w:t>3.3</w:t>
      </w:r>
      <w:r>
        <w:fldChar w:fldCharType="end"/>
      </w:r>
      <w:r>
        <w:t>. This figure does not represent the full (350,000 samples) ComStock run and rather it is based on 10,000 sample runs. Three scenarios are conducted to highlight the implementation and impact of two faults: baseline run without faults, baseline run only with improper high-limit (changeover temperature) fault, and baseline run only with damper fully closed fault.</w:t>
      </w:r>
    </w:p>
    <w:p w14:paraId="44D986F5" w14:textId="77777777" w:rsidR="000A4743" w:rsidRDefault="000A4743" w:rsidP="000A4743">
      <w:pPr>
        <w:keepNext/>
      </w:pPr>
      <w:commentRangeStart w:id="24"/>
      <w:commentRangeStart w:id="25"/>
      <w:commentRangeStart w:id="26"/>
      <w:commentRangeEnd w:id="24"/>
      <w:r>
        <w:rPr>
          <w:rStyle w:val="CommentReference"/>
        </w:rPr>
        <w:commentReference w:id="24"/>
      </w:r>
      <w:commentRangeStart w:id="27"/>
      <w:commentRangeStart w:id="28"/>
      <w:commentRangeEnd w:id="27"/>
      <w:commentRangeEnd w:id="28"/>
      <w:r>
        <w:rPr>
          <w:rStyle w:val="CommentReference"/>
        </w:rPr>
        <w:commentReference w:id="27"/>
      </w:r>
      <w:commentRangeEnd w:id="25"/>
      <w:r>
        <w:rPr>
          <w:rStyle w:val="CommentReference"/>
        </w:rPr>
        <w:commentReference w:id="28"/>
      </w:r>
      <w:r>
        <w:rPr>
          <w:rStyle w:val="CommentReference"/>
        </w:rPr>
        <w:commentReference w:id="25"/>
      </w:r>
      <w:commentRangeEnd w:id="26"/>
      <w:r>
        <w:rPr>
          <w:rStyle w:val="CommentReference"/>
        </w:rPr>
        <w:commentReference w:id="26"/>
      </w:r>
    </w:p>
    <w:p w14:paraId="681B4848" w14:textId="77777777" w:rsidR="000A4743" w:rsidRDefault="000A4743" w:rsidP="000A4743">
      <w:pPr>
        <w:keepNext/>
      </w:pPr>
      <w:r>
        <w:rPr>
          <w:noProof/>
        </w:rPr>
        <w:drawing>
          <wp:inline distT="0" distB="0" distL="0" distR="0" wp14:anchorId="48E8F0CE" wp14:editId="2B6AE7B4">
            <wp:extent cx="5943600" cy="2338070"/>
            <wp:effectExtent l="0" t="0" r="0" b="5080"/>
            <wp:docPr id="1118856579" name="Picture 111885657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56579" name="Picture 1" descr="Chart&#10;&#10;Description automatically generated"/>
                    <pic:cNvPicPr/>
                  </pic:nvPicPr>
                  <pic:blipFill>
                    <a:blip r:embed="rId23"/>
                    <a:stretch>
                      <a:fillRect/>
                    </a:stretch>
                  </pic:blipFill>
                  <pic:spPr>
                    <a:xfrm>
                      <a:off x="0" y="0"/>
                      <a:ext cx="5943600" cy="2338070"/>
                    </a:xfrm>
                    <a:prstGeom prst="rect">
                      <a:avLst/>
                    </a:prstGeom>
                  </pic:spPr>
                </pic:pic>
              </a:graphicData>
            </a:graphic>
          </wp:inline>
        </w:drawing>
      </w:r>
    </w:p>
    <w:p w14:paraId="79B0E5D8" w14:textId="77777777" w:rsidR="000A4743" w:rsidRDefault="000A4743" w:rsidP="000A4743">
      <w:pPr>
        <w:pStyle w:val="NRELFigureCaption"/>
      </w:pPr>
      <w:bookmarkStart w:id="29" w:name="_Ref142917716"/>
      <w:bookmarkStart w:id="30" w:name="_Toc145599178"/>
      <w:r>
        <w:t xml:space="preserve">Figure </w:t>
      </w:r>
      <w:fldSimple w:instr=" SEQ Figure \* ARABIC ">
        <w:r>
          <w:rPr>
            <w:noProof/>
          </w:rPr>
          <w:t>18</w:t>
        </w:r>
      </w:fldSimple>
      <w:bookmarkEnd w:id="29"/>
      <w:r>
        <w:t>. Impact of baseline change: economizer fault implementation</w:t>
      </w:r>
      <w:bookmarkEnd w:id="30"/>
    </w:p>
    <w:p w14:paraId="126E7AB2" w14:textId="77777777" w:rsidR="000A4743" w:rsidRPr="007D2699" w:rsidRDefault="000A4743" w:rsidP="000A4743">
      <w:pPr>
        <w:pStyle w:val="NRELBodyText"/>
      </w:pPr>
      <w:r>
        <w:t xml:space="preserve">The legend (shown as “Fault Status”) represents whether the fault was implemented or not. Based on the prevalence assumptions of each fault, only some portion (defined in section </w:t>
      </w:r>
      <w:r>
        <w:fldChar w:fldCharType="begin"/>
      </w:r>
      <w:r>
        <w:instrText xml:space="preserve"> REF _Ref142917749 \r \h  \* MERGEFORMAT </w:instrText>
      </w:r>
      <w:r>
        <w:fldChar w:fldCharType="separate"/>
      </w:r>
      <w:r>
        <w:t>3.3</w:t>
      </w:r>
      <w:r>
        <w:fldChar w:fldCharType="end"/>
      </w:r>
      <w:r>
        <w:t xml:space="preserve">) of </w:t>
      </w:r>
      <w:r>
        <w:lastRenderedPageBreak/>
        <w:t>the economizers are faulted resulting in economizers with and without faults under faulted scenarios. “NA” under faulted scenarios means these buildings do not have economizers (i.e., cannot impose fault) and “No fault” under faulted scenarios means these buildings happened to be not experiencing economizer faults. Economizer changeover temperature fault is applied across the entire year where the high-limit temperature is reduced to a fixed number of 52</w:t>
      </w:r>
      <w:r w:rsidRPr="00534DCE">
        <w:rPr>
          <w:vertAlign w:val="superscript"/>
        </w:rPr>
        <w:t>o</w:t>
      </w:r>
      <w:r>
        <w:t>F/11</w:t>
      </w:r>
      <w:r w:rsidRPr="00BC6E50">
        <w:rPr>
          <w:vertAlign w:val="superscript"/>
        </w:rPr>
        <w:t>o</w:t>
      </w:r>
      <w:r>
        <w:t xml:space="preserve">C and indicated as “Fault” in the figure. Economizer damper fully closed fault is applied for a duration of one month (instead of applying across the entire year), however, even distribution was applied for selecting the month for applying the fault. For example, “Fault </w:t>
      </w:r>
      <w:proofErr w:type="spellStart"/>
      <w:r>
        <w:t>jan</w:t>
      </w:r>
      <w:proofErr w:type="spellEnd"/>
      <w:r>
        <w:t xml:space="preserve">” shown in the figure represents a building model where damper fully closed fault is only applied in January. Theoretically, there are more detailed approaches for randomizing the incidence and prevalence of a fault. For example, randomly picking one day from a year and </w:t>
      </w:r>
      <w:proofErr w:type="gramStart"/>
      <w:r>
        <w:t>let</w:t>
      </w:r>
      <w:proofErr w:type="gramEnd"/>
      <w:r>
        <w:t xml:space="preserve"> the fault present for a month from that day. However, during this initial implementation, we chose a balance between ease of implementation and proper distribution of fault prevalence/incidence. </w:t>
      </w:r>
    </w:p>
    <w:p w14:paraId="7F7B6B73" w14:textId="77777777" w:rsidR="000A4743" w:rsidRDefault="000A4743" w:rsidP="000A4743"/>
    <w:p w14:paraId="7DAD774D" w14:textId="77777777" w:rsidR="000A4743" w:rsidRPr="000A4743" w:rsidRDefault="000A4743" w:rsidP="000A4743"/>
    <w:p w14:paraId="4BBBDA37" w14:textId="77777777" w:rsidR="00483FA5" w:rsidRPr="004E042E" w:rsidRDefault="00483FA5" w:rsidP="00483FA5">
      <w:pPr>
        <w:pStyle w:val="NRELHead01"/>
      </w:pPr>
      <w:r w:rsidRPr="004E042E">
        <w:t xml:space="preserve">References </w:t>
      </w:r>
    </w:p>
    <w:p w14:paraId="00AF58E2" w14:textId="77777777" w:rsidR="00483FA5" w:rsidRPr="00C71FB6" w:rsidRDefault="00483FA5" w:rsidP="00483FA5">
      <w:pPr>
        <w:pStyle w:val="Bibliography"/>
      </w:pPr>
      <w:r w:rsidRPr="00CA12D7">
        <w:rPr>
          <w:rFonts w:eastAsia="Times"/>
        </w:rPr>
        <w:fldChar w:fldCharType="begin" w:fldLock="1"/>
      </w:r>
      <w:r>
        <w:instrText xml:space="preserve"> ADDIN ZOTERO_BIBL {"uncited":[],"omitted":[],"custom":[]} CSL_BIBLIOGRAPHY </w:instrText>
      </w:r>
      <w:r w:rsidRPr="00CA12D7">
        <w:fldChar w:fldCharType="separate"/>
      </w:r>
      <w:r w:rsidRPr="00C71FB6">
        <w:t>[1]</w:t>
      </w:r>
      <w:r w:rsidRPr="00C71FB6">
        <w:tab/>
        <w:t xml:space="preserve">S. Taylor and H. Cheng, “Economizer High Limit Controls and Why Enthalpy Economizers Don’t Work,” </w:t>
      </w:r>
      <w:r w:rsidRPr="00C71FB6">
        <w:rPr>
          <w:i/>
          <w:iCs/>
        </w:rPr>
        <w:t>ASHRAE Journal</w:t>
      </w:r>
      <w:r w:rsidRPr="00C71FB6">
        <w:t>, vol. 52, no. 11, 2010, Accessed: May 29, 2023. [Online]. Available: https://www.proquest.com/openview/22130ec043823a40fc7ae0770962a00a/1.pdf?pq-origsite=gscholar&amp;cbl=41118</w:t>
      </w:r>
    </w:p>
    <w:p w14:paraId="61F194F7" w14:textId="77777777" w:rsidR="00483FA5" w:rsidRPr="00C71FB6" w:rsidRDefault="00483FA5" w:rsidP="00483FA5">
      <w:pPr>
        <w:pStyle w:val="Bibliography"/>
      </w:pPr>
      <w:r w:rsidRPr="00C71FB6">
        <w:t>[2]</w:t>
      </w:r>
      <w:r w:rsidRPr="00C71FB6">
        <w:tab/>
        <w:t>“MASControl3.” https://cedars.sound-data.com/deer-resources/tools/mas-control/file/3011/download</w:t>
      </w:r>
    </w:p>
    <w:p w14:paraId="0BECB0C9" w14:textId="77777777" w:rsidR="00483FA5" w:rsidRPr="00C71FB6" w:rsidRDefault="00483FA5" w:rsidP="00483FA5">
      <w:pPr>
        <w:pStyle w:val="Bibliography"/>
      </w:pPr>
      <w:r w:rsidRPr="00C71FB6">
        <w:t>[3]</w:t>
      </w:r>
      <w:r w:rsidRPr="00C71FB6">
        <w:tab/>
        <w:t>Trane, “Packaged Rooftop Air Conditioners Foundation</w:t>
      </w:r>
      <w:r w:rsidRPr="00C71FB6">
        <w:rPr>
          <w:vertAlign w:val="superscript"/>
        </w:rPr>
        <w:t>TM</w:t>
      </w:r>
      <w:r w:rsidRPr="00C71FB6">
        <w:t>.”</w:t>
      </w:r>
    </w:p>
    <w:p w14:paraId="1246C0ED" w14:textId="77777777" w:rsidR="00483FA5" w:rsidRPr="00C71FB6" w:rsidRDefault="00483FA5" w:rsidP="00483FA5">
      <w:pPr>
        <w:pStyle w:val="Bibliography"/>
      </w:pPr>
      <w:r w:rsidRPr="00C71FB6">
        <w:t>[4]</w:t>
      </w:r>
      <w:r w:rsidRPr="00C71FB6">
        <w:tab/>
        <w:t>Carrier, “EconoMi$ter X.”</w:t>
      </w:r>
    </w:p>
    <w:p w14:paraId="3F63F686" w14:textId="77777777" w:rsidR="00483FA5" w:rsidRPr="00C71FB6" w:rsidRDefault="00483FA5" w:rsidP="00483FA5">
      <w:pPr>
        <w:pStyle w:val="Bibliography"/>
      </w:pPr>
      <w:r w:rsidRPr="00C71FB6">
        <w:t>[5]</w:t>
      </w:r>
      <w:r w:rsidRPr="00C71FB6">
        <w:tab/>
        <w:t>Daikin, “Rebel® Commercial Packaged Rooftop Systems.”</w:t>
      </w:r>
    </w:p>
    <w:p w14:paraId="78F555E2" w14:textId="77777777" w:rsidR="00483FA5" w:rsidRPr="00C71FB6" w:rsidRDefault="00483FA5" w:rsidP="00483FA5">
      <w:pPr>
        <w:pStyle w:val="Bibliography"/>
      </w:pPr>
      <w:r w:rsidRPr="00C71FB6">
        <w:t>[6]</w:t>
      </w:r>
      <w:r w:rsidRPr="00C71FB6">
        <w:tab/>
        <w:t xml:space="preserve">J. Kim </w:t>
      </w:r>
      <w:r w:rsidRPr="00C71FB6">
        <w:rPr>
          <w:i/>
          <w:iCs/>
        </w:rPr>
        <w:t>et al.</w:t>
      </w:r>
      <w:r w:rsidRPr="00C71FB6">
        <w:t xml:space="preserve">, “Research challenges and directions in HVAC fault prevalence,” </w:t>
      </w:r>
      <w:r w:rsidRPr="00C71FB6">
        <w:rPr>
          <w:i/>
          <w:iCs/>
        </w:rPr>
        <w:t>Science and Technology for the Built Environment</w:t>
      </w:r>
      <w:r w:rsidRPr="00C71FB6">
        <w:t>, vol. 27, no. 5, pp. 624–640, May 2021, doi: 10.1080/23744731.2021.1898243.</w:t>
      </w:r>
    </w:p>
    <w:p w14:paraId="76ECABD2" w14:textId="77777777" w:rsidR="00483FA5" w:rsidRPr="00C71FB6" w:rsidRDefault="00483FA5" w:rsidP="00483FA5">
      <w:pPr>
        <w:pStyle w:val="Bibliography"/>
      </w:pPr>
      <w:r w:rsidRPr="00C71FB6">
        <w:t>[7]</w:t>
      </w:r>
      <w:r w:rsidRPr="00C71FB6">
        <w:tab/>
        <w:t xml:space="preserve">E. Crowe </w:t>
      </w:r>
      <w:r w:rsidRPr="00C71FB6">
        <w:rPr>
          <w:i/>
          <w:iCs/>
        </w:rPr>
        <w:t>et al.</w:t>
      </w:r>
      <w:r w:rsidRPr="00C71FB6">
        <w:t>, “What We Learned From Analyzing 18 Million Rows of Commercial Buildings’ HVAC Fault Data,” Aug. 2022, Accessed: Apr. 17, 2023. [Online]. Available: https://escholarship.org/uc/item/8d378066</w:t>
      </w:r>
    </w:p>
    <w:p w14:paraId="708886B4" w14:textId="77777777" w:rsidR="00483FA5" w:rsidRPr="00C71FB6" w:rsidRDefault="00483FA5" w:rsidP="00483FA5">
      <w:pPr>
        <w:pStyle w:val="Bibliography"/>
      </w:pPr>
      <w:r w:rsidRPr="00C71FB6">
        <w:t>[8]</w:t>
      </w:r>
      <w:r w:rsidRPr="00C71FB6">
        <w:tab/>
        <w:t xml:space="preserve">S. Katipamula, R. M. Underhill, N. Fernandez, W. Kim, R. G. Lutes, and D. Taasevigen, “Prevalence of typical operational problems and energy savings opportunities in U.S. commercial buildings,” </w:t>
      </w:r>
      <w:r w:rsidRPr="00C71FB6">
        <w:rPr>
          <w:i/>
          <w:iCs/>
        </w:rPr>
        <w:t>Energy and Buildings</w:t>
      </w:r>
      <w:r w:rsidRPr="00C71FB6">
        <w:t>, vol. 253, p. 111544, Dec. 2021, doi: 10.1016/j.enbuild.2021.111544.</w:t>
      </w:r>
    </w:p>
    <w:p w14:paraId="40A4AB7D" w14:textId="77777777" w:rsidR="00483FA5" w:rsidRPr="00C71FB6" w:rsidRDefault="00483FA5" w:rsidP="00483FA5">
      <w:pPr>
        <w:pStyle w:val="Bibliography"/>
      </w:pPr>
      <w:r w:rsidRPr="00C71FB6">
        <w:t>[9]</w:t>
      </w:r>
      <w:r w:rsidRPr="00C71FB6">
        <w:tab/>
        <w:t>S. M. Frank, J. Kim, J. Cai, and J. E. Braun, “Common Faults and Their Prioritization in Small Commercial Buildings: February 2017 - December 2017,” National Renewable Energy Lab. (NREL), Golden, CO (United States), NREL/SR-5500-70136, Jun. 2018. doi: 10.2172/1457127.</w:t>
      </w:r>
    </w:p>
    <w:p w14:paraId="0853BD3F" w14:textId="77777777" w:rsidR="00483FA5" w:rsidRPr="00C71FB6" w:rsidRDefault="00483FA5" w:rsidP="00483FA5">
      <w:pPr>
        <w:pStyle w:val="Bibliography"/>
      </w:pPr>
      <w:r w:rsidRPr="00C71FB6">
        <w:lastRenderedPageBreak/>
        <w:t>[10]</w:t>
      </w:r>
      <w:r w:rsidRPr="00C71FB6">
        <w:tab/>
        <w:t>G. Shoukas, M. Bianchi, and M. Deru, “Analysis of Fault Data Collected from Automated Fault Detection and Diagnostic Products for Packaged Rooftop Units,” National Renewable Energy Lab. (NREL), Golden, CO (United States), NREL/TP-5500-77077, Sep. 2020. doi: 10.2172/1665808.</w:t>
      </w:r>
    </w:p>
    <w:p w14:paraId="0F8FBD68" w14:textId="77777777" w:rsidR="00483FA5" w:rsidRPr="00C71FB6" w:rsidRDefault="00483FA5" w:rsidP="00483FA5">
      <w:pPr>
        <w:pStyle w:val="Bibliography"/>
      </w:pPr>
      <w:r w:rsidRPr="00C71FB6">
        <w:t>[11]</w:t>
      </w:r>
      <w:r w:rsidRPr="00C71FB6">
        <w:tab/>
        <w:t>Seventhwave and Center for Energy and Environment, “Commercial Roof-top Units in Minnesota: Characteristics and Energy Performance,” 2016.</w:t>
      </w:r>
    </w:p>
    <w:p w14:paraId="1861F602" w14:textId="77777777" w:rsidR="00483FA5" w:rsidRPr="00C71FB6" w:rsidRDefault="00483FA5" w:rsidP="00483FA5">
      <w:pPr>
        <w:pStyle w:val="Bibliography"/>
      </w:pPr>
      <w:r w:rsidRPr="00C71FB6">
        <w:t>[12]</w:t>
      </w:r>
      <w:r w:rsidRPr="00C71FB6">
        <w:tab/>
        <w:t xml:space="preserve">K. Heinemeier, “Free Cooling: At What Cost?,” </w:t>
      </w:r>
      <w:r w:rsidRPr="00C71FB6">
        <w:rPr>
          <w:i/>
          <w:iCs/>
        </w:rPr>
        <w:t>ACEEE Summer Study Energy Efficiency Build</w:t>
      </w:r>
      <w:r w:rsidRPr="00C71FB6">
        <w:t>, 2014.</w:t>
      </w:r>
    </w:p>
    <w:p w14:paraId="01275930" w14:textId="77777777" w:rsidR="00483FA5" w:rsidRPr="00C71FB6" w:rsidRDefault="00483FA5" w:rsidP="00483FA5">
      <w:pPr>
        <w:pStyle w:val="Bibliography"/>
      </w:pPr>
      <w:r w:rsidRPr="00C71FB6">
        <w:t>[13]</w:t>
      </w:r>
      <w:r w:rsidRPr="00C71FB6">
        <w:tab/>
        <w:t xml:space="preserve">A. Parker </w:t>
      </w:r>
      <w:r w:rsidRPr="00C71FB6">
        <w:rPr>
          <w:i/>
          <w:iCs/>
        </w:rPr>
        <w:t>et al.</w:t>
      </w:r>
      <w:r w:rsidRPr="00C71FB6">
        <w:t>, “ComStock Reference Documentation: Version 1,” National Renewable Energy Laboratory, Golden, CO, NREL/TP-5500-83819. [Online]. Available: https://www.nrel.gov/docs/fy23osti/83819.pdf</w:t>
      </w:r>
    </w:p>
    <w:p w14:paraId="5D952B3A" w14:textId="77777777" w:rsidR="00483FA5" w:rsidRPr="00C71FB6" w:rsidRDefault="00483FA5" w:rsidP="00483FA5">
      <w:pPr>
        <w:pStyle w:val="Bibliography"/>
      </w:pPr>
      <w:r w:rsidRPr="00C71FB6">
        <w:t>[14]</w:t>
      </w:r>
      <w:r w:rsidRPr="00C71FB6">
        <w:tab/>
        <w:t>“Cambium | Energy Analysis | NREL.” https://www.nrel.gov/analysis/cambium.html (accessed Sep. 02, 2022).</w:t>
      </w:r>
    </w:p>
    <w:p w14:paraId="3EA83107" w14:textId="77777777" w:rsidR="00483FA5" w:rsidRPr="00C71FB6" w:rsidRDefault="00483FA5" w:rsidP="00483FA5">
      <w:pPr>
        <w:pStyle w:val="Bibliography"/>
      </w:pPr>
      <w:r w:rsidRPr="00C71FB6">
        <w:t>[15]</w:t>
      </w:r>
      <w:r w:rsidRPr="00C71FB6">
        <w:tab/>
        <w:t>“Emissions &amp; Generation Resource Integrated Database (eGRID) | US EPA.” https://www.epa.gov/egrid (accessed Sep. 02, 2022).</w:t>
      </w:r>
    </w:p>
    <w:p w14:paraId="556DC07E" w14:textId="77777777" w:rsidR="00483FA5" w:rsidRPr="00C71FB6" w:rsidRDefault="00483FA5" w:rsidP="00483FA5">
      <w:pPr>
        <w:pStyle w:val="Bibliography"/>
      </w:pPr>
      <w:r w:rsidRPr="00C71FB6">
        <w:t>[16]</w:t>
      </w:r>
      <w:r w:rsidRPr="00C71FB6">
        <w:tab/>
        <w:t>E. Present, Pieter Gagnon, Eric J.H. Wilson, Noel Merket, Philip R. White, and Scott Horowitz, “Choosing the Best Carbon Factor for the Job: Exploring Available Carbon Emissions Factors and the Impact of Factor Selection,” 2022.</w:t>
      </w:r>
    </w:p>
    <w:p w14:paraId="6E7E91A4" w14:textId="77777777" w:rsidR="00483FA5" w:rsidRPr="00C71FB6" w:rsidRDefault="00483FA5" w:rsidP="00483FA5">
      <w:pPr>
        <w:pStyle w:val="Bibliography"/>
      </w:pPr>
      <w:r w:rsidRPr="00C71FB6">
        <w:t>[17]</w:t>
      </w:r>
      <w:r w:rsidRPr="00C71FB6">
        <w:tab/>
        <w:t xml:space="preserve">G. Vijayakumar </w:t>
      </w:r>
      <w:r w:rsidRPr="00C71FB6">
        <w:rPr>
          <w:i/>
          <w:iCs/>
        </w:rPr>
        <w:t>et al.</w:t>
      </w:r>
      <w:r w:rsidRPr="00C71FB6">
        <w:t>, “ANSI/RESNET/ICC 301-2022 - Standard for the Calculation and Labeling of the Energy Performance of Dwelling and Sleeping Units using an Energy Rating Index,” Oceanside, CA, 2022.</w:t>
      </w:r>
    </w:p>
    <w:p w14:paraId="33F7FD44" w14:textId="08A621B0" w:rsidR="00483FA5" w:rsidRPr="00483FA5" w:rsidRDefault="00483FA5" w:rsidP="00483FA5">
      <w:pPr>
        <w:pStyle w:val="NRELBodyText"/>
      </w:pPr>
      <w:r w:rsidRPr="00CA12D7">
        <w:fldChar w:fldCharType="end"/>
      </w:r>
    </w:p>
    <w:p w14:paraId="1D4ABD51" w14:textId="297B2429" w:rsidR="00F256F3" w:rsidRPr="00F256F3" w:rsidRDefault="00F256F3" w:rsidP="00F256F3"/>
    <w:sectPr w:rsidR="00F256F3" w:rsidRPr="00F256F3" w:rsidSect="008513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Kim, Janghyun" w:date="2023-08-14T14:15:00Z" w:initials="KJ">
    <w:p w14:paraId="3F47A833" w14:textId="77777777" w:rsidR="000A4743" w:rsidRDefault="000A4743" w:rsidP="000A4743">
      <w:pPr>
        <w:pStyle w:val="CommentText"/>
      </w:pPr>
      <w:r>
        <w:rPr>
          <w:rStyle w:val="CommentReference"/>
        </w:rPr>
        <w:annotationRef/>
      </w:r>
      <w:r>
        <w:t>This is 10k results. Update later with full run.</w:t>
      </w:r>
    </w:p>
  </w:comment>
  <w:comment w:id="18" w:author="Andrew Parker" w:date="2023-08-17T09:14:00Z" w:initials="AP">
    <w:p w14:paraId="3B0C9521" w14:textId="77777777" w:rsidR="000A4743" w:rsidRDefault="000A4743" w:rsidP="000A4743">
      <w:pPr>
        <w:pStyle w:val="CommentText"/>
      </w:pPr>
      <w:r>
        <w:rPr>
          <w:rStyle w:val="CommentReference"/>
        </w:rPr>
        <w:annotationRef/>
      </w:r>
      <w:r>
        <w:t>This "None" vent type category is weird, suggest removing from results since it has apparently zero electricity or site energy consumption.</w:t>
      </w:r>
    </w:p>
  </w:comment>
  <w:comment w:id="21" w:author="Kim, Janghyun" w:date="2023-08-14T14:22:00Z" w:initials="KJ">
    <w:p w14:paraId="6CC1DC57" w14:textId="77777777" w:rsidR="000A4743" w:rsidRDefault="000A4743" w:rsidP="000A4743">
      <w:pPr>
        <w:pStyle w:val="CommentText"/>
      </w:pPr>
      <w:r>
        <w:rPr>
          <w:rStyle w:val="CommentReference"/>
        </w:rPr>
        <w:annotationRef/>
      </w:r>
      <w:r>
        <w:t>This is 10k results. Update later with full run.</w:t>
      </w:r>
    </w:p>
  </w:comment>
  <w:comment w:id="24" w:author="Kim, Janghyun" w:date="2023-08-16T14:53:00Z" w:initials="KJ">
    <w:p w14:paraId="642EEF23" w14:textId="77777777" w:rsidR="000A4743" w:rsidRDefault="000A4743" w:rsidP="000A4743">
      <w:pPr>
        <w:pStyle w:val="CommentText"/>
      </w:pPr>
      <w:r>
        <w:rPr>
          <w:rStyle w:val="CommentReference"/>
        </w:rPr>
        <w:annotationRef/>
      </w:r>
      <w:r>
        <w:t xml:space="preserve">the impact will change if this change is reflected (figure currently not reflecting this change):  </w:t>
      </w:r>
      <w:hyperlink r:id="rId1" w:anchor="discussion_r1295175243" w:history="1">
        <w:r w:rsidRPr="0077351B">
          <w:rPr>
            <w:rStyle w:val="Hyperlink"/>
          </w:rPr>
          <w:t>https://github.com/NREL/comstock-internal/pull/204#discussion_r1295175243</w:t>
        </w:r>
      </w:hyperlink>
    </w:p>
  </w:comment>
  <w:comment w:id="27" w:author="Kim, Janghyun" w:date="2023-08-14T15:25:00Z" w:initials="KJ">
    <w:p w14:paraId="77990387" w14:textId="77777777" w:rsidR="000A4743" w:rsidRDefault="000A4743" w:rsidP="000A4743">
      <w:pPr>
        <w:pStyle w:val="CommentText"/>
      </w:pPr>
      <w:r>
        <w:rPr>
          <w:rStyle w:val="CommentReference"/>
        </w:rPr>
        <w:annotationRef/>
      </w:r>
      <w:r>
        <w:t>The impact of the fault is much less than expected. And I'm guessing it'd be in the same order even for the full run. I'm trying to think of a filtered data scenario, where the impact can stand out, but started to think the overall impact is just small with these two faults.</w:t>
      </w:r>
    </w:p>
  </w:comment>
  <w:comment w:id="28" w:author="Andrew Parker" w:date="2023-08-17T09:21:00Z" w:initials="AP">
    <w:p w14:paraId="44294EE0" w14:textId="77777777" w:rsidR="000A4743" w:rsidRDefault="000A4743" w:rsidP="000A4743">
      <w:pPr>
        <w:pStyle w:val="CommentText"/>
      </w:pPr>
      <w:r>
        <w:rPr>
          <w:rStyle w:val="CommentReference"/>
        </w:rPr>
        <w:annotationRef/>
      </w:r>
      <w:r>
        <w:t>You've checked the fault implementations in detail in individual test models. Wonder if instead of doing a comparison of totals you did a distribution of the pairwise comparison of percent change by building you'd find anything different?</w:t>
      </w:r>
    </w:p>
  </w:comment>
  <w:comment w:id="25" w:author="Kim, Janghyun" w:date="2023-08-14T15:21:00Z" w:initials="KJ">
    <w:p w14:paraId="7FC3B286" w14:textId="77777777" w:rsidR="000A4743" w:rsidRDefault="000A4743" w:rsidP="000A4743">
      <w:pPr>
        <w:pStyle w:val="CommentText"/>
      </w:pPr>
      <w:r>
        <w:rPr>
          <w:rStyle w:val="CommentReference"/>
        </w:rPr>
        <w:annotationRef/>
      </w:r>
      <w:r>
        <w:t>I don't think I'll do a full run to recreate this figure.</w:t>
      </w:r>
    </w:p>
  </w:comment>
  <w:comment w:id="26" w:author="Andrew Parker" w:date="2023-08-17T09:17:00Z" w:initials="AP">
    <w:p w14:paraId="11A4C601" w14:textId="77777777" w:rsidR="000A4743" w:rsidRDefault="000A4743" w:rsidP="000A4743">
      <w:pPr>
        <w:pStyle w:val="CommentText"/>
      </w:pPr>
      <w:r>
        <w:rPr>
          <w:rStyle w:val="CommentReference"/>
        </w:rPr>
        <w:annotationRef/>
      </w:r>
      <w:r>
        <w:t>Agree that it's not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47A833" w15:done="1"/>
  <w15:commentEx w15:paraId="3B0C9521" w15:paraIdParent="3F47A833" w15:done="1"/>
  <w15:commentEx w15:paraId="6CC1DC57" w15:done="1"/>
  <w15:commentEx w15:paraId="642EEF23" w15:done="1"/>
  <w15:commentEx w15:paraId="77990387" w15:done="0"/>
  <w15:commentEx w15:paraId="44294EE0" w15:paraIdParent="77990387" w15:done="0"/>
  <w15:commentEx w15:paraId="7FC3B286" w15:done="1"/>
  <w15:commentEx w15:paraId="11A4C601" w15:paraIdParent="7FC3B28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4B57C" w16cex:dateUtc="2023-08-14T20:15:00Z"/>
  <w16cex:commentExtensible w16cex:durableId="2888638A" w16cex:dateUtc="2023-08-17T15:14:00Z"/>
  <w16cex:commentExtensible w16cex:durableId="2884B716" w16cex:dateUtc="2023-08-14T20:22:00Z"/>
  <w16cex:commentExtensible w16cex:durableId="2887615D" w16cex:dateUtc="2023-08-16T20:53:00Z"/>
  <w16cex:commentExtensible w16cex:durableId="2884C5E6" w16cex:dateUtc="2023-08-14T21:25:00Z"/>
  <w16cex:commentExtensible w16cex:durableId="28886520" w16cex:dateUtc="2023-08-17T15:21:00Z"/>
  <w16cex:commentExtensible w16cex:durableId="2884C4EB" w16cex:dateUtc="2023-08-14T21:21:00Z"/>
  <w16cex:commentExtensible w16cex:durableId="28886437" w16cex:dateUtc="2023-08-17T1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47A833" w16cid:durableId="2884B57C"/>
  <w16cid:commentId w16cid:paraId="3B0C9521" w16cid:durableId="2888638A"/>
  <w16cid:commentId w16cid:paraId="6CC1DC57" w16cid:durableId="2884B716"/>
  <w16cid:commentId w16cid:paraId="642EEF23" w16cid:durableId="2887615D"/>
  <w16cid:commentId w16cid:paraId="77990387" w16cid:durableId="2884C5E6"/>
  <w16cid:commentId w16cid:paraId="44294EE0" w16cid:durableId="28886520"/>
  <w16cid:commentId w16cid:paraId="7FC3B286" w16cid:durableId="2884C4EB"/>
  <w16cid:commentId w16cid:paraId="11A4C601" w16cid:durableId="288864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Times">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C5628"/>
    <w:multiLevelType w:val="hybridMultilevel"/>
    <w:tmpl w:val="2D50A274"/>
    <w:lvl w:ilvl="0" w:tplc="6706CAE8">
      <w:start w:val="1"/>
      <w:numFmt w:val="upperLetter"/>
      <w:pStyle w:val="NRELList02"/>
      <w:lvlText w:val="%1."/>
      <w:lvlJc w:val="left"/>
      <w:pPr>
        <w:tabs>
          <w:tab w:val="num" w:pos="288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306347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m, Janghyun">
    <w15:presenceInfo w15:providerId="AD" w15:userId="S::jkim4@nrel.gov::d9e66135-10e3-4b01-8a09-fda625bfc385"/>
  </w15:person>
  <w15:person w15:author="Andrew Parker">
    <w15:presenceInfo w15:providerId="None" w15:userId="Andrew Park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DA"/>
    <w:rsid w:val="00000CD6"/>
    <w:rsid w:val="00002B5E"/>
    <w:rsid w:val="00006398"/>
    <w:rsid w:val="00012C33"/>
    <w:rsid w:val="000225A0"/>
    <w:rsid w:val="00030457"/>
    <w:rsid w:val="000309F3"/>
    <w:rsid w:val="000425A1"/>
    <w:rsid w:val="000426AA"/>
    <w:rsid w:val="000426B3"/>
    <w:rsid w:val="00045E16"/>
    <w:rsid w:val="000464C7"/>
    <w:rsid w:val="00050D28"/>
    <w:rsid w:val="00061321"/>
    <w:rsid w:val="00064CCE"/>
    <w:rsid w:val="0006578E"/>
    <w:rsid w:val="00066DB4"/>
    <w:rsid w:val="0006733A"/>
    <w:rsid w:val="00067797"/>
    <w:rsid w:val="000706DA"/>
    <w:rsid w:val="000751A6"/>
    <w:rsid w:val="00085B6F"/>
    <w:rsid w:val="00091A78"/>
    <w:rsid w:val="000A4743"/>
    <w:rsid w:val="000A60FB"/>
    <w:rsid w:val="000A7E7E"/>
    <w:rsid w:val="000B08D5"/>
    <w:rsid w:val="000B4BA6"/>
    <w:rsid w:val="000B4D6C"/>
    <w:rsid w:val="000D2F0F"/>
    <w:rsid w:val="000D759C"/>
    <w:rsid w:val="000F2417"/>
    <w:rsid w:val="000F4F4F"/>
    <w:rsid w:val="00100313"/>
    <w:rsid w:val="00102140"/>
    <w:rsid w:val="00102687"/>
    <w:rsid w:val="001139D5"/>
    <w:rsid w:val="001207FE"/>
    <w:rsid w:val="00130D00"/>
    <w:rsid w:val="00134AE1"/>
    <w:rsid w:val="001366B0"/>
    <w:rsid w:val="00143E08"/>
    <w:rsid w:val="00146B80"/>
    <w:rsid w:val="0015020E"/>
    <w:rsid w:val="0015163C"/>
    <w:rsid w:val="001525B1"/>
    <w:rsid w:val="00157447"/>
    <w:rsid w:val="00160E30"/>
    <w:rsid w:val="00163F05"/>
    <w:rsid w:val="00174BF7"/>
    <w:rsid w:val="001820D2"/>
    <w:rsid w:val="00183517"/>
    <w:rsid w:val="00184E5A"/>
    <w:rsid w:val="00186AE9"/>
    <w:rsid w:val="00191A2C"/>
    <w:rsid w:val="00191E37"/>
    <w:rsid w:val="001928E1"/>
    <w:rsid w:val="001A1573"/>
    <w:rsid w:val="001A6ACC"/>
    <w:rsid w:val="001B05C5"/>
    <w:rsid w:val="001B2F40"/>
    <w:rsid w:val="001B3A8A"/>
    <w:rsid w:val="001B45A0"/>
    <w:rsid w:val="001B6509"/>
    <w:rsid w:val="001C1F24"/>
    <w:rsid w:val="001C4F03"/>
    <w:rsid w:val="001C7D67"/>
    <w:rsid w:val="001D7469"/>
    <w:rsid w:val="001E03EB"/>
    <w:rsid w:val="001E2FCE"/>
    <w:rsid w:val="001E54B0"/>
    <w:rsid w:val="001E6D61"/>
    <w:rsid w:val="001F308B"/>
    <w:rsid w:val="001F4033"/>
    <w:rsid w:val="001F6154"/>
    <w:rsid w:val="00202CDB"/>
    <w:rsid w:val="00233D02"/>
    <w:rsid w:val="00233E61"/>
    <w:rsid w:val="00234023"/>
    <w:rsid w:val="00243F81"/>
    <w:rsid w:val="002507CE"/>
    <w:rsid w:val="002523A1"/>
    <w:rsid w:val="00255EFE"/>
    <w:rsid w:val="002562CF"/>
    <w:rsid w:val="00256DB9"/>
    <w:rsid w:val="00260883"/>
    <w:rsid w:val="00260933"/>
    <w:rsid w:val="00271F8F"/>
    <w:rsid w:val="002733D4"/>
    <w:rsid w:val="002868A6"/>
    <w:rsid w:val="002902D2"/>
    <w:rsid w:val="00293D75"/>
    <w:rsid w:val="00294658"/>
    <w:rsid w:val="00297B13"/>
    <w:rsid w:val="002A2D0A"/>
    <w:rsid w:val="002B1D8F"/>
    <w:rsid w:val="002C21B1"/>
    <w:rsid w:val="002C60B7"/>
    <w:rsid w:val="002C6EF8"/>
    <w:rsid w:val="002D12C3"/>
    <w:rsid w:val="002E15EC"/>
    <w:rsid w:val="002E47C8"/>
    <w:rsid w:val="002E4A17"/>
    <w:rsid w:val="002E5B00"/>
    <w:rsid w:val="002E727A"/>
    <w:rsid w:val="002F124D"/>
    <w:rsid w:val="002F3D06"/>
    <w:rsid w:val="002F77A5"/>
    <w:rsid w:val="003008A8"/>
    <w:rsid w:val="00305D09"/>
    <w:rsid w:val="003125B0"/>
    <w:rsid w:val="0031261E"/>
    <w:rsid w:val="003232AE"/>
    <w:rsid w:val="00326144"/>
    <w:rsid w:val="00330439"/>
    <w:rsid w:val="00337DEB"/>
    <w:rsid w:val="003424FC"/>
    <w:rsid w:val="00343582"/>
    <w:rsid w:val="003477E5"/>
    <w:rsid w:val="003550F5"/>
    <w:rsid w:val="00356925"/>
    <w:rsid w:val="00361F65"/>
    <w:rsid w:val="0036204E"/>
    <w:rsid w:val="00362220"/>
    <w:rsid w:val="00362E78"/>
    <w:rsid w:val="003660BB"/>
    <w:rsid w:val="0036619C"/>
    <w:rsid w:val="00366751"/>
    <w:rsid w:val="0037231B"/>
    <w:rsid w:val="00372986"/>
    <w:rsid w:val="003767C2"/>
    <w:rsid w:val="00382CB2"/>
    <w:rsid w:val="003861C7"/>
    <w:rsid w:val="003878D8"/>
    <w:rsid w:val="0039042D"/>
    <w:rsid w:val="00391FF2"/>
    <w:rsid w:val="00395E2E"/>
    <w:rsid w:val="00396486"/>
    <w:rsid w:val="003A4503"/>
    <w:rsid w:val="003B310E"/>
    <w:rsid w:val="003B54E6"/>
    <w:rsid w:val="003C5698"/>
    <w:rsid w:val="003C7255"/>
    <w:rsid w:val="003D21AF"/>
    <w:rsid w:val="003E6AB9"/>
    <w:rsid w:val="003F32B5"/>
    <w:rsid w:val="003F3EFA"/>
    <w:rsid w:val="003F633E"/>
    <w:rsid w:val="00400420"/>
    <w:rsid w:val="0040067B"/>
    <w:rsid w:val="00403948"/>
    <w:rsid w:val="00403BBD"/>
    <w:rsid w:val="004108E5"/>
    <w:rsid w:val="00413778"/>
    <w:rsid w:val="00415C7A"/>
    <w:rsid w:val="0042670A"/>
    <w:rsid w:val="004344AA"/>
    <w:rsid w:val="004371B2"/>
    <w:rsid w:val="00437A84"/>
    <w:rsid w:val="00447513"/>
    <w:rsid w:val="00447E11"/>
    <w:rsid w:val="00451F1D"/>
    <w:rsid w:val="00457296"/>
    <w:rsid w:val="00457745"/>
    <w:rsid w:val="00460077"/>
    <w:rsid w:val="00463AF6"/>
    <w:rsid w:val="00466C86"/>
    <w:rsid w:val="0047279D"/>
    <w:rsid w:val="00472860"/>
    <w:rsid w:val="00475F37"/>
    <w:rsid w:val="004826D7"/>
    <w:rsid w:val="00483FA5"/>
    <w:rsid w:val="004908B7"/>
    <w:rsid w:val="0049378B"/>
    <w:rsid w:val="004A050C"/>
    <w:rsid w:val="004A1BE9"/>
    <w:rsid w:val="004A29C9"/>
    <w:rsid w:val="004A2C06"/>
    <w:rsid w:val="004A4066"/>
    <w:rsid w:val="004A5EAA"/>
    <w:rsid w:val="004A72E5"/>
    <w:rsid w:val="004B2E90"/>
    <w:rsid w:val="004B34CB"/>
    <w:rsid w:val="004C0506"/>
    <w:rsid w:val="004C06DE"/>
    <w:rsid w:val="004D1FF5"/>
    <w:rsid w:val="004D75E4"/>
    <w:rsid w:val="004D7D2F"/>
    <w:rsid w:val="004E07B6"/>
    <w:rsid w:val="004E0ED7"/>
    <w:rsid w:val="004E786D"/>
    <w:rsid w:val="004F2110"/>
    <w:rsid w:val="004F3881"/>
    <w:rsid w:val="004F43BA"/>
    <w:rsid w:val="004F604F"/>
    <w:rsid w:val="00506AB3"/>
    <w:rsid w:val="00510E6F"/>
    <w:rsid w:val="005112B5"/>
    <w:rsid w:val="005134C1"/>
    <w:rsid w:val="00513EF8"/>
    <w:rsid w:val="00516723"/>
    <w:rsid w:val="00517A01"/>
    <w:rsid w:val="00520531"/>
    <w:rsid w:val="00531887"/>
    <w:rsid w:val="00533A53"/>
    <w:rsid w:val="00535514"/>
    <w:rsid w:val="00535F3A"/>
    <w:rsid w:val="00537CB7"/>
    <w:rsid w:val="00541E18"/>
    <w:rsid w:val="00542EFD"/>
    <w:rsid w:val="00544838"/>
    <w:rsid w:val="00544C80"/>
    <w:rsid w:val="0055462A"/>
    <w:rsid w:val="00555B89"/>
    <w:rsid w:val="00560F56"/>
    <w:rsid w:val="00562C60"/>
    <w:rsid w:val="005670C5"/>
    <w:rsid w:val="00574B8B"/>
    <w:rsid w:val="00574C14"/>
    <w:rsid w:val="0058067E"/>
    <w:rsid w:val="005948C7"/>
    <w:rsid w:val="00595752"/>
    <w:rsid w:val="005A7723"/>
    <w:rsid w:val="005B4A06"/>
    <w:rsid w:val="005C0121"/>
    <w:rsid w:val="005C1729"/>
    <w:rsid w:val="005C172C"/>
    <w:rsid w:val="005C5246"/>
    <w:rsid w:val="005C65B9"/>
    <w:rsid w:val="005D1D38"/>
    <w:rsid w:val="005D782A"/>
    <w:rsid w:val="005E7EA0"/>
    <w:rsid w:val="005F1B39"/>
    <w:rsid w:val="005F34E7"/>
    <w:rsid w:val="005F65F3"/>
    <w:rsid w:val="0062260E"/>
    <w:rsid w:val="006230A5"/>
    <w:rsid w:val="00624170"/>
    <w:rsid w:val="00634678"/>
    <w:rsid w:val="00640E16"/>
    <w:rsid w:val="0064465F"/>
    <w:rsid w:val="006446D5"/>
    <w:rsid w:val="00645DC4"/>
    <w:rsid w:val="006526A3"/>
    <w:rsid w:val="00653FC2"/>
    <w:rsid w:val="006540BB"/>
    <w:rsid w:val="0065501D"/>
    <w:rsid w:val="0065742E"/>
    <w:rsid w:val="00664E13"/>
    <w:rsid w:val="006653EE"/>
    <w:rsid w:val="006671DA"/>
    <w:rsid w:val="00667563"/>
    <w:rsid w:val="006707D4"/>
    <w:rsid w:val="006902DC"/>
    <w:rsid w:val="0069479D"/>
    <w:rsid w:val="00695D9E"/>
    <w:rsid w:val="0069641E"/>
    <w:rsid w:val="00696ACF"/>
    <w:rsid w:val="006A413D"/>
    <w:rsid w:val="006A43DE"/>
    <w:rsid w:val="006A640A"/>
    <w:rsid w:val="006B58FE"/>
    <w:rsid w:val="006B597A"/>
    <w:rsid w:val="006B7619"/>
    <w:rsid w:val="006C124C"/>
    <w:rsid w:val="006C27E8"/>
    <w:rsid w:val="006C2D7F"/>
    <w:rsid w:val="006C4816"/>
    <w:rsid w:val="006D437A"/>
    <w:rsid w:val="006D6162"/>
    <w:rsid w:val="006D628C"/>
    <w:rsid w:val="006D77C9"/>
    <w:rsid w:val="006E777C"/>
    <w:rsid w:val="006F346E"/>
    <w:rsid w:val="006F4F14"/>
    <w:rsid w:val="006F6EB0"/>
    <w:rsid w:val="006F6ED3"/>
    <w:rsid w:val="007041C4"/>
    <w:rsid w:val="00717695"/>
    <w:rsid w:val="00717F96"/>
    <w:rsid w:val="007237BE"/>
    <w:rsid w:val="007319C0"/>
    <w:rsid w:val="00734EDD"/>
    <w:rsid w:val="00740982"/>
    <w:rsid w:val="00745512"/>
    <w:rsid w:val="00745AEF"/>
    <w:rsid w:val="0074668F"/>
    <w:rsid w:val="00750A78"/>
    <w:rsid w:val="00761CA4"/>
    <w:rsid w:val="00762B90"/>
    <w:rsid w:val="00766549"/>
    <w:rsid w:val="00771DC3"/>
    <w:rsid w:val="00772BC6"/>
    <w:rsid w:val="0077773C"/>
    <w:rsid w:val="0078157C"/>
    <w:rsid w:val="0078233E"/>
    <w:rsid w:val="00782C7A"/>
    <w:rsid w:val="0079147D"/>
    <w:rsid w:val="007929EF"/>
    <w:rsid w:val="00794028"/>
    <w:rsid w:val="00796D00"/>
    <w:rsid w:val="007A1A3C"/>
    <w:rsid w:val="007A25A0"/>
    <w:rsid w:val="007A4971"/>
    <w:rsid w:val="007B15C8"/>
    <w:rsid w:val="007B565A"/>
    <w:rsid w:val="007C00CB"/>
    <w:rsid w:val="007C1BF0"/>
    <w:rsid w:val="007C21B2"/>
    <w:rsid w:val="007C33A3"/>
    <w:rsid w:val="007C6B43"/>
    <w:rsid w:val="007D0D55"/>
    <w:rsid w:val="007D1104"/>
    <w:rsid w:val="007D5D9F"/>
    <w:rsid w:val="007E2B74"/>
    <w:rsid w:val="007E30C9"/>
    <w:rsid w:val="007E61C8"/>
    <w:rsid w:val="007F097C"/>
    <w:rsid w:val="007F338C"/>
    <w:rsid w:val="007F41B6"/>
    <w:rsid w:val="00800D88"/>
    <w:rsid w:val="00804431"/>
    <w:rsid w:val="00804C3D"/>
    <w:rsid w:val="00805CF4"/>
    <w:rsid w:val="00814C81"/>
    <w:rsid w:val="008177AF"/>
    <w:rsid w:val="00821A4F"/>
    <w:rsid w:val="00822B2E"/>
    <w:rsid w:val="00823065"/>
    <w:rsid w:val="008259FA"/>
    <w:rsid w:val="00827468"/>
    <w:rsid w:val="00831B87"/>
    <w:rsid w:val="00832590"/>
    <w:rsid w:val="008413EB"/>
    <w:rsid w:val="008435F7"/>
    <w:rsid w:val="0084704E"/>
    <w:rsid w:val="008508E6"/>
    <w:rsid w:val="008513DD"/>
    <w:rsid w:val="00852151"/>
    <w:rsid w:val="00860320"/>
    <w:rsid w:val="0086041A"/>
    <w:rsid w:val="00863161"/>
    <w:rsid w:val="00870931"/>
    <w:rsid w:val="00882D9D"/>
    <w:rsid w:val="00894F69"/>
    <w:rsid w:val="008A0A6A"/>
    <w:rsid w:val="008A2AB4"/>
    <w:rsid w:val="008A31E1"/>
    <w:rsid w:val="008A4F73"/>
    <w:rsid w:val="008A6972"/>
    <w:rsid w:val="008B4655"/>
    <w:rsid w:val="008B6DDA"/>
    <w:rsid w:val="008C5404"/>
    <w:rsid w:val="008C629D"/>
    <w:rsid w:val="008C644A"/>
    <w:rsid w:val="008D52AD"/>
    <w:rsid w:val="008D61C8"/>
    <w:rsid w:val="008D7E8B"/>
    <w:rsid w:val="008E1F99"/>
    <w:rsid w:val="008E30CA"/>
    <w:rsid w:val="008E4171"/>
    <w:rsid w:val="008E4232"/>
    <w:rsid w:val="008E73CF"/>
    <w:rsid w:val="008F34E4"/>
    <w:rsid w:val="008F4EC3"/>
    <w:rsid w:val="00906852"/>
    <w:rsid w:val="00916529"/>
    <w:rsid w:val="00930408"/>
    <w:rsid w:val="00933572"/>
    <w:rsid w:val="00933941"/>
    <w:rsid w:val="0093621B"/>
    <w:rsid w:val="0094164D"/>
    <w:rsid w:val="00943AF8"/>
    <w:rsid w:val="009452E2"/>
    <w:rsid w:val="00947D8E"/>
    <w:rsid w:val="009522B7"/>
    <w:rsid w:val="00954176"/>
    <w:rsid w:val="00956552"/>
    <w:rsid w:val="00960F27"/>
    <w:rsid w:val="00963F7B"/>
    <w:rsid w:val="00970031"/>
    <w:rsid w:val="00973B1F"/>
    <w:rsid w:val="00975A3D"/>
    <w:rsid w:val="00982944"/>
    <w:rsid w:val="009849B9"/>
    <w:rsid w:val="00993019"/>
    <w:rsid w:val="00995B52"/>
    <w:rsid w:val="00997A1C"/>
    <w:rsid w:val="009A2BBA"/>
    <w:rsid w:val="009A6F36"/>
    <w:rsid w:val="009B15FB"/>
    <w:rsid w:val="009B67E6"/>
    <w:rsid w:val="009C2713"/>
    <w:rsid w:val="009D09E1"/>
    <w:rsid w:val="009D17ED"/>
    <w:rsid w:val="009D4F92"/>
    <w:rsid w:val="009E443C"/>
    <w:rsid w:val="009F27BB"/>
    <w:rsid w:val="009F383A"/>
    <w:rsid w:val="00A02B68"/>
    <w:rsid w:val="00A039BC"/>
    <w:rsid w:val="00A040BC"/>
    <w:rsid w:val="00A04C90"/>
    <w:rsid w:val="00A0581E"/>
    <w:rsid w:val="00A06400"/>
    <w:rsid w:val="00A070FE"/>
    <w:rsid w:val="00A132D5"/>
    <w:rsid w:val="00A135BA"/>
    <w:rsid w:val="00A13D1D"/>
    <w:rsid w:val="00A14363"/>
    <w:rsid w:val="00A17141"/>
    <w:rsid w:val="00A17DC5"/>
    <w:rsid w:val="00A2003E"/>
    <w:rsid w:val="00A35ABC"/>
    <w:rsid w:val="00A40885"/>
    <w:rsid w:val="00A4221E"/>
    <w:rsid w:val="00A51186"/>
    <w:rsid w:val="00A527CE"/>
    <w:rsid w:val="00A60C46"/>
    <w:rsid w:val="00A659D0"/>
    <w:rsid w:val="00A66266"/>
    <w:rsid w:val="00A7198F"/>
    <w:rsid w:val="00A761F6"/>
    <w:rsid w:val="00A76EB8"/>
    <w:rsid w:val="00A77BFC"/>
    <w:rsid w:val="00A824E2"/>
    <w:rsid w:val="00A82C50"/>
    <w:rsid w:val="00A84A39"/>
    <w:rsid w:val="00A900C2"/>
    <w:rsid w:val="00A907DA"/>
    <w:rsid w:val="00A92252"/>
    <w:rsid w:val="00A9403B"/>
    <w:rsid w:val="00A95828"/>
    <w:rsid w:val="00A97639"/>
    <w:rsid w:val="00A97753"/>
    <w:rsid w:val="00AA030C"/>
    <w:rsid w:val="00AB6A1C"/>
    <w:rsid w:val="00AB7B19"/>
    <w:rsid w:val="00AC66EC"/>
    <w:rsid w:val="00AD1E76"/>
    <w:rsid w:val="00AD4976"/>
    <w:rsid w:val="00AD4FFD"/>
    <w:rsid w:val="00AD65BE"/>
    <w:rsid w:val="00AE2850"/>
    <w:rsid w:val="00AF3B84"/>
    <w:rsid w:val="00AF6555"/>
    <w:rsid w:val="00AF6A2E"/>
    <w:rsid w:val="00B07249"/>
    <w:rsid w:val="00B10DDD"/>
    <w:rsid w:val="00B22015"/>
    <w:rsid w:val="00B237C0"/>
    <w:rsid w:val="00B257A8"/>
    <w:rsid w:val="00B309AE"/>
    <w:rsid w:val="00B35F80"/>
    <w:rsid w:val="00B37C5B"/>
    <w:rsid w:val="00B47E60"/>
    <w:rsid w:val="00B50A55"/>
    <w:rsid w:val="00B51DB9"/>
    <w:rsid w:val="00B55738"/>
    <w:rsid w:val="00B55A63"/>
    <w:rsid w:val="00B57B3D"/>
    <w:rsid w:val="00B63655"/>
    <w:rsid w:val="00B64BFC"/>
    <w:rsid w:val="00B70204"/>
    <w:rsid w:val="00B7428D"/>
    <w:rsid w:val="00B74B5F"/>
    <w:rsid w:val="00B841F3"/>
    <w:rsid w:val="00B92A6F"/>
    <w:rsid w:val="00B97120"/>
    <w:rsid w:val="00BA275C"/>
    <w:rsid w:val="00BA7123"/>
    <w:rsid w:val="00BB5A38"/>
    <w:rsid w:val="00BC1C8C"/>
    <w:rsid w:val="00BC47C1"/>
    <w:rsid w:val="00BC63D4"/>
    <w:rsid w:val="00BD6F7B"/>
    <w:rsid w:val="00BD7612"/>
    <w:rsid w:val="00BE0743"/>
    <w:rsid w:val="00BE15D5"/>
    <w:rsid w:val="00BE1672"/>
    <w:rsid w:val="00BE2290"/>
    <w:rsid w:val="00BE52B0"/>
    <w:rsid w:val="00BE745B"/>
    <w:rsid w:val="00BF0B10"/>
    <w:rsid w:val="00BF2CE3"/>
    <w:rsid w:val="00BF2DDA"/>
    <w:rsid w:val="00C028D3"/>
    <w:rsid w:val="00C108FC"/>
    <w:rsid w:val="00C14F2F"/>
    <w:rsid w:val="00C150B8"/>
    <w:rsid w:val="00C15477"/>
    <w:rsid w:val="00C1709E"/>
    <w:rsid w:val="00C2435C"/>
    <w:rsid w:val="00C32D25"/>
    <w:rsid w:val="00C36AC8"/>
    <w:rsid w:val="00C37D38"/>
    <w:rsid w:val="00C40432"/>
    <w:rsid w:val="00C413EC"/>
    <w:rsid w:val="00C42222"/>
    <w:rsid w:val="00C43FE9"/>
    <w:rsid w:val="00C524B7"/>
    <w:rsid w:val="00C53C41"/>
    <w:rsid w:val="00C57D7E"/>
    <w:rsid w:val="00C619B6"/>
    <w:rsid w:val="00C72233"/>
    <w:rsid w:val="00C73572"/>
    <w:rsid w:val="00C7595F"/>
    <w:rsid w:val="00C77F17"/>
    <w:rsid w:val="00C83FA9"/>
    <w:rsid w:val="00C917F3"/>
    <w:rsid w:val="00C939DA"/>
    <w:rsid w:val="00C95E3E"/>
    <w:rsid w:val="00C95FE7"/>
    <w:rsid w:val="00C96E9F"/>
    <w:rsid w:val="00CA78E2"/>
    <w:rsid w:val="00CB6362"/>
    <w:rsid w:val="00CC3322"/>
    <w:rsid w:val="00CE134A"/>
    <w:rsid w:val="00CE2F7C"/>
    <w:rsid w:val="00CE74F5"/>
    <w:rsid w:val="00CF6082"/>
    <w:rsid w:val="00D03937"/>
    <w:rsid w:val="00D04F21"/>
    <w:rsid w:val="00D065FA"/>
    <w:rsid w:val="00D11965"/>
    <w:rsid w:val="00D17C45"/>
    <w:rsid w:val="00D229D8"/>
    <w:rsid w:val="00D30583"/>
    <w:rsid w:val="00D34EED"/>
    <w:rsid w:val="00D37011"/>
    <w:rsid w:val="00D407E4"/>
    <w:rsid w:val="00D40AC8"/>
    <w:rsid w:val="00D4170B"/>
    <w:rsid w:val="00D417DB"/>
    <w:rsid w:val="00D42715"/>
    <w:rsid w:val="00D4725F"/>
    <w:rsid w:val="00D502B0"/>
    <w:rsid w:val="00D5221C"/>
    <w:rsid w:val="00D5298C"/>
    <w:rsid w:val="00D52BA8"/>
    <w:rsid w:val="00D575D2"/>
    <w:rsid w:val="00D60F4A"/>
    <w:rsid w:val="00D61A47"/>
    <w:rsid w:val="00D74DEA"/>
    <w:rsid w:val="00D7581E"/>
    <w:rsid w:val="00D7663C"/>
    <w:rsid w:val="00D80E7F"/>
    <w:rsid w:val="00D8225C"/>
    <w:rsid w:val="00D8524D"/>
    <w:rsid w:val="00D95A00"/>
    <w:rsid w:val="00D96FB3"/>
    <w:rsid w:val="00DA54C7"/>
    <w:rsid w:val="00DA6225"/>
    <w:rsid w:val="00DB64F6"/>
    <w:rsid w:val="00DB78D1"/>
    <w:rsid w:val="00DC1605"/>
    <w:rsid w:val="00DC41DA"/>
    <w:rsid w:val="00DC6105"/>
    <w:rsid w:val="00DD369F"/>
    <w:rsid w:val="00DD4E02"/>
    <w:rsid w:val="00DD68B2"/>
    <w:rsid w:val="00DF1A88"/>
    <w:rsid w:val="00DF27E1"/>
    <w:rsid w:val="00DF335A"/>
    <w:rsid w:val="00E04AC3"/>
    <w:rsid w:val="00E05CA1"/>
    <w:rsid w:val="00E07D5F"/>
    <w:rsid w:val="00E10072"/>
    <w:rsid w:val="00E14819"/>
    <w:rsid w:val="00E14B40"/>
    <w:rsid w:val="00E234B4"/>
    <w:rsid w:val="00E34D99"/>
    <w:rsid w:val="00E3733C"/>
    <w:rsid w:val="00E42BAF"/>
    <w:rsid w:val="00E54FB3"/>
    <w:rsid w:val="00E558DA"/>
    <w:rsid w:val="00E56DCB"/>
    <w:rsid w:val="00E641C0"/>
    <w:rsid w:val="00E65EED"/>
    <w:rsid w:val="00E674A6"/>
    <w:rsid w:val="00E67909"/>
    <w:rsid w:val="00E70A28"/>
    <w:rsid w:val="00E715C9"/>
    <w:rsid w:val="00E75BEB"/>
    <w:rsid w:val="00E812C6"/>
    <w:rsid w:val="00E83D05"/>
    <w:rsid w:val="00E87CD2"/>
    <w:rsid w:val="00E9471A"/>
    <w:rsid w:val="00E9485C"/>
    <w:rsid w:val="00EA22ED"/>
    <w:rsid w:val="00EA5CE9"/>
    <w:rsid w:val="00EA6042"/>
    <w:rsid w:val="00EA6356"/>
    <w:rsid w:val="00EA790E"/>
    <w:rsid w:val="00EB2BC3"/>
    <w:rsid w:val="00EC1019"/>
    <w:rsid w:val="00EC6649"/>
    <w:rsid w:val="00ED0F7E"/>
    <w:rsid w:val="00ED2D2B"/>
    <w:rsid w:val="00ED588B"/>
    <w:rsid w:val="00ED6221"/>
    <w:rsid w:val="00ED642C"/>
    <w:rsid w:val="00ED6C98"/>
    <w:rsid w:val="00ED7474"/>
    <w:rsid w:val="00EE3D98"/>
    <w:rsid w:val="00EE467B"/>
    <w:rsid w:val="00EF0B57"/>
    <w:rsid w:val="00EF2BDC"/>
    <w:rsid w:val="00EF4C7F"/>
    <w:rsid w:val="00EF51AB"/>
    <w:rsid w:val="00EF5F7F"/>
    <w:rsid w:val="00F0078F"/>
    <w:rsid w:val="00F0343C"/>
    <w:rsid w:val="00F04A65"/>
    <w:rsid w:val="00F05818"/>
    <w:rsid w:val="00F10E43"/>
    <w:rsid w:val="00F12CE8"/>
    <w:rsid w:val="00F15E22"/>
    <w:rsid w:val="00F23359"/>
    <w:rsid w:val="00F256F3"/>
    <w:rsid w:val="00F269CD"/>
    <w:rsid w:val="00F26B9E"/>
    <w:rsid w:val="00F30EC6"/>
    <w:rsid w:val="00F31460"/>
    <w:rsid w:val="00F32871"/>
    <w:rsid w:val="00F33770"/>
    <w:rsid w:val="00F405B3"/>
    <w:rsid w:val="00F40F40"/>
    <w:rsid w:val="00F45404"/>
    <w:rsid w:val="00F45C32"/>
    <w:rsid w:val="00F56781"/>
    <w:rsid w:val="00F6438D"/>
    <w:rsid w:val="00F66BC9"/>
    <w:rsid w:val="00F67D6A"/>
    <w:rsid w:val="00F700B0"/>
    <w:rsid w:val="00F756F2"/>
    <w:rsid w:val="00F77696"/>
    <w:rsid w:val="00F954C7"/>
    <w:rsid w:val="00F97ECF"/>
    <w:rsid w:val="00FA3151"/>
    <w:rsid w:val="00FA5297"/>
    <w:rsid w:val="00FB1591"/>
    <w:rsid w:val="00FC34B1"/>
    <w:rsid w:val="00FC37E5"/>
    <w:rsid w:val="00FD1EEA"/>
    <w:rsid w:val="00FD2974"/>
    <w:rsid w:val="00FD525A"/>
    <w:rsid w:val="00FD5EB3"/>
    <w:rsid w:val="00FE3C8D"/>
    <w:rsid w:val="00FF603D"/>
    <w:rsid w:val="00FF76D6"/>
    <w:rsid w:val="01E4B9E5"/>
    <w:rsid w:val="01FF6A46"/>
    <w:rsid w:val="02AF1F8B"/>
    <w:rsid w:val="03792097"/>
    <w:rsid w:val="03808A46"/>
    <w:rsid w:val="0465D322"/>
    <w:rsid w:val="0519BF5E"/>
    <w:rsid w:val="05F633BC"/>
    <w:rsid w:val="06E9373B"/>
    <w:rsid w:val="07AD75FF"/>
    <w:rsid w:val="07EFB5FA"/>
    <w:rsid w:val="0902BAB9"/>
    <w:rsid w:val="0915B5EF"/>
    <w:rsid w:val="09B8D3E8"/>
    <w:rsid w:val="09CF39BE"/>
    <w:rsid w:val="0A5BC75A"/>
    <w:rsid w:val="0A8BE726"/>
    <w:rsid w:val="0B170C71"/>
    <w:rsid w:val="0C5CCA20"/>
    <w:rsid w:val="0C888531"/>
    <w:rsid w:val="0CFF0196"/>
    <w:rsid w:val="0D8F9455"/>
    <w:rsid w:val="0DD7F6D1"/>
    <w:rsid w:val="0E087CA8"/>
    <w:rsid w:val="0FB65CD5"/>
    <w:rsid w:val="10D1E5C6"/>
    <w:rsid w:val="113856C6"/>
    <w:rsid w:val="12158E10"/>
    <w:rsid w:val="1303CBF5"/>
    <w:rsid w:val="132702E3"/>
    <w:rsid w:val="13DE2019"/>
    <w:rsid w:val="14A52164"/>
    <w:rsid w:val="154D2ED2"/>
    <w:rsid w:val="1563C8EC"/>
    <w:rsid w:val="1627C968"/>
    <w:rsid w:val="169D91A2"/>
    <w:rsid w:val="1796B432"/>
    <w:rsid w:val="17A8E968"/>
    <w:rsid w:val="17C399C9"/>
    <w:rsid w:val="19789287"/>
    <w:rsid w:val="19ED4B0E"/>
    <w:rsid w:val="1A3E84A6"/>
    <w:rsid w:val="1ACB1BCF"/>
    <w:rsid w:val="1B75DCC7"/>
    <w:rsid w:val="1D0B5864"/>
    <w:rsid w:val="1D10FC1A"/>
    <w:rsid w:val="1D357B92"/>
    <w:rsid w:val="1E10C13D"/>
    <w:rsid w:val="1ED97666"/>
    <w:rsid w:val="204626BC"/>
    <w:rsid w:val="214FCBAE"/>
    <w:rsid w:val="216A7C0F"/>
    <w:rsid w:val="2398FBBA"/>
    <w:rsid w:val="2581AF95"/>
    <w:rsid w:val="25A3F243"/>
    <w:rsid w:val="2634506A"/>
    <w:rsid w:val="26CBCE16"/>
    <w:rsid w:val="271D7FF6"/>
    <w:rsid w:val="27D020CB"/>
    <w:rsid w:val="27DF800A"/>
    <w:rsid w:val="286C6CDD"/>
    <w:rsid w:val="28841383"/>
    <w:rsid w:val="297D7B7A"/>
    <w:rsid w:val="2A036ED8"/>
    <w:rsid w:val="2A111CDF"/>
    <w:rsid w:val="2A22664E"/>
    <w:rsid w:val="2A5421EA"/>
    <w:rsid w:val="2B1720CC"/>
    <w:rsid w:val="2BB7BC81"/>
    <w:rsid w:val="2C031F06"/>
    <w:rsid w:val="2C9BF3DF"/>
    <w:rsid w:val="3154B4A1"/>
    <w:rsid w:val="31A8946E"/>
    <w:rsid w:val="33426A43"/>
    <w:rsid w:val="3484EBB4"/>
    <w:rsid w:val="37DC6FCB"/>
    <w:rsid w:val="37F7CEE3"/>
    <w:rsid w:val="390EE6FD"/>
    <w:rsid w:val="39585CD7"/>
    <w:rsid w:val="399B8C6E"/>
    <w:rsid w:val="3A5F677B"/>
    <w:rsid w:val="3AA02F8A"/>
    <w:rsid w:val="3AAB0769"/>
    <w:rsid w:val="3BFB37DC"/>
    <w:rsid w:val="3CCB4006"/>
    <w:rsid w:val="3EEC8D47"/>
    <w:rsid w:val="3F2882A0"/>
    <w:rsid w:val="3F39BD77"/>
    <w:rsid w:val="3FCC6CC1"/>
    <w:rsid w:val="404AE23F"/>
    <w:rsid w:val="4158F78C"/>
    <w:rsid w:val="417BEC04"/>
    <w:rsid w:val="419EB129"/>
    <w:rsid w:val="41AC96F1"/>
    <w:rsid w:val="4234264D"/>
    <w:rsid w:val="423B7EEC"/>
    <w:rsid w:val="42C534A9"/>
    <w:rsid w:val="433F2FF3"/>
    <w:rsid w:val="43FBF3C3"/>
    <w:rsid w:val="450B6E3F"/>
    <w:rsid w:val="45867F9E"/>
    <w:rsid w:val="46C06FF6"/>
    <w:rsid w:val="4729E192"/>
    <w:rsid w:val="4732EB96"/>
    <w:rsid w:val="474CBCE2"/>
    <w:rsid w:val="47A6FD04"/>
    <w:rsid w:val="48CF64E6"/>
    <w:rsid w:val="4900AC8B"/>
    <w:rsid w:val="4986FDE9"/>
    <w:rsid w:val="498DB020"/>
    <w:rsid w:val="49AB9DDA"/>
    <w:rsid w:val="4A3E428C"/>
    <w:rsid w:val="4A7DD4FC"/>
    <w:rsid w:val="4A845DA4"/>
    <w:rsid w:val="4C0705A8"/>
    <w:rsid w:val="4C6EC9DF"/>
    <w:rsid w:val="4DA217B9"/>
    <w:rsid w:val="4DB7E4EE"/>
    <w:rsid w:val="4DFAF176"/>
    <w:rsid w:val="4F35B4B7"/>
    <w:rsid w:val="505334FF"/>
    <w:rsid w:val="5309CE59"/>
    <w:rsid w:val="536310AA"/>
    <w:rsid w:val="53EFFD7D"/>
    <w:rsid w:val="540957B0"/>
    <w:rsid w:val="55711DE3"/>
    <w:rsid w:val="56397B67"/>
    <w:rsid w:val="5698B90E"/>
    <w:rsid w:val="56BEE3BA"/>
    <w:rsid w:val="5749B84F"/>
    <w:rsid w:val="5762E0AC"/>
    <w:rsid w:val="57AAE223"/>
    <w:rsid w:val="58D2C5D5"/>
    <w:rsid w:val="59092EDD"/>
    <w:rsid w:val="59313E35"/>
    <w:rsid w:val="5A6279D9"/>
    <w:rsid w:val="5B14085B"/>
    <w:rsid w:val="5B72F0F5"/>
    <w:rsid w:val="5BB03D95"/>
    <w:rsid w:val="5BB5E14B"/>
    <w:rsid w:val="5BC1BC0F"/>
    <w:rsid w:val="5C0A6697"/>
    <w:rsid w:val="5C138CAA"/>
    <w:rsid w:val="5C2516F8"/>
    <w:rsid w:val="5EDC6C3A"/>
    <w:rsid w:val="5F5CB7BA"/>
    <w:rsid w:val="60E1EA18"/>
    <w:rsid w:val="611CA8CF"/>
    <w:rsid w:val="660DE259"/>
    <w:rsid w:val="6752DD06"/>
    <w:rsid w:val="681FC64E"/>
    <w:rsid w:val="6993395D"/>
    <w:rsid w:val="69EBA1BB"/>
    <w:rsid w:val="6A96AA84"/>
    <w:rsid w:val="6B576710"/>
    <w:rsid w:val="6BCE93F0"/>
    <w:rsid w:val="6C0F3AEE"/>
    <w:rsid w:val="6CDA6897"/>
    <w:rsid w:val="6DC29F1A"/>
    <w:rsid w:val="6F379917"/>
    <w:rsid w:val="6F5E6F7B"/>
    <w:rsid w:val="702AD833"/>
    <w:rsid w:val="71063E7A"/>
    <w:rsid w:val="72D0A9A9"/>
    <w:rsid w:val="751EBC2E"/>
    <w:rsid w:val="768CDF87"/>
    <w:rsid w:val="76A2073D"/>
    <w:rsid w:val="76F15FC2"/>
    <w:rsid w:val="783FACBE"/>
    <w:rsid w:val="78565CF0"/>
    <w:rsid w:val="79D9A7FF"/>
    <w:rsid w:val="7A82E99E"/>
    <w:rsid w:val="7B757860"/>
    <w:rsid w:val="7BBF5FEC"/>
    <w:rsid w:val="7E0E5839"/>
    <w:rsid w:val="7E1FBC15"/>
    <w:rsid w:val="7F0746F7"/>
    <w:rsid w:val="7F1400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A2B0"/>
  <w15:chartTrackingRefBased/>
  <w15:docId w15:val="{317E77A9-D321-4AB2-88F0-7345EC159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8D1"/>
    <w:pPr>
      <w:spacing w:before="120"/>
    </w:pPr>
    <w:rPr>
      <w:rFonts w:ascii="Calibri" w:eastAsia="Calibri" w:hAnsi="Calibri" w:cs="Arial"/>
    </w:rPr>
  </w:style>
  <w:style w:type="paragraph" w:styleId="Heading1">
    <w:name w:val="heading 1"/>
    <w:basedOn w:val="Normal"/>
    <w:next w:val="Normal"/>
    <w:link w:val="Heading1Char"/>
    <w:uiPriority w:val="9"/>
    <w:qFormat/>
    <w:rsid w:val="00085B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462A"/>
    <w:pPr>
      <w:keepNext/>
      <w:keepLines/>
      <w:spacing w:before="4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462A"/>
    <w:pPr>
      <w:keepNext/>
      <w:keepLines/>
      <w:spacing w:before="40" w:line="276"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5462A"/>
    <w:pPr>
      <w:keepNext/>
      <w:keepLines/>
      <w:spacing w:before="40" w:line="276" w:lineRule="auto"/>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0A474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462A"/>
    <w:rPr>
      <w:rFonts w:ascii="Tahoma" w:hAnsi="Tahoma" w:cs="Tahoma"/>
      <w:sz w:val="16"/>
      <w:szCs w:val="16"/>
    </w:rPr>
  </w:style>
  <w:style w:type="character" w:customStyle="1" w:styleId="BalloonTextChar">
    <w:name w:val="Balloon Text Char"/>
    <w:basedOn w:val="DefaultParagraphFont"/>
    <w:link w:val="BalloonText"/>
    <w:uiPriority w:val="99"/>
    <w:semiHidden/>
    <w:rsid w:val="0055462A"/>
    <w:rPr>
      <w:rFonts w:ascii="Tahoma" w:eastAsia="Times New Roman" w:hAnsi="Tahoma" w:cs="Tahoma"/>
      <w:sz w:val="16"/>
      <w:szCs w:val="16"/>
    </w:rPr>
  </w:style>
  <w:style w:type="paragraph" w:styleId="Caption">
    <w:name w:val="caption"/>
    <w:basedOn w:val="Normal"/>
    <w:next w:val="Normal"/>
    <w:uiPriority w:val="35"/>
    <w:unhideWhenUsed/>
    <w:qFormat/>
    <w:rsid w:val="0055462A"/>
    <w:pPr>
      <w:spacing w:after="200"/>
    </w:pPr>
    <w:rPr>
      <w:rFonts w:asciiTheme="minorHAnsi" w:eastAsiaTheme="minorHAnsi" w:hAnsiTheme="minorHAnsi" w:cstheme="minorBidi"/>
      <w:i/>
      <w:iCs/>
      <w:color w:val="44546A" w:themeColor="text2"/>
      <w:sz w:val="18"/>
      <w:szCs w:val="18"/>
    </w:rPr>
  </w:style>
  <w:style w:type="character" w:styleId="CommentReference">
    <w:name w:val="annotation reference"/>
    <w:basedOn w:val="DefaultParagraphFont"/>
    <w:uiPriority w:val="99"/>
    <w:semiHidden/>
    <w:unhideWhenUsed/>
    <w:rsid w:val="0055462A"/>
    <w:rPr>
      <w:sz w:val="16"/>
      <w:szCs w:val="16"/>
    </w:rPr>
  </w:style>
  <w:style w:type="paragraph" w:styleId="CommentText">
    <w:name w:val="annotation text"/>
    <w:basedOn w:val="Normal"/>
    <w:link w:val="CommentTextChar"/>
    <w:uiPriority w:val="99"/>
    <w:unhideWhenUsed/>
    <w:rsid w:val="0055462A"/>
    <w:rPr>
      <w:sz w:val="20"/>
      <w:szCs w:val="20"/>
    </w:rPr>
  </w:style>
  <w:style w:type="character" w:customStyle="1" w:styleId="CommentTextChar">
    <w:name w:val="Comment Text Char"/>
    <w:basedOn w:val="DefaultParagraphFont"/>
    <w:link w:val="CommentText"/>
    <w:uiPriority w:val="99"/>
    <w:rsid w:val="00554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462A"/>
    <w:rPr>
      <w:b/>
      <w:bCs/>
    </w:rPr>
  </w:style>
  <w:style w:type="character" w:customStyle="1" w:styleId="CommentSubjectChar">
    <w:name w:val="Comment Subject Char"/>
    <w:basedOn w:val="CommentTextChar"/>
    <w:link w:val="CommentSubject"/>
    <w:uiPriority w:val="99"/>
    <w:semiHidden/>
    <w:rsid w:val="0055462A"/>
    <w:rPr>
      <w:rFonts w:ascii="Times New Roman" w:eastAsia="Times New Roman" w:hAnsi="Times New Roman" w:cs="Times New Roman"/>
      <w:b/>
      <w:bCs/>
      <w:sz w:val="20"/>
      <w:szCs w:val="20"/>
    </w:rPr>
  </w:style>
  <w:style w:type="paragraph" w:styleId="Footer">
    <w:name w:val="footer"/>
    <w:basedOn w:val="Normal"/>
    <w:link w:val="FooterChar"/>
    <w:rsid w:val="0055462A"/>
    <w:pPr>
      <w:tabs>
        <w:tab w:val="center" w:pos="4320"/>
        <w:tab w:val="right" w:pos="8640"/>
      </w:tabs>
    </w:pPr>
  </w:style>
  <w:style w:type="character" w:customStyle="1" w:styleId="FooterChar">
    <w:name w:val="Footer Char"/>
    <w:basedOn w:val="DefaultParagraphFont"/>
    <w:link w:val="Footer"/>
    <w:rsid w:val="0055462A"/>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5462A"/>
    <w:rPr>
      <w:vertAlign w:val="superscript"/>
    </w:rPr>
  </w:style>
  <w:style w:type="paragraph" w:styleId="FootnoteText">
    <w:name w:val="footnote text"/>
    <w:basedOn w:val="Normal"/>
    <w:link w:val="FootnoteTextChar"/>
    <w:uiPriority w:val="99"/>
    <w:semiHidden/>
    <w:unhideWhenUsed/>
    <w:rsid w:val="0055462A"/>
    <w:rPr>
      <w:sz w:val="20"/>
      <w:szCs w:val="20"/>
    </w:rPr>
  </w:style>
  <w:style w:type="character" w:customStyle="1" w:styleId="FootnoteTextChar">
    <w:name w:val="Footnote Text Char"/>
    <w:basedOn w:val="DefaultParagraphFont"/>
    <w:link w:val="FootnoteText"/>
    <w:uiPriority w:val="99"/>
    <w:semiHidden/>
    <w:rsid w:val="0055462A"/>
    <w:rPr>
      <w:rFonts w:ascii="Times New Roman" w:eastAsia="Times New Roman" w:hAnsi="Times New Roman" w:cs="Times New Roman"/>
      <w:sz w:val="20"/>
      <w:szCs w:val="20"/>
    </w:rPr>
  </w:style>
  <w:style w:type="paragraph" w:styleId="Header">
    <w:name w:val="header"/>
    <w:basedOn w:val="Normal"/>
    <w:link w:val="HeaderChar"/>
    <w:rsid w:val="0055462A"/>
    <w:pPr>
      <w:tabs>
        <w:tab w:val="center" w:pos="4320"/>
        <w:tab w:val="right" w:pos="8640"/>
      </w:tabs>
    </w:pPr>
  </w:style>
  <w:style w:type="character" w:customStyle="1" w:styleId="HeaderChar">
    <w:name w:val="Header Char"/>
    <w:basedOn w:val="DefaultParagraphFont"/>
    <w:link w:val="Header"/>
    <w:rsid w:val="0055462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546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46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462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5462A"/>
    <w:pPr>
      <w:spacing w:after="200" w:line="276" w:lineRule="auto"/>
      <w:ind w:left="720"/>
      <w:contextualSpacing/>
    </w:pPr>
    <w:rPr>
      <w:rFonts w:asciiTheme="minorHAnsi" w:eastAsiaTheme="minorHAnsi" w:hAnsiTheme="minorHAnsi" w:cstheme="minorBidi"/>
    </w:rPr>
  </w:style>
  <w:style w:type="table" w:styleId="TableGrid">
    <w:name w:val="Table Grid"/>
    <w:basedOn w:val="TableNormal"/>
    <w:uiPriority w:val="39"/>
    <w:rsid w:val="0055462A"/>
    <w:pPr>
      <w:spacing w:after="0" w:line="240" w:lineRule="auto"/>
    </w:pPr>
    <w:rPr>
      <w:rFonts w:ascii="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BF2DD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7C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507CE"/>
    <w:rPr>
      <w:rFonts w:eastAsiaTheme="minorEastAsia"/>
      <w:color w:val="5A5A5A" w:themeColor="text1" w:themeTint="A5"/>
      <w:spacing w:val="15"/>
    </w:rPr>
  </w:style>
  <w:style w:type="character" w:styleId="Hyperlink">
    <w:name w:val="Hyperlink"/>
    <w:basedOn w:val="DefaultParagraphFont"/>
    <w:uiPriority w:val="99"/>
    <w:unhideWhenUsed/>
    <w:rsid w:val="0036204E"/>
    <w:rPr>
      <w:color w:val="0563C1" w:themeColor="hyperlink"/>
      <w:u w:val="single"/>
    </w:rPr>
  </w:style>
  <w:style w:type="character" w:styleId="UnresolvedMention">
    <w:name w:val="Unresolved Mention"/>
    <w:basedOn w:val="DefaultParagraphFont"/>
    <w:uiPriority w:val="99"/>
    <w:semiHidden/>
    <w:unhideWhenUsed/>
    <w:rsid w:val="0036204E"/>
    <w:rPr>
      <w:color w:val="605E5C"/>
      <w:shd w:val="clear" w:color="auto" w:fill="E1DFDD"/>
    </w:rPr>
  </w:style>
  <w:style w:type="character" w:customStyle="1" w:styleId="Heading1Char">
    <w:name w:val="Heading 1 Char"/>
    <w:basedOn w:val="DefaultParagraphFont"/>
    <w:link w:val="Heading1"/>
    <w:uiPriority w:val="9"/>
    <w:rsid w:val="00085B6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39042D"/>
    <w:pPr>
      <w:spacing w:after="0" w:line="240" w:lineRule="auto"/>
    </w:pPr>
    <w:rPr>
      <w:rFonts w:ascii="Calibri" w:eastAsia="Calibri" w:hAnsi="Calibri" w:cs="Arial"/>
    </w:rPr>
  </w:style>
  <w:style w:type="paragraph" w:styleId="Revision">
    <w:name w:val="Revision"/>
    <w:hidden/>
    <w:uiPriority w:val="99"/>
    <w:semiHidden/>
    <w:rsid w:val="00BE52B0"/>
    <w:pPr>
      <w:spacing w:after="0" w:line="240" w:lineRule="auto"/>
    </w:pPr>
    <w:rPr>
      <w:rFonts w:ascii="Calibri" w:eastAsia="Calibri" w:hAnsi="Calibri" w:cs="Arial"/>
    </w:rPr>
  </w:style>
  <w:style w:type="character" w:styleId="Mention">
    <w:name w:val="Mention"/>
    <w:basedOn w:val="DefaultParagraphFont"/>
    <w:uiPriority w:val="99"/>
    <w:unhideWhenUsed/>
    <w:rsid w:val="00066DB4"/>
    <w:rPr>
      <w:color w:val="2B579A"/>
      <w:shd w:val="clear" w:color="auto" w:fill="E1DFDD"/>
    </w:rPr>
  </w:style>
  <w:style w:type="paragraph" w:customStyle="1" w:styleId="NRELBodyText">
    <w:name w:val="NREL_Body_Text"/>
    <w:link w:val="NRELBodyTextCharChar"/>
    <w:qFormat/>
    <w:rsid w:val="007F338C"/>
    <w:pPr>
      <w:spacing w:after="240" w:line="240" w:lineRule="auto"/>
    </w:pPr>
    <w:rPr>
      <w:rFonts w:ascii="Times New Roman" w:eastAsia="Times" w:hAnsi="Times New Roman" w:cs="Times New Roman"/>
      <w:color w:val="000000" w:themeColor="text1"/>
      <w:sz w:val="24"/>
      <w:szCs w:val="20"/>
    </w:rPr>
  </w:style>
  <w:style w:type="character" w:customStyle="1" w:styleId="NRELBodyTextCharChar">
    <w:name w:val="NREL_Body_Text Char Char"/>
    <w:basedOn w:val="DefaultParagraphFont"/>
    <w:link w:val="NRELBodyText"/>
    <w:rsid w:val="007F338C"/>
    <w:rPr>
      <w:rFonts w:ascii="Times New Roman" w:eastAsia="Times" w:hAnsi="Times New Roman" w:cs="Times New Roman"/>
      <w:color w:val="000000" w:themeColor="text1"/>
      <w:sz w:val="24"/>
      <w:szCs w:val="20"/>
    </w:rPr>
  </w:style>
  <w:style w:type="paragraph" w:customStyle="1" w:styleId="NRELFigureCaption">
    <w:name w:val="NREL_Figure_Caption"/>
    <w:basedOn w:val="Caption"/>
    <w:next w:val="NRELBodyText"/>
    <w:qFormat/>
    <w:rsid w:val="007F338C"/>
    <w:pPr>
      <w:keepLines/>
      <w:spacing w:after="120" w:line="240" w:lineRule="auto"/>
      <w:jc w:val="center"/>
    </w:pPr>
    <w:rPr>
      <w:rFonts w:ascii="Arial" w:eastAsia="Times New Roman" w:hAnsi="Arial" w:cs="Times New Roman"/>
      <w:b/>
      <w:i w:val="0"/>
      <w:color w:val="000000" w:themeColor="text1"/>
      <w:sz w:val="20"/>
      <w:szCs w:val="24"/>
    </w:rPr>
  </w:style>
  <w:style w:type="paragraph" w:customStyle="1" w:styleId="NRELTableCaption">
    <w:name w:val="NREL_Table_Caption"/>
    <w:basedOn w:val="Caption"/>
    <w:next w:val="NRELBodyText"/>
    <w:qFormat/>
    <w:rsid w:val="001366B0"/>
    <w:pPr>
      <w:keepNext/>
      <w:autoSpaceDE w:val="0"/>
      <w:autoSpaceDN w:val="0"/>
      <w:adjustRightInd w:val="0"/>
      <w:spacing w:after="120" w:line="240" w:lineRule="auto"/>
      <w:jc w:val="center"/>
    </w:pPr>
    <w:rPr>
      <w:rFonts w:ascii="Arial" w:eastAsia="Times" w:hAnsi="Arial" w:cs="Times New Roman"/>
      <w:b/>
      <w:bCs/>
      <w:i w:val="0"/>
      <w:color w:val="000000" w:themeColor="text1"/>
      <w:sz w:val="20"/>
    </w:rPr>
  </w:style>
  <w:style w:type="table" w:styleId="PlainTable1">
    <w:name w:val="Plain Table 1"/>
    <w:basedOn w:val="TableNormal"/>
    <w:uiPriority w:val="41"/>
    <w:rsid w:val="001366B0"/>
    <w:pPr>
      <w:spacing w:after="0" w:line="240" w:lineRule="auto"/>
    </w:pPr>
    <w:rPr>
      <w:rFonts w:ascii="Times New Roman" w:hAnsi="Times New Roman" w:cs="Times New Roman"/>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semiHidden/>
    <w:unhideWhenUsed/>
    <w:rsid w:val="00F256F3"/>
  </w:style>
  <w:style w:type="paragraph" w:customStyle="1" w:styleId="NRELHead01">
    <w:name w:val="NREL_Head_01"/>
    <w:basedOn w:val="Heading2"/>
    <w:next w:val="NRELBodyText"/>
    <w:qFormat/>
    <w:rsid w:val="00F256F3"/>
    <w:pPr>
      <w:keepLines w:val="0"/>
      <w:spacing w:before="240" w:after="60" w:line="240" w:lineRule="auto"/>
      <w:outlineLvl w:val="0"/>
    </w:pPr>
    <w:rPr>
      <w:rFonts w:ascii="Arial" w:eastAsia="Times" w:hAnsi="Arial" w:cs="Arial"/>
      <w:b/>
      <w:bCs/>
      <w:iCs/>
      <w:color w:val="0079C1"/>
      <w:kern w:val="24"/>
      <w:sz w:val="36"/>
      <w:szCs w:val="28"/>
    </w:rPr>
  </w:style>
  <w:style w:type="paragraph" w:customStyle="1" w:styleId="NRELList02">
    <w:name w:val="NREL_List_02"/>
    <w:qFormat/>
    <w:rsid w:val="00483FA5"/>
    <w:pPr>
      <w:numPr>
        <w:numId w:val="1"/>
      </w:numPr>
      <w:tabs>
        <w:tab w:val="clear" w:pos="2880"/>
      </w:tabs>
      <w:spacing w:after="120" w:line="240" w:lineRule="auto"/>
    </w:pPr>
    <w:rPr>
      <w:rFonts w:ascii="Times New Roman" w:hAnsi="Times New Roman" w:cs="Times New Roman"/>
      <w:color w:val="000000" w:themeColor="text1"/>
      <w:sz w:val="24"/>
      <w:szCs w:val="24"/>
    </w:rPr>
  </w:style>
  <w:style w:type="character" w:customStyle="1" w:styleId="Heading6Char">
    <w:name w:val="Heading 6 Char"/>
    <w:basedOn w:val="DefaultParagraphFont"/>
    <w:link w:val="Heading6"/>
    <w:uiPriority w:val="9"/>
    <w:semiHidden/>
    <w:rsid w:val="000A4743"/>
    <w:rPr>
      <w:rFonts w:asciiTheme="majorHAnsi" w:eastAsiaTheme="majorEastAsia" w:hAnsiTheme="majorHAnsi" w:cstheme="majorBidi"/>
      <w:color w:val="1F3763" w:themeColor="accent1" w:themeShade="7F"/>
    </w:rPr>
  </w:style>
  <w:style w:type="paragraph" w:customStyle="1" w:styleId="Els-body-text">
    <w:name w:val="Els-body-text"/>
    <w:rsid w:val="000A4743"/>
    <w:pPr>
      <w:spacing w:after="0" w:line="240" w:lineRule="exact"/>
      <w:ind w:firstLine="238"/>
      <w:jc w:val="both"/>
    </w:pPr>
    <w:rPr>
      <w:rFonts w:ascii="Times New Roman" w:eastAsia="SimSun" w:hAnsi="Times New Roman" w:cs="Times New Roman"/>
      <w:sz w:val="20"/>
      <w:szCs w:val="20"/>
    </w:rPr>
  </w:style>
  <w:style w:type="character" w:customStyle="1" w:styleId="normaltextrun">
    <w:name w:val="normaltextrun"/>
    <w:basedOn w:val="DefaultParagraphFont"/>
    <w:rsid w:val="000A4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50203">
      <w:bodyDiv w:val="1"/>
      <w:marLeft w:val="0"/>
      <w:marRight w:val="0"/>
      <w:marTop w:val="0"/>
      <w:marBottom w:val="0"/>
      <w:divBdr>
        <w:top w:val="none" w:sz="0" w:space="0" w:color="auto"/>
        <w:left w:val="none" w:sz="0" w:space="0" w:color="auto"/>
        <w:bottom w:val="none" w:sz="0" w:space="0" w:color="auto"/>
        <w:right w:val="none" w:sz="0" w:space="0" w:color="auto"/>
      </w:divBdr>
    </w:div>
    <w:div w:id="233249311">
      <w:bodyDiv w:val="1"/>
      <w:marLeft w:val="0"/>
      <w:marRight w:val="0"/>
      <w:marTop w:val="0"/>
      <w:marBottom w:val="0"/>
      <w:divBdr>
        <w:top w:val="none" w:sz="0" w:space="0" w:color="auto"/>
        <w:left w:val="none" w:sz="0" w:space="0" w:color="auto"/>
        <w:bottom w:val="none" w:sz="0" w:space="0" w:color="auto"/>
        <w:right w:val="none" w:sz="0" w:space="0" w:color="auto"/>
      </w:divBdr>
      <w:divsChild>
        <w:div w:id="1254778877">
          <w:marLeft w:val="0"/>
          <w:marRight w:val="0"/>
          <w:marTop w:val="0"/>
          <w:marBottom w:val="0"/>
          <w:divBdr>
            <w:top w:val="none" w:sz="0" w:space="0" w:color="auto"/>
            <w:left w:val="none" w:sz="0" w:space="0" w:color="auto"/>
            <w:bottom w:val="none" w:sz="0" w:space="0" w:color="auto"/>
            <w:right w:val="none" w:sz="0" w:space="0" w:color="auto"/>
          </w:divBdr>
          <w:divsChild>
            <w:div w:id="430318699">
              <w:marLeft w:val="0"/>
              <w:marRight w:val="0"/>
              <w:marTop w:val="0"/>
              <w:marBottom w:val="0"/>
              <w:divBdr>
                <w:top w:val="none" w:sz="0" w:space="0" w:color="auto"/>
                <w:left w:val="none" w:sz="0" w:space="0" w:color="auto"/>
                <w:bottom w:val="none" w:sz="0" w:space="0" w:color="auto"/>
                <w:right w:val="none" w:sz="0" w:space="0" w:color="auto"/>
              </w:divBdr>
            </w:div>
            <w:div w:id="7918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13613">
      <w:bodyDiv w:val="1"/>
      <w:marLeft w:val="0"/>
      <w:marRight w:val="0"/>
      <w:marTop w:val="0"/>
      <w:marBottom w:val="0"/>
      <w:divBdr>
        <w:top w:val="none" w:sz="0" w:space="0" w:color="auto"/>
        <w:left w:val="none" w:sz="0" w:space="0" w:color="auto"/>
        <w:bottom w:val="none" w:sz="0" w:space="0" w:color="auto"/>
        <w:right w:val="none" w:sz="0" w:space="0" w:color="auto"/>
      </w:divBdr>
      <w:divsChild>
        <w:div w:id="2030449931">
          <w:marLeft w:val="0"/>
          <w:marRight w:val="0"/>
          <w:marTop w:val="0"/>
          <w:marBottom w:val="0"/>
          <w:divBdr>
            <w:top w:val="none" w:sz="0" w:space="0" w:color="auto"/>
            <w:left w:val="none" w:sz="0" w:space="0" w:color="auto"/>
            <w:bottom w:val="none" w:sz="0" w:space="0" w:color="auto"/>
            <w:right w:val="none" w:sz="0" w:space="0" w:color="auto"/>
          </w:divBdr>
          <w:divsChild>
            <w:div w:id="10435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5105">
      <w:bodyDiv w:val="1"/>
      <w:marLeft w:val="0"/>
      <w:marRight w:val="0"/>
      <w:marTop w:val="0"/>
      <w:marBottom w:val="0"/>
      <w:divBdr>
        <w:top w:val="none" w:sz="0" w:space="0" w:color="auto"/>
        <w:left w:val="none" w:sz="0" w:space="0" w:color="auto"/>
        <w:bottom w:val="none" w:sz="0" w:space="0" w:color="auto"/>
        <w:right w:val="none" w:sz="0" w:space="0" w:color="auto"/>
      </w:divBdr>
      <w:divsChild>
        <w:div w:id="278494729">
          <w:marLeft w:val="0"/>
          <w:marRight w:val="0"/>
          <w:marTop w:val="0"/>
          <w:marBottom w:val="0"/>
          <w:divBdr>
            <w:top w:val="none" w:sz="0" w:space="0" w:color="auto"/>
            <w:left w:val="none" w:sz="0" w:space="0" w:color="auto"/>
            <w:bottom w:val="none" w:sz="0" w:space="0" w:color="auto"/>
            <w:right w:val="none" w:sz="0" w:space="0" w:color="auto"/>
          </w:divBdr>
          <w:divsChild>
            <w:div w:id="19833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3976">
      <w:bodyDiv w:val="1"/>
      <w:marLeft w:val="0"/>
      <w:marRight w:val="0"/>
      <w:marTop w:val="0"/>
      <w:marBottom w:val="0"/>
      <w:divBdr>
        <w:top w:val="none" w:sz="0" w:space="0" w:color="auto"/>
        <w:left w:val="none" w:sz="0" w:space="0" w:color="auto"/>
        <w:bottom w:val="none" w:sz="0" w:space="0" w:color="auto"/>
        <w:right w:val="none" w:sz="0" w:space="0" w:color="auto"/>
      </w:divBdr>
      <w:divsChild>
        <w:div w:id="1911304802">
          <w:marLeft w:val="0"/>
          <w:marRight w:val="0"/>
          <w:marTop w:val="0"/>
          <w:marBottom w:val="0"/>
          <w:divBdr>
            <w:top w:val="none" w:sz="0" w:space="0" w:color="auto"/>
            <w:left w:val="none" w:sz="0" w:space="0" w:color="auto"/>
            <w:bottom w:val="none" w:sz="0" w:space="0" w:color="auto"/>
            <w:right w:val="none" w:sz="0" w:space="0" w:color="auto"/>
          </w:divBdr>
          <w:divsChild>
            <w:div w:id="2645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github.com/NREL/comstock-internal/pull/204"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8.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1.png"/><Relationship Id="rId10" Type="http://schemas.openxmlformats.org/officeDocument/2006/relationships/image" Target="media/image2.png"/><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481fc2a-e230-47f7-a716-4f7f4b27a8e6" xsi:nil="true"/>
    <lcf76f155ced4ddcb4097134ff3c332f xmlns="8baa01ab-7cf8-4360-9f3f-f87b1ec95c2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FFBAD9-AEC3-48F7-A75E-09C1742483CE}">
  <ds:schemaRefs>
    <ds:schemaRef ds:uri="http://schemas.microsoft.com/office/2006/metadata/properties"/>
    <ds:schemaRef ds:uri="http://schemas.microsoft.com/office/infopath/2007/PartnerControls"/>
    <ds:schemaRef ds:uri="d481fc2a-e230-47f7-a716-4f7f4b27a8e6"/>
    <ds:schemaRef ds:uri="8baa01ab-7cf8-4360-9f3f-f87b1ec95c26"/>
  </ds:schemaRefs>
</ds:datastoreItem>
</file>

<file path=customXml/itemProps2.xml><?xml version="1.0" encoding="utf-8"?>
<ds:datastoreItem xmlns:ds="http://schemas.openxmlformats.org/officeDocument/2006/customXml" ds:itemID="{E98DA913-D645-476A-A575-A2A65262A69C}">
  <ds:schemaRefs>
    <ds:schemaRef ds:uri="http://schemas.openxmlformats.org/officeDocument/2006/bibliography"/>
  </ds:schemaRefs>
</ds:datastoreItem>
</file>

<file path=customXml/itemProps3.xml><?xml version="1.0" encoding="utf-8"?>
<ds:datastoreItem xmlns:ds="http://schemas.openxmlformats.org/officeDocument/2006/customXml" ds:itemID="{95F54931-9F33-48B1-ABD9-AB06DF38472F}">
  <ds:schemaRefs>
    <ds:schemaRef ds:uri="http://schemas.microsoft.com/sharepoint/v3/contenttype/forms"/>
  </ds:schemaRefs>
</ds:datastoreItem>
</file>

<file path=customXml/itemProps4.xml><?xml version="1.0" encoding="utf-8"?>
<ds:datastoreItem xmlns:ds="http://schemas.openxmlformats.org/officeDocument/2006/customXml" ds:itemID="{2A2FCCFE-247F-4497-9DD5-81D4F9C540D3}"/>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5939</Words>
  <Characters>33854</Characters>
  <Application>Microsoft Office Word</Application>
  <DocSecurity>0</DocSecurity>
  <Lines>1057</Lines>
  <Paragraphs>516</Paragraphs>
  <ScaleCrop>false</ScaleCrop>
  <Company/>
  <LinksUpToDate>false</LinksUpToDate>
  <CharactersWithSpaces>39277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Parker</dc:creator>
  <cp:keywords/>
  <dc:description/>
  <cp:lastModifiedBy>Klun, Lauren</cp:lastModifiedBy>
  <cp:revision>3</cp:revision>
  <dcterms:created xsi:type="dcterms:W3CDTF">2026-01-06T23:20:00Z</dcterms:created>
  <dcterms:modified xsi:type="dcterms:W3CDTF">2026-01-06T23:21:00Z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0x010100A788E4FEB44D0B4CB1AD2E9A3A83F076</vt:lpwstr>
  </property>
  <property fmtid="{D5CDD505-2E9C-101B-9397-08002B2CF9AE}" pid="4" name="MSIP_Label_95965d95-ecc0-4720-b759-1f33c42ed7da_Enabled">
    <vt:lpwstr>true</vt:lpwstr>
  </property>
  <property fmtid="{D5CDD505-2E9C-101B-9397-08002B2CF9AE}" pid="5" name="MSIP_Label_95965d95-ecc0-4720-b759-1f33c42ed7da_SetDate">
    <vt:lpwstr>2023-10-17T16:53:19Z</vt:lpwstr>
  </property>
  <property fmtid="{D5CDD505-2E9C-101B-9397-08002B2CF9AE}" pid="6" name="MSIP_Label_95965d95-ecc0-4720-b759-1f33c42ed7da_Method">
    <vt:lpwstr>Standard</vt:lpwstr>
  </property>
  <property fmtid="{D5CDD505-2E9C-101B-9397-08002B2CF9AE}" pid="7" name="MSIP_Label_95965d95-ecc0-4720-b759-1f33c42ed7da_Name">
    <vt:lpwstr>General</vt:lpwstr>
  </property>
  <property fmtid="{D5CDD505-2E9C-101B-9397-08002B2CF9AE}" pid="8" name="MSIP_Label_95965d95-ecc0-4720-b759-1f33c42ed7da_SiteId">
    <vt:lpwstr>a0f29d7e-28cd-4f54-8442-7885aee7c080</vt:lpwstr>
  </property>
  <property fmtid="{D5CDD505-2E9C-101B-9397-08002B2CF9AE}" pid="9" name="MSIP_Label_95965d95-ecc0-4720-b759-1f33c42ed7da_ActionId">
    <vt:lpwstr>b3a67084-62bc-4a0e-afd5-af7e0732b01a</vt:lpwstr>
  </property>
  <property fmtid="{D5CDD505-2E9C-101B-9397-08002B2CF9AE}" pid="10" name="MSIP_Label_95965d95-ecc0-4720-b759-1f33c42ed7da_ContentBits">
    <vt:lpwstr>0</vt:lpwstr>
  </property>
</Properties>
</file>