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50A93" w14:textId="77777777" w:rsidR="002507CE" w:rsidRDefault="00BF2DDA" w:rsidP="00A761F6">
      <w:pPr>
        <w:pStyle w:val="Title"/>
      </w:pPr>
      <w:r>
        <w:t xml:space="preserve">ComStock </w:t>
      </w:r>
      <w:r w:rsidR="002507CE">
        <w:t>Change</w:t>
      </w:r>
    </w:p>
    <w:p w14:paraId="435BEF72" w14:textId="5C792EF5" w:rsidR="00717F96" w:rsidRDefault="00BF2DDA" w:rsidP="00A761F6">
      <w:pPr>
        <w:pStyle w:val="Subtitle"/>
      </w:pPr>
      <w:r>
        <w:t xml:space="preserve">OpenStudio </w:t>
      </w:r>
      <w:r w:rsidR="0F388486">
        <w:t xml:space="preserve">3.4.0 </w:t>
      </w:r>
      <w:r>
        <w:t>to 3.</w:t>
      </w:r>
      <w:r w:rsidR="752F5618">
        <w:t>6.1</w:t>
      </w:r>
    </w:p>
    <w:p w14:paraId="43B6BCA7" w14:textId="54400761" w:rsidR="00870931" w:rsidRDefault="00870931" w:rsidP="74364481">
      <w:pPr>
        <w:rPr>
          <w:b/>
          <w:bCs/>
        </w:rPr>
      </w:pPr>
      <w:r w:rsidRPr="74364481">
        <w:rPr>
          <w:b/>
          <w:bCs/>
        </w:rPr>
        <w:t xml:space="preserve">Implementer: </w:t>
      </w:r>
      <w:r w:rsidR="22ABF713" w:rsidRPr="74364481">
        <w:rPr>
          <w:b/>
          <w:bCs/>
        </w:rPr>
        <w:t>Marley Praprost</w:t>
      </w:r>
    </w:p>
    <w:p w14:paraId="31CF1E97" w14:textId="660B115D" w:rsidR="00870931" w:rsidRPr="00A761F6" w:rsidRDefault="00870931" w:rsidP="00A761F6">
      <w:pPr>
        <w:rPr>
          <w:b/>
          <w:bCs/>
        </w:rPr>
      </w:pPr>
      <w:r w:rsidRPr="74364481">
        <w:rPr>
          <w:b/>
          <w:bCs/>
        </w:rPr>
        <w:t xml:space="preserve">Change Document Author: </w:t>
      </w:r>
      <w:r w:rsidR="417A8108" w:rsidRPr="74364481">
        <w:rPr>
          <w:b/>
          <w:bCs/>
        </w:rPr>
        <w:t>Marley Praprost</w:t>
      </w:r>
    </w:p>
    <w:p w14:paraId="2E66180B" w14:textId="687CBBE8" w:rsidR="00870931" w:rsidRDefault="00870931" w:rsidP="74364481">
      <w:pPr>
        <w:rPr>
          <w:b/>
          <w:bCs/>
        </w:rPr>
      </w:pPr>
      <w:r w:rsidRPr="15F8978E">
        <w:rPr>
          <w:b/>
          <w:bCs/>
        </w:rPr>
        <w:t xml:space="preserve">Reviewer: </w:t>
      </w:r>
      <w:r w:rsidR="2741FD7E" w:rsidRPr="15F8978E">
        <w:rPr>
          <w:b/>
          <w:bCs/>
        </w:rPr>
        <w:t>Matt Dahlhausen</w:t>
      </w:r>
      <w:r w:rsidR="00D407E4" w:rsidRPr="15F8978E">
        <w:rPr>
          <w:b/>
          <w:bCs/>
        </w:rPr>
        <w:t xml:space="preserve">, </w:t>
      </w:r>
      <w:r w:rsidR="3B79DCA3" w:rsidRPr="15F8978E">
        <w:rPr>
          <w:b/>
          <w:bCs/>
        </w:rPr>
        <w:t>Andrew Parker</w:t>
      </w:r>
    </w:p>
    <w:p w14:paraId="209B0D78" w14:textId="77777777" w:rsidR="00870931" w:rsidRPr="00870931" w:rsidRDefault="00870931" w:rsidP="00A761F6">
      <w:pPr>
        <w:pStyle w:val="Heading1"/>
        <w:rPr>
          <w:rFonts w:eastAsia="MS Gothic"/>
        </w:rPr>
      </w:pPr>
      <w:r w:rsidRPr="00870931">
        <w:rPr>
          <w:rFonts w:eastAsia="MS Gothic"/>
        </w:rPr>
        <w:t>Description of Change</w:t>
      </w:r>
    </w:p>
    <w:p w14:paraId="77607D7F" w14:textId="33E60471" w:rsidR="00870931" w:rsidRPr="00870931" w:rsidRDefault="00870931" w:rsidP="00A761F6">
      <w:pPr>
        <w:pStyle w:val="Heading2"/>
        <w:rPr>
          <w:rFonts w:eastAsia="MS Gothic"/>
        </w:rPr>
      </w:pPr>
      <w:r w:rsidRPr="00870931">
        <w:rPr>
          <w:rFonts w:eastAsia="MS Gothic"/>
        </w:rPr>
        <w:t>Summary</w:t>
      </w:r>
    </w:p>
    <w:p w14:paraId="4BBB6739" w14:textId="713D6078" w:rsidR="00870931" w:rsidRPr="00A761F6" w:rsidRDefault="00870931" w:rsidP="74364481">
      <w:r>
        <w:t xml:space="preserve">This </w:t>
      </w:r>
      <w:r w:rsidR="00DA54C7">
        <w:t xml:space="preserve">updates the version of OpenStudio used by ComStock from </w:t>
      </w:r>
      <w:r w:rsidR="6819F074">
        <w:t>3.4.0</w:t>
      </w:r>
      <w:r w:rsidR="00DA54C7">
        <w:t xml:space="preserve"> (EnergyPlus </w:t>
      </w:r>
      <w:r w:rsidR="2D24620B">
        <w:t>2</w:t>
      </w:r>
      <w:r w:rsidR="587FA145">
        <w:t>2</w:t>
      </w:r>
      <w:r w:rsidR="2D24620B">
        <w:t>.1.0</w:t>
      </w:r>
      <w:r w:rsidR="00C202FD">
        <w:t>, OpenStudio-Standards 0.2.16</w:t>
      </w:r>
      <w:r w:rsidR="004108E5">
        <w:t xml:space="preserve">, released </w:t>
      </w:r>
      <w:r w:rsidR="4E079198">
        <w:t>May</w:t>
      </w:r>
      <w:r w:rsidR="004108E5">
        <w:t xml:space="preserve"> 20</w:t>
      </w:r>
      <w:r w:rsidR="285F52DC">
        <w:t>22</w:t>
      </w:r>
      <w:r w:rsidR="00DA54C7">
        <w:t xml:space="preserve">) to </w:t>
      </w:r>
      <w:r w:rsidR="006B58FE">
        <w:t>3.</w:t>
      </w:r>
      <w:r w:rsidR="5361AD0B">
        <w:t>6.1</w:t>
      </w:r>
      <w:r w:rsidR="006B58FE">
        <w:t xml:space="preserve"> (EnergyPlus 2</w:t>
      </w:r>
      <w:r w:rsidR="4382933F">
        <w:t>3</w:t>
      </w:r>
      <w:r w:rsidR="006B58FE">
        <w:t>.1.0</w:t>
      </w:r>
      <w:r w:rsidR="007F41B6">
        <w:t xml:space="preserve">, </w:t>
      </w:r>
      <w:r w:rsidR="007E31D2">
        <w:t>OpenStudio-Standards</w:t>
      </w:r>
      <w:r w:rsidR="00BC0A1A">
        <w:t xml:space="preserve"> 0.4.0, </w:t>
      </w:r>
      <w:r w:rsidR="007F41B6">
        <w:t xml:space="preserve">released </w:t>
      </w:r>
      <w:r w:rsidR="004108E5">
        <w:t>May 202</w:t>
      </w:r>
      <w:r w:rsidR="3A373B07">
        <w:t>3</w:t>
      </w:r>
      <w:r w:rsidR="004108E5">
        <w:t>).</w:t>
      </w:r>
      <w:r w:rsidR="0047279D">
        <w:t xml:space="preserve"> </w:t>
      </w:r>
      <w:r w:rsidR="5CB164C0">
        <w:t xml:space="preserve"> This update includes several new features, performance improvements, and bug fixes, as described in </w:t>
      </w:r>
      <w:hyperlink r:id="rId9">
        <w:r w:rsidR="5CB164C0" w:rsidRPr="79AD0215">
          <w:rPr>
            <w:rStyle w:val="Hyperlink"/>
            <w:color w:val="auto"/>
            <w:u w:val="none"/>
          </w:rPr>
          <w:t>the EnergyPlus release notes</w:t>
        </w:r>
      </w:hyperlink>
      <w:r w:rsidR="5CB164C0">
        <w:t>.</w:t>
      </w:r>
      <w:r w:rsidR="00362E78">
        <w:t xml:space="preserve"> </w:t>
      </w:r>
      <w:r w:rsidR="00447513">
        <w:t>A summary of the changes that were observed in the models is included here.</w:t>
      </w:r>
      <w:r w:rsidR="00526005">
        <w:t xml:space="preserve"> </w:t>
      </w:r>
    </w:p>
    <w:p w14:paraId="1635A473" w14:textId="2EC5F061" w:rsidR="00447513" w:rsidRDefault="00085B6F" w:rsidP="00A761F6">
      <w:pPr>
        <w:pStyle w:val="Heading1"/>
        <w:rPr>
          <w:rFonts w:eastAsia="Calibri"/>
        </w:rPr>
      </w:pPr>
      <w:r w:rsidRPr="74364481">
        <w:rPr>
          <w:rFonts w:eastAsia="Calibri"/>
        </w:rPr>
        <w:t>Dockerfile</w:t>
      </w:r>
      <w:r w:rsidR="41D80281" w:rsidRPr="74364481">
        <w:rPr>
          <w:rFonts w:eastAsia="Calibri"/>
        </w:rPr>
        <w:t xml:space="preserve"> Approach</w:t>
      </w:r>
    </w:p>
    <w:p w14:paraId="4CBEE4FE" w14:textId="131E41A1" w:rsidR="00447513" w:rsidRDefault="00D8524D" w:rsidP="00A761F6">
      <w:r>
        <w:t xml:space="preserve">The </w:t>
      </w:r>
      <w:r w:rsidR="45126A40">
        <w:t>existing</w:t>
      </w:r>
      <w:r>
        <w:t xml:space="preserve"> approach </w:t>
      </w:r>
      <w:r w:rsidR="00BE15D5">
        <w:t>starts with</w:t>
      </w:r>
      <w:r w:rsidR="00A17DC5">
        <w:t xml:space="preserve"> the OpenStudio 3.4.0 base image</w:t>
      </w:r>
      <w:r w:rsidR="00624170">
        <w:t xml:space="preserve">. Custom gems are </w:t>
      </w:r>
      <w:r w:rsidR="004A050C">
        <w:t>chosen</w:t>
      </w:r>
      <w:r w:rsidR="00BE15D5">
        <w:t xml:space="preserve"> by editing the /resources/.Gemfile in the ComStock repository, which is then loaded and installed </w:t>
      </w:r>
      <w:r w:rsidR="004A050C">
        <w:t xml:space="preserve">via bundler </w:t>
      </w:r>
      <w:r w:rsidR="00B47E60">
        <w:t>to replace the default set of gems</w:t>
      </w:r>
      <w:r w:rsidR="00260883">
        <w:t xml:space="preserve"> that comes with OpenStudio 3.4.0</w:t>
      </w:r>
      <w:r w:rsidR="00B47E60">
        <w:t xml:space="preserve">. When </w:t>
      </w:r>
      <w:r w:rsidR="002C6EF8">
        <w:t>building a Singularity image for HPC, the custom gems are installed directly inside the image. When running locally using Docker, the custom gems are installed into the /.custom</w:t>
      </w:r>
      <w:r w:rsidR="006707D4">
        <w:t xml:space="preserve">_gems directory in the ComStock repository. </w:t>
      </w:r>
      <w:r w:rsidR="00260883">
        <w:t xml:space="preserve">This latter approach allows developers to quickly </w:t>
      </w:r>
      <w:r w:rsidR="002F3D06">
        <w:t>test changes to OpenStudio-Standards without having to repeatedly re-clone that repository.</w:t>
      </w:r>
    </w:p>
    <w:p w14:paraId="17F8D18E" w14:textId="1EFC4F6C" w:rsidR="792C7FFA" w:rsidRDefault="792C7FFA" w:rsidP="74364481">
      <w:r>
        <w:t xml:space="preserve">This approach will be maintained, but instead </w:t>
      </w:r>
      <w:r w:rsidR="02D5E191">
        <w:t>uses</w:t>
      </w:r>
      <w:r w:rsidR="3CD508A7">
        <w:t xml:space="preserve"> </w:t>
      </w:r>
      <w:r>
        <w:t>the OpenStudio 3.6.1 base image</w:t>
      </w:r>
      <w:r w:rsidR="56ACF53B">
        <w:t xml:space="preserve"> instead of 3.4.0</w:t>
      </w:r>
      <w:r>
        <w:t xml:space="preserve">. </w:t>
      </w:r>
      <w:r w:rsidR="00974A7C">
        <w:t xml:space="preserve">The only gem required that changed from OpenStudio 3.4.0 to 3.6.1 was the OpenStudio-Standards gem, which updated from 0.2.16 to 0.4.0. </w:t>
      </w:r>
    </w:p>
    <w:p w14:paraId="426FF83E" w14:textId="5B73E655" w:rsidR="08933FCB" w:rsidRDefault="08933FCB" w:rsidP="008F1AAD">
      <w:pPr>
        <w:pStyle w:val="Heading1"/>
      </w:pPr>
      <w:r>
        <w:t>California DEER Ventilation Rates</w:t>
      </w:r>
    </w:p>
    <w:p w14:paraId="2F75EDF5" w14:textId="407F1694" w:rsidR="001C1F24" w:rsidRDefault="001C1F24" w:rsidP="008F1AAD">
      <w:pPr>
        <w:pStyle w:val="Heading2"/>
      </w:pPr>
      <w:r>
        <w:t>Existing Method</w:t>
      </w:r>
    </w:p>
    <w:p w14:paraId="553E8F7F" w14:textId="0BF922EC" w:rsidR="001C1F24" w:rsidRPr="001C1F24" w:rsidRDefault="4C7D766E" w:rsidP="001C1F24">
      <w:r>
        <w:t>In the previous release of OpenStudio-Standards</w:t>
      </w:r>
      <w:r w:rsidR="00A127E1">
        <w:t xml:space="preserve"> (0.2.16)</w:t>
      </w:r>
      <w:r w:rsidR="5389A8CE">
        <w:t xml:space="preserve">, space type ventilation rates in the DEER models were defined by a ventilation_per_area value. </w:t>
      </w:r>
      <w:r w:rsidR="7CAAE1DC">
        <w:t>The ventilation_per_person field was not utilized</w:t>
      </w:r>
      <w:r w:rsidR="483A2C34">
        <w:t xml:space="preserve"> previously. </w:t>
      </w:r>
    </w:p>
    <w:p w14:paraId="09B76AF4" w14:textId="02F3257E" w:rsidR="001C1F24" w:rsidRPr="001C1F24" w:rsidRDefault="001C1F24" w:rsidP="008F1AAD">
      <w:pPr>
        <w:pStyle w:val="Heading2"/>
      </w:pPr>
      <w:r>
        <w:t>New Method</w:t>
      </w:r>
    </w:p>
    <w:p w14:paraId="3BE27B40" w14:textId="7D2DE869" w:rsidR="00C1709E" w:rsidRDefault="26035A03" w:rsidP="79AD0215">
      <w:r>
        <w:t>In the new</w:t>
      </w:r>
      <w:r w:rsidR="7EAF186C">
        <w:t xml:space="preserve"> method</w:t>
      </w:r>
      <w:r w:rsidR="00A127E1">
        <w:t xml:space="preserve"> (OpenStudio-Standards 0.4.0)</w:t>
      </w:r>
      <w:r w:rsidR="7EAF186C">
        <w:t xml:space="preserve">, </w:t>
      </w:r>
      <w:r w:rsidR="55D08972">
        <w:t xml:space="preserve">values for </w:t>
      </w:r>
      <w:r w:rsidR="7EAF186C">
        <w:t xml:space="preserve">ventilation_per_person </w:t>
      </w:r>
      <w:r w:rsidR="1BE9D141">
        <w:t>were</w:t>
      </w:r>
      <w:r w:rsidR="7EAF186C">
        <w:t xml:space="preserve"> added to the DEER models in OpenStudio-Standards. </w:t>
      </w:r>
      <w:r w:rsidR="7A74203B">
        <w:t>In addition, t</w:t>
      </w:r>
      <w:r w:rsidR="6F8B35A2">
        <w:t>he ventilation_per_area values wer</w:t>
      </w:r>
      <w:r w:rsidR="20C599A8">
        <w:t xml:space="preserve">e </w:t>
      </w:r>
      <w:r w:rsidR="6F550D20">
        <w:t>modifie</w:t>
      </w:r>
      <w:r w:rsidR="20C599A8">
        <w:t>d.</w:t>
      </w:r>
      <w:r w:rsidR="6F8B35A2">
        <w:t xml:space="preserve"> </w:t>
      </w:r>
      <w:r w:rsidR="7EAF186C">
        <w:lastRenderedPageBreak/>
        <w:t xml:space="preserve">These changes were made to enable DCV controls in the DEER models. </w:t>
      </w:r>
      <w:r w:rsidR="375C2FE4">
        <w:t>An example code snippet of this change is shown below.</w:t>
      </w:r>
    </w:p>
    <w:p w14:paraId="50BF819F" w14:textId="3E38E066" w:rsidR="00C1709E" w:rsidRDefault="375C2FE4" w:rsidP="79AD0215">
      <w:r>
        <w:t xml:space="preserve"> </w:t>
      </w:r>
      <w:r>
        <w:rPr>
          <w:noProof/>
        </w:rPr>
        <w:drawing>
          <wp:inline distT="0" distB="0" distL="0" distR="0" wp14:anchorId="3D63663B" wp14:editId="68AC7004">
            <wp:extent cx="4572000" cy="1095375"/>
            <wp:effectExtent l="0" t="0" r="0" b="0"/>
            <wp:docPr id="100008462" name="Picture 1000084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72000" cy="1095375"/>
                    </a:xfrm>
                    <a:prstGeom prst="rect">
                      <a:avLst/>
                    </a:prstGeom>
                  </pic:spPr>
                </pic:pic>
              </a:graphicData>
            </a:graphic>
          </wp:inline>
        </w:drawing>
      </w:r>
    </w:p>
    <w:p w14:paraId="2A864552" w14:textId="5E0D0A0A" w:rsidR="00C1709E" w:rsidRDefault="0C59D689" w:rsidP="79AD0215">
      <w:r>
        <w:t>As a result of this change, the design outdoor air flow rates for most space types</w:t>
      </w:r>
      <w:r w:rsidR="68AB05E7">
        <w:t xml:space="preserve"> and vintages</w:t>
      </w:r>
      <w:r>
        <w:t xml:space="preserve"> increased. The magnitude of the</w:t>
      </w:r>
      <w:r w:rsidR="326CC66E">
        <w:t xml:space="preserve"> increase is heavily dependent on the building type. Restaurants had the smallest change while </w:t>
      </w:r>
      <w:r w:rsidR="20416786">
        <w:t>s</w:t>
      </w:r>
      <w:r w:rsidR="326CC66E">
        <w:t>mall</w:t>
      </w:r>
      <w:r w:rsidR="6848E3A5">
        <w:t xml:space="preserve"> h</w:t>
      </w:r>
      <w:r w:rsidR="326CC66E">
        <w:t>otels had the largest change</w:t>
      </w:r>
      <w:r w:rsidR="56CAB49C">
        <w:t>, based on the median design flow rate increase for all California models tested.</w:t>
      </w:r>
    </w:p>
    <w:tbl>
      <w:tblPr>
        <w:tblStyle w:val="TableGridLight"/>
        <w:tblW w:w="0" w:type="auto"/>
        <w:tblLayout w:type="fixed"/>
        <w:tblLook w:val="06A0" w:firstRow="1" w:lastRow="0" w:firstColumn="1" w:lastColumn="0" w:noHBand="1" w:noVBand="1"/>
      </w:tblPr>
      <w:tblGrid>
        <w:gridCol w:w="2970"/>
        <w:gridCol w:w="1995"/>
        <w:gridCol w:w="2316"/>
        <w:gridCol w:w="2140"/>
      </w:tblGrid>
      <w:tr w:rsidR="79AD0215" w14:paraId="7FA1D47F" w14:textId="77777777" w:rsidTr="79AD0215">
        <w:trPr>
          <w:trHeight w:val="450"/>
        </w:trPr>
        <w:tc>
          <w:tcPr>
            <w:tcW w:w="2970" w:type="dxa"/>
            <w:vMerge w:val="restart"/>
          </w:tcPr>
          <w:p w14:paraId="4715FF85" w14:textId="256931EE" w:rsidR="1E6605DB" w:rsidRDefault="1E6605DB" w:rsidP="79AD0215">
            <w:pPr>
              <w:rPr>
                <w:rFonts w:cs="Calibri"/>
                <w:color w:val="000000" w:themeColor="text1"/>
              </w:rPr>
            </w:pPr>
            <w:r w:rsidRPr="79AD0215">
              <w:rPr>
                <w:rFonts w:cs="Calibri"/>
                <w:color w:val="000000" w:themeColor="text1"/>
              </w:rPr>
              <w:t>ComStock Building Type</w:t>
            </w:r>
          </w:p>
        </w:tc>
        <w:tc>
          <w:tcPr>
            <w:tcW w:w="4311" w:type="dxa"/>
            <w:gridSpan w:val="2"/>
          </w:tcPr>
          <w:p w14:paraId="2FAC2338" w14:textId="60D12730" w:rsidR="5F4DC434" w:rsidRDefault="5F4DC434" w:rsidP="79AD0215">
            <w:pPr>
              <w:rPr>
                <w:rFonts w:cs="Calibri"/>
                <w:color w:val="000000" w:themeColor="text1"/>
              </w:rPr>
            </w:pPr>
            <w:r w:rsidRPr="79AD0215">
              <w:rPr>
                <w:rFonts w:cs="Calibri"/>
                <w:color w:val="000000" w:themeColor="text1"/>
              </w:rPr>
              <w:t>Design Outdoor Air Flow Rate (m^3</w:t>
            </w:r>
            <w:r w:rsidR="3180DB31" w:rsidRPr="79AD0215">
              <w:rPr>
                <w:rFonts w:cs="Calibri"/>
                <w:color w:val="000000" w:themeColor="text1"/>
              </w:rPr>
              <w:t>/s-m^2</w:t>
            </w:r>
            <w:r w:rsidR="57B6D7C6" w:rsidRPr="79AD0215">
              <w:rPr>
                <w:rFonts w:cs="Calibri"/>
                <w:color w:val="000000" w:themeColor="text1"/>
              </w:rPr>
              <w:t>)</w:t>
            </w:r>
          </w:p>
        </w:tc>
        <w:tc>
          <w:tcPr>
            <w:tcW w:w="2140" w:type="dxa"/>
            <w:vMerge w:val="restart"/>
          </w:tcPr>
          <w:p w14:paraId="2679CB60" w14:textId="0853C495" w:rsidR="79AD0215" w:rsidRDefault="79AD0215" w:rsidP="79AD0215">
            <w:pPr>
              <w:rPr>
                <w:rFonts w:cs="Calibri"/>
                <w:color w:val="000000" w:themeColor="text1"/>
              </w:rPr>
            </w:pPr>
            <w:r w:rsidRPr="79AD0215">
              <w:rPr>
                <w:rFonts w:cs="Calibri"/>
                <w:color w:val="000000" w:themeColor="text1"/>
              </w:rPr>
              <w:t xml:space="preserve"> </w:t>
            </w:r>
            <w:r w:rsidR="3FF4D096" w:rsidRPr="79AD0215">
              <w:rPr>
                <w:rFonts w:cs="Calibri"/>
                <w:color w:val="000000" w:themeColor="text1"/>
              </w:rPr>
              <w:t xml:space="preserve">Percent </w:t>
            </w:r>
            <w:r w:rsidR="63F75E16" w:rsidRPr="79AD0215">
              <w:rPr>
                <w:rFonts w:cs="Calibri"/>
                <w:color w:val="000000" w:themeColor="text1"/>
              </w:rPr>
              <w:t>Increase</w:t>
            </w:r>
          </w:p>
        </w:tc>
      </w:tr>
      <w:tr w:rsidR="79AD0215" w14:paraId="4397051E" w14:textId="77777777" w:rsidTr="79AD0215">
        <w:trPr>
          <w:trHeight w:val="420"/>
        </w:trPr>
        <w:tc>
          <w:tcPr>
            <w:tcW w:w="2970" w:type="dxa"/>
            <w:vMerge/>
          </w:tcPr>
          <w:p w14:paraId="72FDF4C0" w14:textId="77777777" w:rsidR="00237ED7" w:rsidRDefault="00237ED7"/>
        </w:tc>
        <w:tc>
          <w:tcPr>
            <w:tcW w:w="1995" w:type="dxa"/>
          </w:tcPr>
          <w:p w14:paraId="02333D1C" w14:textId="7EEA6B47" w:rsidR="53534492" w:rsidRDefault="53534492" w:rsidP="79AD0215">
            <w:pPr>
              <w:spacing w:line="259" w:lineRule="auto"/>
              <w:rPr>
                <w:rFonts w:cs="Calibri"/>
                <w:color w:val="000000" w:themeColor="text1"/>
              </w:rPr>
            </w:pPr>
            <w:r w:rsidRPr="79AD0215">
              <w:rPr>
                <w:rFonts w:cs="Calibri"/>
                <w:color w:val="000000" w:themeColor="text1"/>
              </w:rPr>
              <w:t>Old</w:t>
            </w:r>
            <w:r w:rsidR="79AD0215" w:rsidRPr="79AD0215">
              <w:rPr>
                <w:rFonts w:cs="Calibri"/>
                <w:color w:val="000000" w:themeColor="text1"/>
              </w:rPr>
              <w:t xml:space="preserve"> Method</w:t>
            </w:r>
          </w:p>
        </w:tc>
        <w:tc>
          <w:tcPr>
            <w:tcW w:w="2316" w:type="dxa"/>
          </w:tcPr>
          <w:p w14:paraId="4D039DA9" w14:textId="1EC172E9" w:rsidR="53534492" w:rsidRDefault="53534492" w:rsidP="79AD0215">
            <w:pPr>
              <w:rPr>
                <w:rFonts w:cs="Calibri"/>
                <w:color w:val="000000" w:themeColor="text1"/>
              </w:rPr>
            </w:pPr>
            <w:r w:rsidRPr="79AD0215">
              <w:rPr>
                <w:rFonts w:cs="Calibri"/>
                <w:color w:val="000000" w:themeColor="text1"/>
              </w:rPr>
              <w:t>New</w:t>
            </w:r>
            <w:r w:rsidR="79AD0215" w:rsidRPr="79AD0215">
              <w:rPr>
                <w:rFonts w:cs="Calibri"/>
                <w:color w:val="000000" w:themeColor="text1"/>
              </w:rPr>
              <w:t xml:space="preserve"> Method</w:t>
            </w:r>
          </w:p>
        </w:tc>
        <w:tc>
          <w:tcPr>
            <w:tcW w:w="2140" w:type="dxa"/>
            <w:vMerge/>
          </w:tcPr>
          <w:p w14:paraId="6551DCD8" w14:textId="77777777" w:rsidR="00237ED7" w:rsidRDefault="00237ED7"/>
        </w:tc>
      </w:tr>
      <w:tr w:rsidR="79AD0215" w14:paraId="2A0F1B78" w14:textId="77777777" w:rsidTr="79AD0215">
        <w:trPr>
          <w:trHeight w:val="285"/>
        </w:trPr>
        <w:tc>
          <w:tcPr>
            <w:tcW w:w="2970" w:type="dxa"/>
          </w:tcPr>
          <w:p w14:paraId="3935FD6E" w14:textId="128737C2" w:rsidR="79AD0215" w:rsidRDefault="79AD0215">
            <w:r w:rsidRPr="79AD0215">
              <w:rPr>
                <w:rFonts w:cs="Calibri"/>
                <w:color w:val="000000" w:themeColor="text1"/>
              </w:rPr>
              <w:t>FullServiceRestaurant</w:t>
            </w:r>
          </w:p>
        </w:tc>
        <w:tc>
          <w:tcPr>
            <w:tcW w:w="1995" w:type="dxa"/>
          </w:tcPr>
          <w:p w14:paraId="1BB66A60" w14:textId="0352124E" w:rsidR="79AD0215" w:rsidRDefault="79AD0215">
            <w:r w:rsidRPr="79AD0215">
              <w:rPr>
                <w:rFonts w:cs="Calibri"/>
                <w:color w:val="000000" w:themeColor="text1"/>
              </w:rPr>
              <w:t>0.0027</w:t>
            </w:r>
          </w:p>
        </w:tc>
        <w:tc>
          <w:tcPr>
            <w:tcW w:w="2316" w:type="dxa"/>
          </w:tcPr>
          <w:p w14:paraId="5993C0F9" w14:textId="6A1F5134" w:rsidR="79AD0215" w:rsidRDefault="79AD0215">
            <w:r w:rsidRPr="79AD0215">
              <w:rPr>
                <w:rFonts w:cs="Calibri"/>
                <w:color w:val="000000" w:themeColor="text1"/>
              </w:rPr>
              <w:t>0.0028</w:t>
            </w:r>
          </w:p>
        </w:tc>
        <w:tc>
          <w:tcPr>
            <w:tcW w:w="2140" w:type="dxa"/>
          </w:tcPr>
          <w:p w14:paraId="43BF7F82" w14:textId="28B547D3" w:rsidR="79AD0215" w:rsidRDefault="79AD0215">
            <w:r w:rsidRPr="79AD0215">
              <w:rPr>
                <w:rFonts w:cs="Calibri"/>
                <w:color w:val="000000" w:themeColor="text1"/>
              </w:rPr>
              <w:t>1.1</w:t>
            </w:r>
            <w:r w:rsidR="00B55F27">
              <w:rPr>
                <w:rFonts w:cs="Calibri"/>
                <w:color w:val="000000" w:themeColor="text1"/>
              </w:rPr>
              <w:t>7</w:t>
            </w:r>
          </w:p>
        </w:tc>
      </w:tr>
      <w:tr w:rsidR="79AD0215" w14:paraId="357431BA" w14:textId="77777777" w:rsidTr="79AD0215">
        <w:trPr>
          <w:trHeight w:val="285"/>
        </w:trPr>
        <w:tc>
          <w:tcPr>
            <w:tcW w:w="2970" w:type="dxa"/>
          </w:tcPr>
          <w:p w14:paraId="005948E0" w14:textId="7BB71BD8" w:rsidR="79AD0215" w:rsidRDefault="79AD0215">
            <w:r w:rsidRPr="79AD0215">
              <w:rPr>
                <w:rFonts w:cs="Calibri"/>
                <w:color w:val="000000" w:themeColor="text1"/>
              </w:rPr>
              <w:t>QuickServiceRestaurant</w:t>
            </w:r>
          </w:p>
        </w:tc>
        <w:tc>
          <w:tcPr>
            <w:tcW w:w="1995" w:type="dxa"/>
          </w:tcPr>
          <w:p w14:paraId="4C9B344E" w14:textId="19CA16E0" w:rsidR="79AD0215" w:rsidRDefault="79AD0215">
            <w:r w:rsidRPr="79AD0215">
              <w:rPr>
                <w:rFonts w:cs="Calibri"/>
                <w:color w:val="000000" w:themeColor="text1"/>
              </w:rPr>
              <w:t>0.0022</w:t>
            </w:r>
          </w:p>
        </w:tc>
        <w:tc>
          <w:tcPr>
            <w:tcW w:w="2316" w:type="dxa"/>
          </w:tcPr>
          <w:p w14:paraId="25C3D0DF" w14:textId="1A6120D5" w:rsidR="79AD0215" w:rsidRDefault="79AD0215">
            <w:r w:rsidRPr="79AD0215">
              <w:rPr>
                <w:rFonts w:cs="Calibri"/>
                <w:color w:val="000000" w:themeColor="text1"/>
              </w:rPr>
              <w:t>0.0024</w:t>
            </w:r>
          </w:p>
        </w:tc>
        <w:tc>
          <w:tcPr>
            <w:tcW w:w="2140" w:type="dxa"/>
          </w:tcPr>
          <w:p w14:paraId="2D11F2E4" w14:textId="1C6DF5B3" w:rsidR="79AD0215" w:rsidRDefault="79AD0215">
            <w:r w:rsidRPr="79AD0215">
              <w:rPr>
                <w:rFonts w:cs="Calibri"/>
                <w:color w:val="000000" w:themeColor="text1"/>
              </w:rPr>
              <w:t>6.16</w:t>
            </w:r>
          </w:p>
        </w:tc>
      </w:tr>
      <w:tr w:rsidR="79AD0215" w14:paraId="04374037" w14:textId="77777777" w:rsidTr="79AD0215">
        <w:trPr>
          <w:trHeight w:val="285"/>
        </w:trPr>
        <w:tc>
          <w:tcPr>
            <w:tcW w:w="2970" w:type="dxa"/>
          </w:tcPr>
          <w:p w14:paraId="33C5BA5D" w14:textId="6FE0CAD0" w:rsidR="79AD0215" w:rsidRDefault="79AD0215">
            <w:r w:rsidRPr="79AD0215">
              <w:rPr>
                <w:rFonts w:cs="Calibri"/>
                <w:color w:val="000000" w:themeColor="text1"/>
              </w:rPr>
              <w:t>Warehouse</w:t>
            </w:r>
          </w:p>
        </w:tc>
        <w:tc>
          <w:tcPr>
            <w:tcW w:w="1995" w:type="dxa"/>
          </w:tcPr>
          <w:p w14:paraId="5B344789" w14:textId="69C4D8BB" w:rsidR="79AD0215" w:rsidRDefault="79AD0215">
            <w:r w:rsidRPr="79AD0215">
              <w:rPr>
                <w:rFonts w:cs="Calibri"/>
                <w:color w:val="000000" w:themeColor="text1"/>
              </w:rPr>
              <w:t>0.0008</w:t>
            </w:r>
          </w:p>
        </w:tc>
        <w:tc>
          <w:tcPr>
            <w:tcW w:w="2316" w:type="dxa"/>
          </w:tcPr>
          <w:p w14:paraId="535E6767" w14:textId="6C9DECDE" w:rsidR="79AD0215" w:rsidRDefault="79AD0215">
            <w:r w:rsidRPr="79AD0215">
              <w:rPr>
                <w:rFonts w:cs="Calibri"/>
                <w:color w:val="000000" w:themeColor="text1"/>
              </w:rPr>
              <w:t>0.0009</w:t>
            </w:r>
          </w:p>
        </w:tc>
        <w:tc>
          <w:tcPr>
            <w:tcW w:w="2140" w:type="dxa"/>
          </w:tcPr>
          <w:p w14:paraId="5B044DA0" w14:textId="2B1532BC" w:rsidR="79AD0215" w:rsidRDefault="79AD0215">
            <w:r w:rsidRPr="79AD0215">
              <w:rPr>
                <w:rFonts w:cs="Calibri"/>
                <w:color w:val="000000" w:themeColor="text1"/>
              </w:rPr>
              <w:t>22</w:t>
            </w:r>
            <w:r w:rsidR="00B55F27">
              <w:rPr>
                <w:rFonts w:cs="Calibri"/>
                <w:color w:val="000000" w:themeColor="text1"/>
              </w:rPr>
              <w:t>.00</w:t>
            </w:r>
          </w:p>
        </w:tc>
      </w:tr>
      <w:tr w:rsidR="79AD0215" w14:paraId="7599D489" w14:textId="77777777" w:rsidTr="79AD0215">
        <w:trPr>
          <w:trHeight w:val="285"/>
        </w:trPr>
        <w:tc>
          <w:tcPr>
            <w:tcW w:w="2970" w:type="dxa"/>
          </w:tcPr>
          <w:p w14:paraId="7905D3EA" w14:textId="73B29FD1" w:rsidR="79AD0215" w:rsidRDefault="79AD0215">
            <w:r w:rsidRPr="79AD0215">
              <w:rPr>
                <w:rFonts w:cs="Calibri"/>
                <w:color w:val="000000" w:themeColor="text1"/>
              </w:rPr>
              <w:t>PrimarySchool</w:t>
            </w:r>
          </w:p>
        </w:tc>
        <w:tc>
          <w:tcPr>
            <w:tcW w:w="1995" w:type="dxa"/>
          </w:tcPr>
          <w:p w14:paraId="0BCC1AB9" w14:textId="527975B3" w:rsidR="79AD0215" w:rsidRDefault="79AD0215">
            <w:r w:rsidRPr="79AD0215">
              <w:rPr>
                <w:rFonts w:cs="Calibri"/>
                <w:color w:val="000000" w:themeColor="text1"/>
              </w:rPr>
              <w:t>0.0023</w:t>
            </w:r>
          </w:p>
        </w:tc>
        <w:tc>
          <w:tcPr>
            <w:tcW w:w="2316" w:type="dxa"/>
          </w:tcPr>
          <w:p w14:paraId="40987C77" w14:textId="6C75F194" w:rsidR="79AD0215" w:rsidRDefault="79AD0215">
            <w:r w:rsidRPr="79AD0215">
              <w:rPr>
                <w:rFonts w:cs="Calibri"/>
                <w:color w:val="000000" w:themeColor="text1"/>
              </w:rPr>
              <w:t>0.0028</w:t>
            </w:r>
          </w:p>
        </w:tc>
        <w:tc>
          <w:tcPr>
            <w:tcW w:w="2140" w:type="dxa"/>
          </w:tcPr>
          <w:p w14:paraId="75A8E474" w14:textId="7DBDE802" w:rsidR="79AD0215" w:rsidRDefault="79AD0215">
            <w:r w:rsidRPr="79AD0215">
              <w:rPr>
                <w:rFonts w:cs="Calibri"/>
                <w:color w:val="000000" w:themeColor="text1"/>
              </w:rPr>
              <w:t>24.7</w:t>
            </w:r>
            <w:r w:rsidR="00B55F27">
              <w:rPr>
                <w:rFonts w:cs="Calibri"/>
                <w:color w:val="000000" w:themeColor="text1"/>
              </w:rPr>
              <w:t>1</w:t>
            </w:r>
          </w:p>
        </w:tc>
      </w:tr>
      <w:tr w:rsidR="79AD0215" w14:paraId="570F334D" w14:textId="77777777" w:rsidTr="79AD0215">
        <w:trPr>
          <w:trHeight w:val="285"/>
        </w:trPr>
        <w:tc>
          <w:tcPr>
            <w:tcW w:w="2970" w:type="dxa"/>
          </w:tcPr>
          <w:p w14:paraId="321D7BFD" w14:textId="094648CB" w:rsidR="79AD0215" w:rsidRDefault="79AD0215">
            <w:r w:rsidRPr="79AD0215">
              <w:rPr>
                <w:rFonts w:cs="Calibri"/>
                <w:color w:val="000000" w:themeColor="text1"/>
              </w:rPr>
              <w:t>SecondarySchool</w:t>
            </w:r>
          </w:p>
        </w:tc>
        <w:tc>
          <w:tcPr>
            <w:tcW w:w="1995" w:type="dxa"/>
          </w:tcPr>
          <w:p w14:paraId="57B10198" w14:textId="04800360" w:rsidR="79AD0215" w:rsidRDefault="79AD0215">
            <w:r w:rsidRPr="79AD0215">
              <w:rPr>
                <w:rFonts w:cs="Calibri"/>
                <w:color w:val="000000" w:themeColor="text1"/>
              </w:rPr>
              <w:t>0.0022</w:t>
            </w:r>
          </w:p>
        </w:tc>
        <w:tc>
          <w:tcPr>
            <w:tcW w:w="2316" w:type="dxa"/>
          </w:tcPr>
          <w:p w14:paraId="4B21A04F" w14:textId="0F2D0F4D" w:rsidR="79AD0215" w:rsidRDefault="79AD0215">
            <w:r w:rsidRPr="79AD0215">
              <w:rPr>
                <w:rFonts w:cs="Calibri"/>
                <w:color w:val="000000" w:themeColor="text1"/>
              </w:rPr>
              <w:t>0.0028</w:t>
            </w:r>
          </w:p>
        </w:tc>
        <w:tc>
          <w:tcPr>
            <w:tcW w:w="2140" w:type="dxa"/>
          </w:tcPr>
          <w:p w14:paraId="4AA20431" w14:textId="5F19FE3A" w:rsidR="79AD0215" w:rsidRDefault="79AD0215">
            <w:r w:rsidRPr="79AD0215">
              <w:rPr>
                <w:rFonts w:cs="Calibri"/>
                <w:color w:val="000000" w:themeColor="text1"/>
              </w:rPr>
              <w:t>25.4</w:t>
            </w:r>
            <w:r w:rsidR="00B55F27">
              <w:rPr>
                <w:rFonts w:cs="Calibri"/>
                <w:color w:val="000000" w:themeColor="text1"/>
              </w:rPr>
              <w:t>5</w:t>
            </w:r>
          </w:p>
        </w:tc>
      </w:tr>
      <w:tr w:rsidR="79AD0215" w14:paraId="5DB434FE" w14:textId="77777777" w:rsidTr="79AD0215">
        <w:trPr>
          <w:trHeight w:val="285"/>
        </w:trPr>
        <w:tc>
          <w:tcPr>
            <w:tcW w:w="2970" w:type="dxa"/>
          </w:tcPr>
          <w:p w14:paraId="58951C84" w14:textId="2CD06440" w:rsidR="79AD0215" w:rsidRDefault="79AD0215">
            <w:r w:rsidRPr="79AD0215">
              <w:rPr>
                <w:rFonts w:cs="Calibri"/>
                <w:color w:val="000000" w:themeColor="text1"/>
              </w:rPr>
              <w:t>RetailStripmall</w:t>
            </w:r>
          </w:p>
        </w:tc>
        <w:tc>
          <w:tcPr>
            <w:tcW w:w="1995" w:type="dxa"/>
          </w:tcPr>
          <w:p w14:paraId="5570967B" w14:textId="0FF09FDD" w:rsidR="79AD0215" w:rsidRDefault="79AD0215">
            <w:r w:rsidRPr="79AD0215">
              <w:rPr>
                <w:rFonts w:cs="Calibri"/>
                <w:color w:val="000000" w:themeColor="text1"/>
              </w:rPr>
              <w:t>0.0016</w:t>
            </w:r>
          </w:p>
        </w:tc>
        <w:tc>
          <w:tcPr>
            <w:tcW w:w="2316" w:type="dxa"/>
          </w:tcPr>
          <w:p w14:paraId="7D835EB1" w14:textId="145C692D" w:rsidR="79AD0215" w:rsidRDefault="79AD0215">
            <w:r w:rsidRPr="79AD0215">
              <w:rPr>
                <w:rFonts w:cs="Calibri"/>
                <w:color w:val="000000" w:themeColor="text1"/>
              </w:rPr>
              <w:t>0.0024</w:t>
            </w:r>
          </w:p>
        </w:tc>
        <w:tc>
          <w:tcPr>
            <w:tcW w:w="2140" w:type="dxa"/>
          </w:tcPr>
          <w:p w14:paraId="37DE71B4" w14:textId="71896B00" w:rsidR="79AD0215" w:rsidRDefault="79AD0215">
            <w:r w:rsidRPr="79AD0215">
              <w:rPr>
                <w:rFonts w:cs="Calibri"/>
                <w:color w:val="000000" w:themeColor="text1"/>
              </w:rPr>
              <w:t>48.07</w:t>
            </w:r>
          </w:p>
        </w:tc>
      </w:tr>
      <w:tr w:rsidR="79AD0215" w14:paraId="2AD98741" w14:textId="77777777" w:rsidTr="79AD0215">
        <w:trPr>
          <w:trHeight w:val="285"/>
        </w:trPr>
        <w:tc>
          <w:tcPr>
            <w:tcW w:w="2970" w:type="dxa"/>
          </w:tcPr>
          <w:p w14:paraId="54D6681B" w14:textId="2D20671B" w:rsidR="79AD0215" w:rsidRDefault="79AD0215">
            <w:r w:rsidRPr="79AD0215">
              <w:rPr>
                <w:rFonts w:cs="Calibri"/>
                <w:color w:val="000000" w:themeColor="text1"/>
              </w:rPr>
              <w:t>Hospital</w:t>
            </w:r>
          </w:p>
        </w:tc>
        <w:tc>
          <w:tcPr>
            <w:tcW w:w="1995" w:type="dxa"/>
          </w:tcPr>
          <w:p w14:paraId="3163CDE8" w14:textId="55B512EB" w:rsidR="79AD0215" w:rsidRDefault="79AD0215">
            <w:r w:rsidRPr="79AD0215">
              <w:rPr>
                <w:rFonts w:cs="Calibri"/>
                <w:color w:val="000000" w:themeColor="text1"/>
              </w:rPr>
              <w:t>0.0008</w:t>
            </w:r>
          </w:p>
        </w:tc>
        <w:tc>
          <w:tcPr>
            <w:tcW w:w="2316" w:type="dxa"/>
          </w:tcPr>
          <w:p w14:paraId="4F5080B8" w14:textId="2975198A" w:rsidR="79AD0215" w:rsidRDefault="79AD0215">
            <w:r w:rsidRPr="79AD0215">
              <w:rPr>
                <w:rFonts w:cs="Calibri"/>
                <w:color w:val="000000" w:themeColor="text1"/>
              </w:rPr>
              <w:t>0.0013</w:t>
            </w:r>
          </w:p>
        </w:tc>
        <w:tc>
          <w:tcPr>
            <w:tcW w:w="2140" w:type="dxa"/>
          </w:tcPr>
          <w:p w14:paraId="72EFCC6B" w14:textId="17B753D1" w:rsidR="79AD0215" w:rsidRDefault="79AD0215">
            <w:r w:rsidRPr="79AD0215">
              <w:rPr>
                <w:rFonts w:cs="Calibri"/>
                <w:color w:val="000000" w:themeColor="text1"/>
              </w:rPr>
              <w:t>62.27</w:t>
            </w:r>
          </w:p>
        </w:tc>
      </w:tr>
      <w:tr w:rsidR="79AD0215" w14:paraId="32D71F8C" w14:textId="77777777" w:rsidTr="79AD0215">
        <w:trPr>
          <w:trHeight w:val="285"/>
        </w:trPr>
        <w:tc>
          <w:tcPr>
            <w:tcW w:w="2970" w:type="dxa"/>
          </w:tcPr>
          <w:p w14:paraId="0B7621A1" w14:textId="56A1A391" w:rsidR="79AD0215" w:rsidRDefault="79AD0215">
            <w:r w:rsidRPr="79AD0215">
              <w:rPr>
                <w:rFonts w:cs="Calibri"/>
                <w:color w:val="000000" w:themeColor="text1"/>
              </w:rPr>
              <w:t>RetailStandalone</w:t>
            </w:r>
          </w:p>
        </w:tc>
        <w:tc>
          <w:tcPr>
            <w:tcW w:w="1995" w:type="dxa"/>
          </w:tcPr>
          <w:p w14:paraId="5DA2B929" w14:textId="70C678AD" w:rsidR="79AD0215" w:rsidRDefault="79AD0215">
            <w:r w:rsidRPr="79AD0215">
              <w:rPr>
                <w:rFonts w:cs="Calibri"/>
                <w:color w:val="000000" w:themeColor="text1"/>
              </w:rPr>
              <w:t>0.0014</w:t>
            </w:r>
          </w:p>
        </w:tc>
        <w:tc>
          <w:tcPr>
            <w:tcW w:w="2316" w:type="dxa"/>
          </w:tcPr>
          <w:p w14:paraId="6E295A5C" w14:textId="4532C3BF" w:rsidR="79AD0215" w:rsidRDefault="79AD0215">
            <w:r w:rsidRPr="79AD0215">
              <w:rPr>
                <w:rFonts w:cs="Calibri"/>
                <w:color w:val="000000" w:themeColor="text1"/>
              </w:rPr>
              <w:t>0.0024</w:t>
            </w:r>
          </w:p>
        </w:tc>
        <w:tc>
          <w:tcPr>
            <w:tcW w:w="2140" w:type="dxa"/>
          </w:tcPr>
          <w:p w14:paraId="031826CC" w14:textId="3803999A" w:rsidR="79AD0215" w:rsidRDefault="79AD0215">
            <w:r w:rsidRPr="79AD0215">
              <w:rPr>
                <w:rFonts w:cs="Calibri"/>
                <w:color w:val="000000" w:themeColor="text1"/>
              </w:rPr>
              <w:t>77.1</w:t>
            </w:r>
            <w:r w:rsidR="00B55F27">
              <w:rPr>
                <w:rFonts w:cs="Calibri"/>
                <w:color w:val="000000" w:themeColor="text1"/>
              </w:rPr>
              <w:t>4</w:t>
            </w:r>
          </w:p>
        </w:tc>
      </w:tr>
      <w:tr w:rsidR="79AD0215" w14:paraId="113A7513" w14:textId="77777777" w:rsidTr="79AD0215">
        <w:trPr>
          <w:trHeight w:val="285"/>
        </w:trPr>
        <w:tc>
          <w:tcPr>
            <w:tcW w:w="2970" w:type="dxa"/>
          </w:tcPr>
          <w:p w14:paraId="4734310A" w14:textId="1BEC15B0" w:rsidR="79AD0215" w:rsidRDefault="79AD0215">
            <w:r w:rsidRPr="79AD0215">
              <w:rPr>
                <w:rFonts w:cs="Calibri"/>
                <w:color w:val="000000" w:themeColor="text1"/>
              </w:rPr>
              <w:t>LargeHotel</w:t>
            </w:r>
          </w:p>
        </w:tc>
        <w:tc>
          <w:tcPr>
            <w:tcW w:w="1995" w:type="dxa"/>
          </w:tcPr>
          <w:p w14:paraId="0260C443" w14:textId="53A6E4A7" w:rsidR="79AD0215" w:rsidRDefault="79AD0215">
            <w:r w:rsidRPr="79AD0215">
              <w:rPr>
                <w:rFonts w:cs="Calibri"/>
                <w:color w:val="000000" w:themeColor="text1"/>
              </w:rPr>
              <w:t>0.0005</w:t>
            </w:r>
          </w:p>
        </w:tc>
        <w:tc>
          <w:tcPr>
            <w:tcW w:w="2316" w:type="dxa"/>
          </w:tcPr>
          <w:p w14:paraId="3BF04157" w14:textId="0E77FF19" w:rsidR="79AD0215" w:rsidRDefault="79AD0215">
            <w:r w:rsidRPr="79AD0215">
              <w:rPr>
                <w:rFonts w:cs="Calibri"/>
                <w:color w:val="000000" w:themeColor="text1"/>
              </w:rPr>
              <w:t>0.0011</w:t>
            </w:r>
          </w:p>
        </w:tc>
        <w:tc>
          <w:tcPr>
            <w:tcW w:w="2140" w:type="dxa"/>
          </w:tcPr>
          <w:p w14:paraId="43E917F6" w14:textId="3CB5AF7C" w:rsidR="79AD0215" w:rsidRDefault="79AD0215">
            <w:r w:rsidRPr="79AD0215">
              <w:rPr>
                <w:rFonts w:cs="Calibri"/>
                <w:color w:val="000000" w:themeColor="text1"/>
              </w:rPr>
              <w:t>109.1</w:t>
            </w:r>
            <w:r w:rsidR="00B55F27">
              <w:rPr>
                <w:rFonts w:cs="Calibri"/>
                <w:color w:val="000000" w:themeColor="text1"/>
              </w:rPr>
              <w:t>4</w:t>
            </w:r>
          </w:p>
        </w:tc>
      </w:tr>
      <w:tr w:rsidR="79AD0215" w14:paraId="1714596A" w14:textId="77777777" w:rsidTr="79AD0215">
        <w:trPr>
          <w:trHeight w:val="285"/>
        </w:trPr>
        <w:tc>
          <w:tcPr>
            <w:tcW w:w="2970" w:type="dxa"/>
          </w:tcPr>
          <w:p w14:paraId="70C473B6" w14:textId="5EFCFF33" w:rsidR="79AD0215" w:rsidRDefault="79AD0215">
            <w:r w:rsidRPr="79AD0215">
              <w:rPr>
                <w:rFonts w:cs="Calibri"/>
                <w:color w:val="000000" w:themeColor="text1"/>
              </w:rPr>
              <w:t>MediumOffice</w:t>
            </w:r>
          </w:p>
        </w:tc>
        <w:tc>
          <w:tcPr>
            <w:tcW w:w="1995" w:type="dxa"/>
          </w:tcPr>
          <w:p w14:paraId="0A627C1D" w14:textId="4C166AEF" w:rsidR="79AD0215" w:rsidRDefault="79AD0215">
            <w:r w:rsidRPr="79AD0215">
              <w:rPr>
                <w:rFonts w:cs="Calibri"/>
                <w:color w:val="000000" w:themeColor="text1"/>
              </w:rPr>
              <w:t>0.0006</w:t>
            </w:r>
          </w:p>
        </w:tc>
        <w:tc>
          <w:tcPr>
            <w:tcW w:w="2316" w:type="dxa"/>
          </w:tcPr>
          <w:p w14:paraId="5FC37B1F" w14:textId="59DC85F8" w:rsidR="79AD0215" w:rsidRDefault="79AD0215">
            <w:r w:rsidRPr="79AD0215">
              <w:rPr>
                <w:rFonts w:cs="Calibri"/>
                <w:color w:val="000000" w:themeColor="text1"/>
              </w:rPr>
              <w:t>0.0012</w:t>
            </w:r>
          </w:p>
        </w:tc>
        <w:tc>
          <w:tcPr>
            <w:tcW w:w="2140" w:type="dxa"/>
          </w:tcPr>
          <w:p w14:paraId="17AEA82E" w14:textId="704ACB91" w:rsidR="79AD0215" w:rsidRDefault="79AD0215">
            <w:r w:rsidRPr="79AD0215">
              <w:rPr>
                <w:rFonts w:cs="Calibri"/>
                <w:color w:val="000000" w:themeColor="text1"/>
              </w:rPr>
              <w:t>113.97</w:t>
            </w:r>
          </w:p>
        </w:tc>
      </w:tr>
      <w:tr w:rsidR="79AD0215" w14:paraId="652CDDC6" w14:textId="77777777" w:rsidTr="79AD0215">
        <w:trPr>
          <w:trHeight w:val="285"/>
        </w:trPr>
        <w:tc>
          <w:tcPr>
            <w:tcW w:w="2970" w:type="dxa"/>
          </w:tcPr>
          <w:p w14:paraId="1D706A47" w14:textId="3F9C5B66" w:rsidR="79AD0215" w:rsidRDefault="79AD0215">
            <w:r w:rsidRPr="79AD0215">
              <w:rPr>
                <w:rFonts w:cs="Calibri"/>
                <w:color w:val="000000" w:themeColor="text1"/>
              </w:rPr>
              <w:t>Outpatient</w:t>
            </w:r>
          </w:p>
        </w:tc>
        <w:tc>
          <w:tcPr>
            <w:tcW w:w="1995" w:type="dxa"/>
          </w:tcPr>
          <w:p w14:paraId="73AC75F6" w14:textId="3409F93F" w:rsidR="79AD0215" w:rsidRDefault="79AD0215">
            <w:r w:rsidRPr="79AD0215">
              <w:rPr>
                <w:rFonts w:cs="Calibri"/>
                <w:color w:val="000000" w:themeColor="text1"/>
              </w:rPr>
              <w:t>0.0006</w:t>
            </w:r>
          </w:p>
        </w:tc>
        <w:tc>
          <w:tcPr>
            <w:tcW w:w="2316" w:type="dxa"/>
          </w:tcPr>
          <w:p w14:paraId="0A835F1F" w14:textId="20AACF78" w:rsidR="79AD0215" w:rsidRDefault="79AD0215" w:rsidP="79AD0215">
            <w:pPr>
              <w:rPr>
                <w:rFonts w:cs="Calibri"/>
                <w:color w:val="000000" w:themeColor="text1"/>
              </w:rPr>
            </w:pPr>
            <w:r w:rsidRPr="79AD0215">
              <w:rPr>
                <w:rFonts w:cs="Calibri"/>
                <w:color w:val="000000" w:themeColor="text1"/>
              </w:rPr>
              <w:t>0.0012</w:t>
            </w:r>
          </w:p>
        </w:tc>
        <w:tc>
          <w:tcPr>
            <w:tcW w:w="2140" w:type="dxa"/>
          </w:tcPr>
          <w:p w14:paraId="0BC142A5" w14:textId="32BD66DE" w:rsidR="79AD0215" w:rsidRDefault="79AD0215">
            <w:r w:rsidRPr="79AD0215">
              <w:rPr>
                <w:rFonts w:cs="Calibri"/>
                <w:color w:val="000000" w:themeColor="text1"/>
              </w:rPr>
              <w:t>113.97</w:t>
            </w:r>
          </w:p>
        </w:tc>
      </w:tr>
      <w:tr w:rsidR="79AD0215" w14:paraId="71C91C07" w14:textId="77777777" w:rsidTr="79AD0215">
        <w:trPr>
          <w:trHeight w:val="285"/>
        </w:trPr>
        <w:tc>
          <w:tcPr>
            <w:tcW w:w="2970" w:type="dxa"/>
          </w:tcPr>
          <w:p w14:paraId="7C23627D" w14:textId="6F695E1F" w:rsidR="79AD0215" w:rsidRDefault="79AD0215">
            <w:r w:rsidRPr="79AD0215">
              <w:rPr>
                <w:rFonts w:cs="Calibri"/>
                <w:color w:val="000000" w:themeColor="text1"/>
              </w:rPr>
              <w:t>LargeOffice</w:t>
            </w:r>
          </w:p>
        </w:tc>
        <w:tc>
          <w:tcPr>
            <w:tcW w:w="1995" w:type="dxa"/>
          </w:tcPr>
          <w:p w14:paraId="7D107409" w14:textId="062E1AA1" w:rsidR="79AD0215" w:rsidRDefault="79AD0215">
            <w:r w:rsidRPr="79AD0215">
              <w:rPr>
                <w:rFonts w:cs="Calibri"/>
                <w:color w:val="000000" w:themeColor="text1"/>
              </w:rPr>
              <w:t>0.0006</w:t>
            </w:r>
          </w:p>
        </w:tc>
        <w:tc>
          <w:tcPr>
            <w:tcW w:w="2316" w:type="dxa"/>
          </w:tcPr>
          <w:p w14:paraId="03D26F6C" w14:textId="48A3F4C3" w:rsidR="79AD0215" w:rsidRDefault="79AD0215">
            <w:r w:rsidRPr="79AD0215">
              <w:rPr>
                <w:rFonts w:cs="Calibri"/>
                <w:color w:val="000000" w:themeColor="text1"/>
              </w:rPr>
              <w:t>0.0012</w:t>
            </w:r>
          </w:p>
        </w:tc>
        <w:tc>
          <w:tcPr>
            <w:tcW w:w="2140" w:type="dxa"/>
          </w:tcPr>
          <w:p w14:paraId="07951B06" w14:textId="13315DEA" w:rsidR="79AD0215" w:rsidRDefault="79AD0215">
            <w:r w:rsidRPr="79AD0215">
              <w:rPr>
                <w:rFonts w:cs="Calibri"/>
                <w:color w:val="000000" w:themeColor="text1"/>
              </w:rPr>
              <w:t>113.97</w:t>
            </w:r>
          </w:p>
        </w:tc>
      </w:tr>
      <w:tr w:rsidR="79AD0215" w14:paraId="6C2350F1" w14:textId="77777777" w:rsidTr="79AD0215">
        <w:trPr>
          <w:trHeight w:val="285"/>
        </w:trPr>
        <w:tc>
          <w:tcPr>
            <w:tcW w:w="2970" w:type="dxa"/>
          </w:tcPr>
          <w:p w14:paraId="58CECF33" w14:textId="3420C04E" w:rsidR="79AD0215" w:rsidRDefault="79AD0215">
            <w:r w:rsidRPr="79AD0215">
              <w:rPr>
                <w:rFonts w:cs="Calibri"/>
                <w:color w:val="000000" w:themeColor="text1"/>
              </w:rPr>
              <w:t>SmallOffice</w:t>
            </w:r>
          </w:p>
        </w:tc>
        <w:tc>
          <w:tcPr>
            <w:tcW w:w="1995" w:type="dxa"/>
          </w:tcPr>
          <w:p w14:paraId="49CD31F8" w14:textId="596F49A8" w:rsidR="79AD0215" w:rsidRDefault="79AD0215">
            <w:r w:rsidRPr="79AD0215">
              <w:rPr>
                <w:rFonts w:cs="Calibri"/>
                <w:color w:val="000000" w:themeColor="text1"/>
              </w:rPr>
              <w:t>0.0004</w:t>
            </w:r>
          </w:p>
        </w:tc>
        <w:tc>
          <w:tcPr>
            <w:tcW w:w="2316" w:type="dxa"/>
          </w:tcPr>
          <w:p w14:paraId="5D504BA3" w14:textId="5EBCF495" w:rsidR="79AD0215" w:rsidRDefault="79AD0215">
            <w:r w:rsidRPr="79AD0215">
              <w:rPr>
                <w:rFonts w:cs="Calibri"/>
                <w:color w:val="000000" w:themeColor="text1"/>
              </w:rPr>
              <w:t>0.0012</w:t>
            </w:r>
          </w:p>
        </w:tc>
        <w:tc>
          <w:tcPr>
            <w:tcW w:w="2140" w:type="dxa"/>
          </w:tcPr>
          <w:p w14:paraId="142C732C" w14:textId="39874C1E" w:rsidR="79AD0215" w:rsidRDefault="79AD0215">
            <w:r w:rsidRPr="79AD0215">
              <w:rPr>
                <w:rFonts w:cs="Calibri"/>
                <w:color w:val="000000" w:themeColor="text1"/>
              </w:rPr>
              <w:t>192.93</w:t>
            </w:r>
          </w:p>
        </w:tc>
      </w:tr>
      <w:tr w:rsidR="79AD0215" w14:paraId="6FDA74E4" w14:textId="77777777" w:rsidTr="79AD0215">
        <w:trPr>
          <w:trHeight w:val="285"/>
        </w:trPr>
        <w:tc>
          <w:tcPr>
            <w:tcW w:w="2970" w:type="dxa"/>
          </w:tcPr>
          <w:p w14:paraId="60712F0A" w14:textId="12E46048" w:rsidR="79AD0215" w:rsidRDefault="79AD0215">
            <w:r w:rsidRPr="79AD0215">
              <w:rPr>
                <w:rFonts w:cs="Calibri"/>
                <w:color w:val="000000" w:themeColor="text1"/>
              </w:rPr>
              <w:t>SmallHotel</w:t>
            </w:r>
          </w:p>
        </w:tc>
        <w:tc>
          <w:tcPr>
            <w:tcW w:w="1995" w:type="dxa"/>
          </w:tcPr>
          <w:p w14:paraId="475A8A35" w14:textId="36215100" w:rsidR="79AD0215" w:rsidRDefault="79AD0215">
            <w:r w:rsidRPr="79AD0215">
              <w:rPr>
                <w:rFonts w:cs="Calibri"/>
                <w:color w:val="000000" w:themeColor="text1"/>
              </w:rPr>
              <w:t>0.0003</w:t>
            </w:r>
          </w:p>
        </w:tc>
        <w:tc>
          <w:tcPr>
            <w:tcW w:w="2316" w:type="dxa"/>
          </w:tcPr>
          <w:p w14:paraId="1E87D208" w14:textId="4103138E" w:rsidR="79AD0215" w:rsidRDefault="79AD0215">
            <w:r w:rsidRPr="79AD0215">
              <w:rPr>
                <w:rFonts w:cs="Calibri"/>
                <w:color w:val="000000" w:themeColor="text1"/>
              </w:rPr>
              <w:t>0.0012</w:t>
            </w:r>
          </w:p>
        </w:tc>
        <w:tc>
          <w:tcPr>
            <w:tcW w:w="2140" w:type="dxa"/>
          </w:tcPr>
          <w:p w14:paraId="5858EC7D" w14:textId="106099EB" w:rsidR="79AD0215" w:rsidRDefault="79AD0215">
            <w:r w:rsidRPr="79AD0215">
              <w:rPr>
                <w:rFonts w:cs="Calibri"/>
                <w:color w:val="000000" w:themeColor="text1"/>
              </w:rPr>
              <w:t>248.37</w:t>
            </w:r>
          </w:p>
        </w:tc>
      </w:tr>
    </w:tbl>
    <w:p w14:paraId="55CD7C8A" w14:textId="673EEE36" w:rsidR="00C1709E" w:rsidRDefault="00C1709E" w:rsidP="79AD0215">
      <w:pPr>
        <w:sectPr w:rsidR="00C1709E">
          <w:pgSz w:w="12240" w:h="15840"/>
          <w:pgMar w:top="1440" w:right="1440" w:bottom="1440" w:left="1440" w:header="720" w:footer="720" w:gutter="0"/>
          <w:cols w:space="720"/>
          <w:docGrid w:linePitch="360"/>
        </w:sectPr>
      </w:pPr>
    </w:p>
    <w:p w14:paraId="57DBE869" w14:textId="5C45A0CB" w:rsidR="00C14306" w:rsidRDefault="00C14306" w:rsidP="008F1AAD">
      <w:pPr>
        <w:pStyle w:val="Heading1"/>
      </w:pPr>
      <w:r>
        <w:lastRenderedPageBreak/>
        <w:t>COP Variable</w:t>
      </w:r>
      <w:r w:rsidR="00E2737C">
        <w:t xml:space="preserve"> Types</w:t>
      </w:r>
    </w:p>
    <w:p w14:paraId="3120C5FD" w14:textId="04C4213A" w:rsidR="00E2737C" w:rsidRDefault="00B93A18" w:rsidP="00E2737C">
      <w:r>
        <w:t xml:space="preserve">Several </w:t>
      </w:r>
      <w:r w:rsidR="00912D39">
        <w:t xml:space="preserve">COP </w:t>
      </w:r>
      <w:r>
        <w:t>variables</w:t>
      </w:r>
      <w:r w:rsidR="008F1AAD">
        <w:t xml:space="preserve"> in the models required changes because of the OpenStudio version update. </w:t>
      </w:r>
      <w:r w:rsidR="00912D39">
        <w:t xml:space="preserve">The following </w:t>
      </w:r>
      <w:r w:rsidR="00CA46A1">
        <w:t>DX coil</w:t>
      </w:r>
      <w:r w:rsidR="00912D39">
        <w:t xml:space="preserve"> variables changes from Optional Double to Double, requiring an update to the </w:t>
      </w:r>
      <w:r w:rsidR="001049E1">
        <w:t>OpenStudio results measure code</w:t>
      </w:r>
      <w:r w:rsidR="00912D39">
        <w:t>:</w:t>
      </w:r>
    </w:p>
    <w:p w14:paraId="2F7BEF51" w14:textId="0D615B54" w:rsidR="00912D39" w:rsidRDefault="00912D39" w:rsidP="00912D39">
      <w:pPr>
        <w:pStyle w:val="ListParagraph"/>
        <w:numPr>
          <w:ilvl w:val="0"/>
          <w:numId w:val="3"/>
        </w:numPr>
      </w:pPr>
      <w:r>
        <w:t>Rated High Speed COP</w:t>
      </w:r>
    </w:p>
    <w:p w14:paraId="7D3EFE44" w14:textId="4B0F46FE" w:rsidR="00912D39" w:rsidRDefault="00912D39" w:rsidP="00912D39">
      <w:pPr>
        <w:pStyle w:val="ListParagraph"/>
        <w:numPr>
          <w:ilvl w:val="0"/>
          <w:numId w:val="3"/>
        </w:numPr>
      </w:pPr>
      <w:r>
        <w:t>Rated Low Speed COP</w:t>
      </w:r>
    </w:p>
    <w:p w14:paraId="35A22936" w14:textId="50AF5EBA" w:rsidR="00CA46A1" w:rsidRPr="00E2737C" w:rsidRDefault="00CA46A1" w:rsidP="001049E1">
      <w:pPr>
        <w:pStyle w:val="ListParagraph"/>
        <w:numPr>
          <w:ilvl w:val="0"/>
          <w:numId w:val="3"/>
        </w:numPr>
      </w:pPr>
      <w:r>
        <w:t>Rated COP</w:t>
      </w:r>
    </w:p>
    <w:p w14:paraId="4919DE05" w14:textId="1225909D" w:rsidR="001049E1" w:rsidRDefault="00076906" w:rsidP="00854FD4">
      <w:pPr>
        <w:tabs>
          <w:tab w:val="left" w:pos="9360"/>
        </w:tabs>
      </w:pPr>
      <w:r>
        <w:t>In models with OpenStudio version &gt; 3.4.0,</w:t>
      </w:r>
      <w:r w:rsidR="001049E1">
        <w:t xml:space="preserve"> the three variables listed above are Double arguments</w:t>
      </w:r>
      <w:r>
        <w:t xml:space="preserve">. </w:t>
      </w:r>
      <w:r w:rsidR="00854FD4">
        <w:t>To address this change, code was added to</w:t>
      </w:r>
      <w:r w:rsidR="00111D0D">
        <w:t xml:space="preserve"> accommodate </w:t>
      </w:r>
      <w:r w:rsidR="00937039">
        <w:t>both Optional Double and Double arguments depending on the OpenStudio version of the model. An example of this change is below.</w:t>
      </w:r>
      <w:r w:rsidR="00854FD4">
        <w:tab/>
      </w:r>
    </w:p>
    <w:p w14:paraId="66066BCD" w14:textId="56108D38" w:rsidR="00854FD4" w:rsidRDefault="00854FD4" w:rsidP="00854FD4">
      <w:pPr>
        <w:tabs>
          <w:tab w:val="left" w:pos="9360"/>
        </w:tabs>
      </w:pPr>
      <w:r>
        <w:rPr>
          <w:noProof/>
        </w:rPr>
        <w:drawing>
          <wp:inline distT="0" distB="0" distL="0" distR="0" wp14:anchorId="540672FC" wp14:editId="5931A55B">
            <wp:extent cx="7019925" cy="2623608"/>
            <wp:effectExtent l="0" t="0" r="0" b="5715"/>
            <wp:docPr id="375591838" name="Picture 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91838" name="Picture 1" descr="Graphical user interface, text, application, email&#10;&#10;Description automatically generated"/>
                    <pic:cNvPicPr/>
                  </pic:nvPicPr>
                  <pic:blipFill rotWithShape="1">
                    <a:blip r:embed="rId11"/>
                    <a:srcRect t="1274" b="1"/>
                    <a:stretch/>
                  </pic:blipFill>
                  <pic:spPr bwMode="auto">
                    <a:xfrm>
                      <a:off x="0" y="0"/>
                      <a:ext cx="7019925" cy="2623608"/>
                    </a:xfrm>
                    <a:prstGeom prst="rect">
                      <a:avLst/>
                    </a:prstGeom>
                    <a:ln>
                      <a:noFill/>
                    </a:ln>
                    <a:extLst>
                      <a:ext uri="{53640926-AAD7-44D8-BBD7-CCE9431645EC}">
                        <a14:shadowObscured xmlns:a14="http://schemas.microsoft.com/office/drawing/2010/main"/>
                      </a:ext>
                    </a:extLst>
                  </pic:spPr>
                </pic:pic>
              </a:graphicData>
            </a:graphic>
          </wp:inline>
        </w:drawing>
      </w:r>
    </w:p>
    <w:p w14:paraId="0EC55842" w14:textId="5EC5A202" w:rsidR="00974A7C" w:rsidRDefault="00211BA9" w:rsidP="00974A7C">
      <w:pPr>
        <w:pStyle w:val="Heading1"/>
      </w:pPr>
      <w:r>
        <w:lastRenderedPageBreak/>
        <w:t>Boiler Output Variables</w:t>
      </w:r>
    </w:p>
    <w:p w14:paraId="26457A5D" w14:textId="1ACDA01C" w:rsidR="00974A7C" w:rsidRPr="00E2737C" w:rsidRDefault="00E32D3F" w:rsidP="00E32D3F">
      <w:r>
        <w:t xml:space="preserve">A few residual </w:t>
      </w:r>
      <w:r w:rsidR="00A91EFC">
        <w:t>errors caused by the name changes</w:t>
      </w:r>
      <w:r>
        <w:t xml:space="preserve"> to Propane and Fuel Oil fuel types</w:t>
      </w:r>
      <w:r w:rsidR="00A91EFC">
        <w:t xml:space="preserve"> </w:t>
      </w:r>
      <w:r w:rsidR="00D51205">
        <w:t xml:space="preserve">(changed in EnergyPlus 9.4) </w:t>
      </w:r>
      <w:r w:rsidR="00A91EFC">
        <w:t xml:space="preserve">were caught and fixed in this OS version update. </w:t>
      </w:r>
      <w:r w:rsidR="0066482A">
        <w:t>The changes were in the ComStock sensitivity reports measure and related to Boiler output variables. T</w:t>
      </w:r>
      <w:r w:rsidR="00DC7B34">
        <w:t xml:space="preserve">wo reporting variables were added using the new nomenclature, </w:t>
      </w:r>
      <w:r w:rsidR="00211BA9">
        <w:t xml:space="preserve">and the code snippet is shown below. </w:t>
      </w:r>
    </w:p>
    <w:p w14:paraId="35E78AD2" w14:textId="13198183" w:rsidR="00974A7C" w:rsidRDefault="00211BA9" w:rsidP="00854FD4">
      <w:pPr>
        <w:tabs>
          <w:tab w:val="left" w:pos="9360"/>
        </w:tabs>
      </w:pPr>
      <w:r>
        <w:rPr>
          <w:noProof/>
        </w:rPr>
        <w:drawing>
          <wp:inline distT="0" distB="0" distL="0" distR="0" wp14:anchorId="548A3270" wp14:editId="54BDE733">
            <wp:extent cx="7029450" cy="476250"/>
            <wp:effectExtent l="0" t="0" r="0" b="0"/>
            <wp:docPr id="36764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44758" name=""/>
                    <pic:cNvPicPr/>
                  </pic:nvPicPr>
                  <pic:blipFill>
                    <a:blip r:embed="rId12"/>
                    <a:stretch>
                      <a:fillRect/>
                    </a:stretch>
                  </pic:blipFill>
                  <pic:spPr>
                    <a:xfrm>
                      <a:off x="0" y="0"/>
                      <a:ext cx="7029450" cy="476250"/>
                    </a:xfrm>
                    <a:prstGeom prst="rect">
                      <a:avLst/>
                    </a:prstGeom>
                  </pic:spPr>
                </pic:pic>
              </a:graphicData>
            </a:graphic>
          </wp:inline>
        </w:drawing>
      </w:r>
    </w:p>
    <w:p w14:paraId="30F6E4A8" w14:textId="28D664A6" w:rsidR="00DA5986" w:rsidRDefault="00DA5986" w:rsidP="00854FD4">
      <w:pPr>
        <w:tabs>
          <w:tab w:val="left" w:pos="9360"/>
        </w:tabs>
      </w:pPr>
      <w:r>
        <w:t xml:space="preserve">In addition, some boiler models were reporting infinity for annual efficiency because a calculation was </w:t>
      </w:r>
      <w:r w:rsidR="009F491F">
        <w:t xml:space="preserve">mistakenly </w:t>
      </w:r>
      <w:r>
        <w:t xml:space="preserve">resulting a denominator of 0. A check was added to the </w:t>
      </w:r>
      <w:r w:rsidR="009F491F">
        <w:t xml:space="preserve">sensitivity reports measure to ensure that the denominator for boiler_annual_efficiency cannot be 0. </w:t>
      </w:r>
      <w:r w:rsidR="00285BC3">
        <w:t xml:space="preserve">The code from this change is below. </w:t>
      </w:r>
    </w:p>
    <w:p w14:paraId="2E4BC097" w14:textId="6ACD1BAC" w:rsidR="00285BC3" w:rsidRPr="001049E1" w:rsidRDefault="00285BC3" w:rsidP="00854FD4">
      <w:pPr>
        <w:tabs>
          <w:tab w:val="left" w:pos="9360"/>
        </w:tabs>
      </w:pPr>
      <w:r>
        <w:rPr>
          <w:noProof/>
        </w:rPr>
        <w:drawing>
          <wp:inline distT="0" distB="0" distL="0" distR="0" wp14:anchorId="59AB783D" wp14:editId="605F442C">
            <wp:extent cx="8229600" cy="499745"/>
            <wp:effectExtent l="0" t="0" r="0" b="0"/>
            <wp:docPr id="60953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31968" name=""/>
                    <pic:cNvPicPr/>
                  </pic:nvPicPr>
                  <pic:blipFill>
                    <a:blip r:embed="rId13"/>
                    <a:stretch>
                      <a:fillRect/>
                    </a:stretch>
                  </pic:blipFill>
                  <pic:spPr>
                    <a:xfrm>
                      <a:off x="0" y="0"/>
                      <a:ext cx="8229600" cy="499745"/>
                    </a:xfrm>
                    <a:prstGeom prst="rect">
                      <a:avLst/>
                    </a:prstGeom>
                  </pic:spPr>
                </pic:pic>
              </a:graphicData>
            </a:graphic>
          </wp:inline>
        </w:drawing>
      </w:r>
    </w:p>
    <w:p w14:paraId="41745CE2" w14:textId="7172B021" w:rsidR="00FC34B1" w:rsidRDefault="00653FC2" w:rsidP="00653FC2">
      <w:pPr>
        <w:pStyle w:val="Heading1"/>
      </w:pPr>
      <w:r>
        <w:t>Impact of Change</w:t>
      </w:r>
    </w:p>
    <w:p w14:paraId="3FA7AADF" w14:textId="7F760965" w:rsidR="00653FC2" w:rsidRDefault="00B37C5B" w:rsidP="00653FC2">
      <w:r>
        <w:t xml:space="preserve">These changes were tested using </w:t>
      </w:r>
      <w:r w:rsidR="00CF6082">
        <w:t>two</w:t>
      </w:r>
      <w:r>
        <w:t xml:space="preserve"> 10k sample run</w:t>
      </w:r>
      <w:r w:rsidR="00CF6082">
        <w:t>s with identical buildstock.csv files.</w:t>
      </w:r>
    </w:p>
    <w:p w14:paraId="78AB9E01" w14:textId="74B94A82" w:rsidR="00823065" w:rsidRDefault="00823065" w:rsidP="00823065">
      <w:pPr>
        <w:pStyle w:val="Heading2"/>
      </w:pPr>
      <w:r>
        <w:t>National Scale Impact</w:t>
      </w:r>
    </w:p>
    <w:p w14:paraId="4AD3749B" w14:textId="18EC6B7A" w:rsidR="00943AF8" w:rsidRPr="00943AF8" w:rsidRDefault="00943AF8" w:rsidP="00943AF8">
      <w:r>
        <w:t>As shown in the figures below, there was virtually no change in total electricity or natural gas consumption at the total building stock level.</w:t>
      </w:r>
    </w:p>
    <w:p w14:paraId="70010E6E" w14:textId="3782940C" w:rsidR="00823065" w:rsidRPr="00823065" w:rsidRDefault="1636E3D9" w:rsidP="619719AE">
      <w:pPr>
        <w:jc w:val="center"/>
      </w:pPr>
      <w:r>
        <w:rPr>
          <w:noProof/>
        </w:rPr>
        <w:lastRenderedPageBreak/>
        <w:drawing>
          <wp:inline distT="0" distB="0" distL="0" distR="0" wp14:anchorId="27BCCE76" wp14:editId="76889C21">
            <wp:extent cx="4572000" cy="2695575"/>
            <wp:effectExtent l="0" t="0" r="0" b="0"/>
            <wp:docPr id="1818407861" name="Picture 1818407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2695575"/>
                    </a:xfrm>
                    <a:prstGeom prst="rect">
                      <a:avLst/>
                    </a:prstGeom>
                  </pic:spPr>
                </pic:pic>
              </a:graphicData>
            </a:graphic>
          </wp:inline>
        </w:drawing>
      </w:r>
      <w:r>
        <w:rPr>
          <w:noProof/>
        </w:rPr>
        <w:drawing>
          <wp:inline distT="0" distB="0" distL="0" distR="0" wp14:anchorId="2B563B7D" wp14:editId="3746F939">
            <wp:extent cx="4572000" cy="2695575"/>
            <wp:effectExtent l="0" t="0" r="0" b="0"/>
            <wp:docPr id="490550780" name="Picture 490550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572000" cy="2695575"/>
                    </a:xfrm>
                    <a:prstGeom prst="rect">
                      <a:avLst/>
                    </a:prstGeom>
                  </pic:spPr>
                </pic:pic>
              </a:graphicData>
            </a:graphic>
          </wp:inline>
        </w:drawing>
      </w:r>
    </w:p>
    <w:p w14:paraId="749DA695" w14:textId="28AF62E1" w:rsidR="00CF6082" w:rsidRDefault="00943AF8" w:rsidP="00653FC2">
      <w:r>
        <w:t xml:space="preserve">Digging in </w:t>
      </w:r>
      <w:r w:rsidR="00C83FA9">
        <w:t xml:space="preserve">further, we </w:t>
      </w:r>
      <w:r w:rsidR="2F1024C8">
        <w:t>also see minimal changes</w:t>
      </w:r>
      <w:r w:rsidR="00C83FA9">
        <w:t xml:space="preserve"> in the energy consumption at a building type level</w:t>
      </w:r>
      <w:r w:rsidR="006D628C">
        <w:t>.</w:t>
      </w:r>
      <w:r w:rsidR="7493E671">
        <w:t xml:space="preserve"> </w:t>
      </w:r>
      <w:r w:rsidR="2B909AD5">
        <w:t>In almost every building type, the natural gas and electricity consumption</w:t>
      </w:r>
      <w:r w:rsidR="07A77C8A">
        <w:t xml:space="preserve"> </w:t>
      </w:r>
      <w:r w:rsidR="4F39E34C">
        <w:t xml:space="preserve">values </w:t>
      </w:r>
      <w:r w:rsidR="2B909AD5">
        <w:t>are</w:t>
      </w:r>
      <w:r w:rsidR="65C05F34">
        <w:t xml:space="preserve"> either</w:t>
      </w:r>
      <w:r w:rsidR="2B909AD5">
        <w:t xml:space="preserve"> exactly the same or a very slight increase. </w:t>
      </w:r>
    </w:p>
    <w:p w14:paraId="7F64C041" w14:textId="1FB5EA9A" w:rsidR="00E05CA1" w:rsidRDefault="00E05CA1" w:rsidP="00653FC2"/>
    <w:p w14:paraId="2BBD3127" w14:textId="2CAC0176" w:rsidR="00E05CA1" w:rsidRDefault="2B909AD5" w:rsidP="619719AE">
      <w:pPr>
        <w:jc w:val="center"/>
      </w:pPr>
      <w:r>
        <w:rPr>
          <w:noProof/>
        </w:rPr>
        <w:drawing>
          <wp:inline distT="0" distB="0" distL="0" distR="0" wp14:anchorId="7FC56ABC" wp14:editId="26053895">
            <wp:extent cx="5324354" cy="2628900"/>
            <wp:effectExtent l="0" t="0" r="0" b="0"/>
            <wp:docPr id="1147401451" name="Picture 114740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324354" cy="2628900"/>
                    </a:xfrm>
                    <a:prstGeom prst="rect">
                      <a:avLst/>
                    </a:prstGeom>
                  </pic:spPr>
                </pic:pic>
              </a:graphicData>
            </a:graphic>
          </wp:inline>
        </w:drawing>
      </w:r>
      <w:r w:rsidR="5ED6265F">
        <w:rPr>
          <w:noProof/>
        </w:rPr>
        <w:drawing>
          <wp:inline distT="0" distB="0" distL="0" distR="0" wp14:anchorId="06DD3341" wp14:editId="43253867">
            <wp:extent cx="5362938" cy="2647950"/>
            <wp:effectExtent l="0" t="0" r="0" b="0"/>
            <wp:docPr id="1752647569" name="Picture 175264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362938" cy="2647950"/>
                    </a:xfrm>
                    <a:prstGeom prst="rect">
                      <a:avLst/>
                    </a:prstGeom>
                  </pic:spPr>
                </pic:pic>
              </a:graphicData>
            </a:graphic>
          </wp:inline>
        </w:drawing>
      </w:r>
    </w:p>
    <w:p w14:paraId="1E47DEEB" w14:textId="0671C184" w:rsidR="3167FEA5" w:rsidRDefault="3167FEA5" w:rsidP="1113B622">
      <w:r>
        <w:lastRenderedPageBreak/>
        <w:t>Perhaps t</w:t>
      </w:r>
      <w:r w:rsidR="04F92D18">
        <w:t xml:space="preserve">he most notable change can be seen when plotting natural gas and electricity totals by census division. </w:t>
      </w:r>
      <w:r w:rsidR="2CD45FDE">
        <w:t>The Pacific region has a non-trivial increase in natural gas consumption</w:t>
      </w:r>
      <w:r w:rsidR="742F91A5">
        <w:t xml:space="preserve">. The increase in electricity consumption is not as significant, but still the largest change of any census division. </w:t>
      </w:r>
    </w:p>
    <w:p w14:paraId="756C7828" w14:textId="2CA8EE5C" w:rsidR="04F92D18" w:rsidRDefault="04F92D18" w:rsidP="1113B622">
      <w:pPr>
        <w:jc w:val="center"/>
      </w:pPr>
      <w:r>
        <w:rPr>
          <w:noProof/>
        </w:rPr>
        <w:drawing>
          <wp:inline distT="0" distB="0" distL="0" distR="0" wp14:anchorId="66D1EE71" wp14:editId="647D41D5">
            <wp:extent cx="5199289" cy="2426335"/>
            <wp:effectExtent l="0" t="0" r="0" b="0"/>
            <wp:docPr id="1091538731" name="Picture 1091538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199289" cy="2426335"/>
                    </a:xfrm>
                    <a:prstGeom prst="rect">
                      <a:avLst/>
                    </a:prstGeom>
                  </pic:spPr>
                </pic:pic>
              </a:graphicData>
            </a:graphic>
          </wp:inline>
        </w:drawing>
      </w:r>
    </w:p>
    <w:p w14:paraId="106A48AC" w14:textId="25E113A0" w:rsidR="0F60B681" w:rsidRDefault="0F60B681" w:rsidP="1113B622">
      <w:pPr>
        <w:jc w:val="center"/>
      </w:pPr>
      <w:r>
        <w:rPr>
          <w:noProof/>
        </w:rPr>
        <w:drawing>
          <wp:inline distT="0" distB="0" distL="0" distR="0" wp14:anchorId="5FC81082" wp14:editId="11EB965F">
            <wp:extent cx="5029200" cy="2346960"/>
            <wp:effectExtent l="0" t="0" r="0" b="0"/>
            <wp:docPr id="512771331" name="Picture 512771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29200" cy="2346960"/>
                    </a:xfrm>
                    <a:prstGeom prst="rect">
                      <a:avLst/>
                    </a:prstGeom>
                  </pic:spPr>
                </pic:pic>
              </a:graphicData>
            </a:graphic>
          </wp:inline>
        </w:drawing>
      </w:r>
    </w:p>
    <w:p w14:paraId="6ECFAAC3" w14:textId="797E3E0F" w:rsidR="30F1E805" w:rsidRDefault="30F1E805" w:rsidP="1113B622">
      <w:r>
        <w:lastRenderedPageBreak/>
        <w:t>W</w:t>
      </w:r>
      <w:r w:rsidR="1D74C3B9">
        <w:t xml:space="preserve">hen sorting the results by </w:t>
      </w:r>
      <w:r w:rsidR="5869E0E2">
        <w:t xml:space="preserve">the </w:t>
      </w:r>
      <w:r w:rsidR="74AA856C">
        <w:t xml:space="preserve">change in </w:t>
      </w:r>
      <w:r w:rsidR="1D74C3B9">
        <w:t>total sit</w:t>
      </w:r>
      <w:r w:rsidR="4F1ABC75">
        <w:t>e energy, we see that</w:t>
      </w:r>
      <w:r w:rsidR="7F843800">
        <w:t xml:space="preserve"> the </w:t>
      </w:r>
      <w:r w:rsidR="443F9456">
        <w:t xml:space="preserve">buildings with the largest increase in energy consumption are exclusively </w:t>
      </w:r>
      <w:r w:rsidR="3C7366FD">
        <w:t>located</w:t>
      </w:r>
      <w:r w:rsidR="443F9456">
        <w:t xml:space="preserve"> in California. </w:t>
      </w:r>
      <w:r w:rsidR="0D8CB8AA">
        <w:t xml:space="preserve">In fact, California buildings represent the top 847 buildings out of 10,000 with the largest change in site energy. </w:t>
      </w:r>
      <w:r w:rsidR="443F9456">
        <w:t>In addition,</w:t>
      </w:r>
      <w:r w:rsidR="5A6E4325">
        <w:t xml:space="preserve"> the HVAC systems most affected appear to be </w:t>
      </w:r>
      <w:r w:rsidR="4A689FCA">
        <w:t>primarily</w:t>
      </w:r>
      <w:r w:rsidR="5A6E4325">
        <w:t xml:space="preserve"> PVAV and DOAS systems, </w:t>
      </w:r>
      <w:r w:rsidR="06EE935B">
        <w:t>and retail standalone appears to be the most affected building type.</w:t>
      </w:r>
      <w:r w:rsidR="443F9456">
        <w:t xml:space="preserve"> This leads one to believe that there may have been a change in the DEER models, either</w:t>
      </w:r>
      <w:r w:rsidR="286924CE">
        <w:t xml:space="preserve"> in OpenStudio-</w:t>
      </w:r>
      <w:r w:rsidR="04831678">
        <w:t>S</w:t>
      </w:r>
      <w:r w:rsidR="286924CE">
        <w:t xml:space="preserve">tandards or through an OpenStudio or EnergyPlus change that impacted DEER models more significantly. </w:t>
      </w:r>
    </w:p>
    <w:p w14:paraId="2D9632A0" w14:textId="557D570F" w:rsidR="5D8A7901" w:rsidRDefault="5D8A7901" w:rsidP="1113B622">
      <w:r>
        <w:rPr>
          <w:noProof/>
        </w:rPr>
        <w:drawing>
          <wp:inline distT="0" distB="0" distL="0" distR="0" wp14:anchorId="2D69CE3D" wp14:editId="6D91B1FF">
            <wp:extent cx="8197020" cy="2681108"/>
            <wp:effectExtent l="0" t="0" r="0" b="0"/>
            <wp:docPr id="1653142204" name="Picture 165314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8197020" cy="2681108"/>
                    </a:xfrm>
                    <a:prstGeom prst="rect">
                      <a:avLst/>
                    </a:prstGeom>
                  </pic:spPr>
                </pic:pic>
              </a:graphicData>
            </a:graphic>
          </wp:inline>
        </w:drawing>
      </w:r>
      <w:r>
        <w:br/>
      </w:r>
      <w:r w:rsidR="274AD44B">
        <w:t>Digging further into the California models, a few individual models were pulled and model outputs were compared side by si</w:t>
      </w:r>
      <w:r w:rsidR="2E2AE815">
        <w:t xml:space="preserve">de to identify which </w:t>
      </w:r>
      <w:r w:rsidR="033F9470">
        <w:t xml:space="preserve">properties </w:t>
      </w:r>
      <w:r w:rsidR="2E2AE815">
        <w:t xml:space="preserve">of the model changed. The most significant change identified was related to design outdoor air flow rates and outdoor air fraction. </w:t>
      </w:r>
      <w:r w:rsidR="4A26AE54">
        <w:t xml:space="preserve">Across all California models, the </w:t>
      </w:r>
      <w:r w:rsidR="10300BED">
        <w:t xml:space="preserve">median increase in </w:t>
      </w:r>
      <w:r w:rsidR="4A26AE54">
        <w:t xml:space="preserve">outdoor air fraction </w:t>
      </w:r>
      <w:r w:rsidR="5AD84902">
        <w:t>was</w:t>
      </w:r>
      <w:r w:rsidR="4A26AE54">
        <w:t xml:space="preserve"> 30% and the </w:t>
      </w:r>
      <w:r w:rsidR="49DC3B50">
        <w:t>median</w:t>
      </w:r>
      <w:r w:rsidR="513FFB7B">
        <w:t xml:space="preserve"> increase in</w:t>
      </w:r>
      <w:r w:rsidR="49DC3B50">
        <w:t xml:space="preserve"> </w:t>
      </w:r>
      <w:r w:rsidR="4A26AE54">
        <w:t xml:space="preserve">design outdoor air flow rate </w:t>
      </w:r>
      <w:r w:rsidR="67F9BBE6">
        <w:t>was</w:t>
      </w:r>
      <w:r w:rsidR="4A26AE54">
        <w:t xml:space="preserve"> 48%.</w:t>
      </w:r>
      <w:r w:rsidR="33401575">
        <w:t xml:space="preserve">  </w:t>
      </w:r>
      <w:r w:rsidR="557C785D">
        <w:t>There were no other model outputs that showed drastic changes, therefore we must assume that this c</w:t>
      </w:r>
      <w:r w:rsidR="56A4A09F">
        <w:t>hange is the primary cause of the</w:t>
      </w:r>
      <w:r w:rsidR="557C785D">
        <w:t xml:space="preserve"> increased energy consumption we are seeing across most California models.</w:t>
      </w:r>
    </w:p>
    <w:p w14:paraId="30BDBF18" w14:textId="56983799" w:rsidR="53AD2A1F" w:rsidRDefault="53AD2A1F" w:rsidP="1113B622">
      <w:r>
        <w:t xml:space="preserve">It was determined that a change was made to the DEER ventilation rates in OpenStudio-Standards in February 2023, which </w:t>
      </w:r>
      <w:r w:rsidR="7B71A775">
        <w:t xml:space="preserve">resulted in </w:t>
      </w:r>
      <w:r>
        <w:t xml:space="preserve">the increase in design outdoor air </w:t>
      </w:r>
      <w:r w:rsidR="75DD068A">
        <w:t xml:space="preserve">flow </w:t>
      </w:r>
      <w:r>
        <w:t>rates. This change modified the way ventilation rates were calculated by addin</w:t>
      </w:r>
      <w:r w:rsidR="1F013CBF">
        <w:t xml:space="preserve">g a ”ventilation_per_person” value and modifying the ”ventilation_per_area” value for all DEER vintages and space types. </w:t>
      </w:r>
      <w:r w:rsidR="48405B49">
        <w:t xml:space="preserve">It was confirmed that this change was intentional and that outdoor air rates should have increased as a result of this OpenStudio-Standards update. </w:t>
      </w:r>
    </w:p>
    <w:p w14:paraId="044C3459" w14:textId="4E32245E" w:rsidR="1F013CBF" w:rsidRDefault="1F013CBF" w:rsidP="1113B622">
      <w:pPr>
        <w:jc w:val="center"/>
      </w:pPr>
    </w:p>
    <w:p w14:paraId="5F482897" w14:textId="3631AF9D" w:rsidR="00E05CA1" w:rsidRDefault="0036619C" w:rsidP="0036619C">
      <w:pPr>
        <w:pStyle w:val="Heading2"/>
      </w:pPr>
      <w:r>
        <w:lastRenderedPageBreak/>
        <w:t>Distribution of Impacts</w:t>
      </w:r>
      <w:r w:rsidR="00516723">
        <w:t xml:space="preserve"> by End Use</w:t>
      </w:r>
    </w:p>
    <w:p w14:paraId="7619152C" w14:textId="063CF789" w:rsidR="00821A4F" w:rsidRDefault="00400420" w:rsidP="00400420">
      <w:r>
        <w:t>The image below shows the distribution of impacts across the 10k simulations included in the test runs</w:t>
      </w:r>
      <w:r w:rsidR="00516723">
        <w:t xml:space="preserve"> by end use and fuel type</w:t>
      </w:r>
      <w:r>
        <w:t>. In this image, the update to OS 3.</w:t>
      </w:r>
      <w:r w:rsidR="1A4D3647">
        <w:t>6</w:t>
      </w:r>
      <w:r>
        <w:t>.</w:t>
      </w:r>
      <w:r w:rsidR="1A4D3647">
        <w:t>1</w:t>
      </w:r>
      <w:r>
        <w:t xml:space="preserve"> was treated as an upgrade, so positive savings mean a decrease in energy consumption, while negative savings mean an increase in energy consumption. </w:t>
      </w:r>
      <w:r w:rsidR="00E42BAF">
        <w:t>This image does not include the differences in weights between building types</w:t>
      </w:r>
      <w:r w:rsidR="007B565A">
        <w:t>.</w:t>
      </w:r>
    </w:p>
    <w:p w14:paraId="4093539A" w14:textId="5EE85390" w:rsidR="00821A4F" w:rsidRDefault="00821A4F" w:rsidP="00400420">
      <w:r>
        <w:t xml:space="preserve">The initial takeaway is that the box and whiskers segments </w:t>
      </w:r>
      <w:r w:rsidR="00E42BAF">
        <w:t>for most of the distributions are much less than +/- 5% change, which means that a vast majority of buildings had almost no change from the update. This is consistent with the minimal changes in stock-level total seen above.</w:t>
      </w:r>
    </w:p>
    <w:p w14:paraId="0BEC1F8A" w14:textId="3C51269E" w:rsidR="0036619C" w:rsidRDefault="277E76FD" w:rsidP="1113B622">
      <w:r>
        <w:t xml:space="preserve">The two end uses that saw significant increases in energy consumption are natural gas heating and electricity pumps. </w:t>
      </w:r>
      <w:r w:rsidR="7D3AA02E">
        <w:t>In these cases, the entire box</w:t>
      </w:r>
      <w:r w:rsidR="2047B844">
        <w:t xml:space="preserve"> and left whisker (representing 75% of the sample</w:t>
      </w:r>
      <w:r w:rsidR="7D3AA02E">
        <w:t xml:space="preserve">) is </w:t>
      </w:r>
      <w:r w:rsidR="2B890129">
        <w:t xml:space="preserve">in the negative half of the </w:t>
      </w:r>
      <w:r w:rsidR="68D807DC">
        <w:t>x</w:t>
      </w:r>
      <w:r w:rsidR="2B890129">
        <w:t>-axis</w:t>
      </w:r>
      <w:r w:rsidR="21CFA530">
        <w:t xml:space="preserve">, meaning most buildings experienced an increase in these end uses. </w:t>
      </w:r>
      <w:r w:rsidR="61A09C88">
        <w:t xml:space="preserve">While the median </w:t>
      </w:r>
      <w:r w:rsidR="7CD2B947">
        <w:t>percent</w:t>
      </w:r>
      <w:r w:rsidR="61A09C88">
        <w:t xml:space="preserve"> </w:t>
      </w:r>
      <w:r w:rsidR="6468B73F">
        <w:t>increase</w:t>
      </w:r>
      <w:r w:rsidR="61A09C88">
        <w:t xml:space="preserve"> </w:t>
      </w:r>
      <w:r w:rsidR="0C5CA2E9">
        <w:t>(solid line)</w:t>
      </w:r>
      <w:r w:rsidR="205EA2BA">
        <w:t xml:space="preserve"> </w:t>
      </w:r>
      <w:r w:rsidR="61A09C88">
        <w:t xml:space="preserve">in both of these end uses is </w:t>
      </w:r>
      <w:r w:rsidR="558AFBBC">
        <w:t>less than 5%</w:t>
      </w:r>
      <w:r w:rsidR="591D4373">
        <w:t xml:space="preserve">, the mean percent </w:t>
      </w:r>
      <w:r w:rsidR="1AE74F9A">
        <w:t>increase</w:t>
      </w:r>
      <w:r w:rsidR="4E1A6BFC">
        <w:t xml:space="preserve"> (dotted line)</w:t>
      </w:r>
      <w:r w:rsidR="1AE74F9A">
        <w:t xml:space="preserve"> </w:t>
      </w:r>
      <w:r w:rsidR="591D4373">
        <w:t xml:space="preserve">is closer to 20%. When looking at the </w:t>
      </w:r>
      <w:r w:rsidR="2779543E">
        <w:t>outliers on the violin plot (the individual dots)</w:t>
      </w:r>
      <w:r w:rsidR="591D4373">
        <w:t>, we can see that there are quite a few buildings that ex</w:t>
      </w:r>
      <w:r w:rsidR="7ED8ADD0">
        <w:t>perienced a 100</w:t>
      </w:r>
      <w:r w:rsidR="57A0E2BE">
        <w:t>+%</w:t>
      </w:r>
      <w:r w:rsidR="7ED8ADD0">
        <w:t xml:space="preserve"> change in consumption in those end uses, </w:t>
      </w:r>
      <w:r w:rsidR="634A17FB">
        <w:t xml:space="preserve">which is </w:t>
      </w:r>
      <w:r w:rsidR="7182877A">
        <w:t xml:space="preserve">why the mean percent increase is much higher than the median. </w:t>
      </w:r>
    </w:p>
    <w:p w14:paraId="1C3BE34F" w14:textId="28C7E533" w:rsidR="0036619C" w:rsidRDefault="277E76FD" w:rsidP="1113B622">
      <w:r>
        <w:rPr>
          <w:noProof/>
        </w:rPr>
        <w:lastRenderedPageBreak/>
        <w:drawing>
          <wp:inline distT="0" distB="0" distL="0" distR="0" wp14:anchorId="58CC947D" wp14:editId="799C7840">
            <wp:extent cx="8031480" cy="5019675"/>
            <wp:effectExtent l="0" t="0" r="0" b="0"/>
            <wp:docPr id="771060" name="Picture 77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031480" cy="5019675"/>
                    </a:xfrm>
                    <a:prstGeom prst="rect">
                      <a:avLst/>
                    </a:prstGeom>
                  </pic:spPr>
                </pic:pic>
              </a:graphicData>
            </a:graphic>
          </wp:inline>
        </w:drawing>
      </w:r>
    </w:p>
    <w:p w14:paraId="2BB79224" w14:textId="4B5E9760" w:rsidR="3778DE3B" w:rsidRDefault="3778DE3B" w:rsidP="1113B622">
      <w:r>
        <w:t>Percent change in energy can sometimes be deceiving because a building with low load requirements can have a small absolute change in energy consumption, but this registers as a very large percent savings</w:t>
      </w:r>
      <w:r w:rsidR="25C6FCB9">
        <w:t>. California buildings</w:t>
      </w:r>
      <w:r w:rsidR="07CC2091">
        <w:t xml:space="preserve"> with low heating requirements</w:t>
      </w:r>
      <w:r w:rsidR="25C6FCB9">
        <w:t xml:space="preserve"> are a primary example of this</w:t>
      </w:r>
      <w:r w:rsidR="1F4B65E5">
        <w:t xml:space="preserve"> phenomenon</w:t>
      </w:r>
      <w:r w:rsidR="25C6FCB9">
        <w:t>. To ensure that the high percent</w:t>
      </w:r>
      <w:r w:rsidR="124E5C08">
        <w:t xml:space="preserve"> </w:t>
      </w:r>
      <w:r w:rsidR="25C6FCB9">
        <w:t xml:space="preserve">changes </w:t>
      </w:r>
      <w:r w:rsidR="2413C8CC">
        <w:t xml:space="preserve">in consumption </w:t>
      </w:r>
      <w:r w:rsidR="25C6FCB9">
        <w:t xml:space="preserve">are legitimate, the increase in EUI by end use was also plotted below. </w:t>
      </w:r>
      <w:r w:rsidR="0636E682">
        <w:t xml:space="preserve">In this plot, we can see that natural gas heating does in fact still show a significant change from the baseline. Electricity pumps, on the </w:t>
      </w:r>
      <w:r w:rsidR="0636E682">
        <w:lastRenderedPageBreak/>
        <w:t xml:space="preserve">other hand, which had a high percent increase, shows a trivial change in the </w:t>
      </w:r>
      <w:r w:rsidR="1AF52F01">
        <w:t>EUI. Other fuel heating is the only other end use that shows a n</w:t>
      </w:r>
      <w:r w:rsidR="06535F74">
        <w:t>oticeable EUI increase</w:t>
      </w:r>
      <w:r w:rsidR="52B67C0A">
        <w:t>, however given that this end use is only present in 44 buildings, it is rather insignificant in big picture.</w:t>
      </w:r>
    </w:p>
    <w:p w14:paraId="33553463" w14:textId="65BDD2D5" w:rsidR="3778DE3B" w:rsidRDefault="3778DE3B" w:rsidP="1113B622">
      <w:r>
        <w:rPr>
          <w:noProof/>
        </w:rPr>
        <w:drawing>
          <wp:inline distT="0" distB="0" distL="0" distR="0" wp14:anchorId="1E71446C" wp14:editId="1803C78C">
            <wp:extent cx="8207828" cy="5129892"/>
            <wp:effectExtent l="0" t="0" r="0" b="0"/>
            <wp:docPr id="1721236976" name="Picture 172123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207828" cy="5129892"/>
                    </a:xfrm>
                    <a:prstGeom prst="rect">
                      <a:avLst/>
                    </a:prstGeom>
                  </pic:spPr>
                </pic:pic>
              </a:graphicData>
            </a:graphic>
          </wp:inline>
        </w:drawing>
      </w:r>
    </w:p>
    <w:p w14:paraId="52DA70B7" w14:textId="6D847819" w:rsidR="006F346E" w:rsidRDefault="00143E08" w:rsidP="008413EB">
      <w:pPr>
        <w:pStyle w:val="Heading3"/>
      </w:pPr>
      <w:r>
        <w:lastRenderedPageBreak/>
        <w:t>Natural Gas</w:t>
      </w:r>
      <w:r w:rsidR="008413EB">
        <w:t xml:space="preserve"> </w:t>
      </w:r>
      <w:r>
        <w:t>Heating</w:t>
      </w:r>
    </w:p>
    <w:p w14:paraId="62DFC30B" w14:textId="162B63DC" w:rsidR="4C6330BA" w:rsidRDefault="4C6330BA" w:rsidP="1113B622">
      <w:r>
        <w:t xml:space="preserve">The results were sorted by buildings with the largest increase in natural gas energy, and the California models appear to be </w:t>
      </w:r>
      <w:r w:rsidR="28FF6DB6">
        <w:t>primarily responsible</w:t>
      </w:r>
      <w:r>
        <w:t>. Based on this, we can safely assume that the increases in ventilation rates discussed earlier are responsible for the increase</w:t>
      </w:r>
      <w:r w:rsidR="5D7A09EC">
        <w:t xml:space="preserve">d heating </w:t>
      </w:r>
      <w:r w:rsidR="2A086EC2">
        <w:t>requirements</w:t>
      </w:r>
      <w:r w:rsidR="5D7A09EC">
        <w:t xml:space="preserve">. </w:t>
      </w:r>
      <w:r w:rsidR="573B0A4A">
        <w:t>As discussed earlier, while the percent increase looks very high for many of the California models, because their total heating load is inherently low, a small absolute change in heating will regi</w:t>
      </w:r>
      <w:r w:rsidR="4E5E34E2">
        <w:t xml:space="preserve">ster as a very large percent change. </w:t>
      </w:r>
    </w:p>
    <w:p w14:paraId="10EFF0F7" w14:textId="04EE7BDF" w:rsidR="0C3527CA" w:rsidRDefault="0C3527CA" w:rsidP="1113B622">
      <w:pPr>
        <w:jc w:val="center"/>
      </w:pPr>
      <w:r>
        <w:rPr>
          <w:noProof/>
        </w:rPr>
        <w:drawing>
          <wp:inline distT="0" distB="0" distL="0" distR="0" wp14:anchorId="642ADE50" wp14:editId="412B8A01">
            <wp:extent cx="4572000" cy="3276600"/>
            <wp:effectExtent l="0" t="0" r="0" b="0"/>
            <wp:docPr id="447027857" name="Picture 447027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3276600"/>
                    </a:xfrm>
                    <a:prstGeom prst="rect">
                      <a:avLst/>
                    </a:prstGeom>
                  </pic:spPr>
                </pic:pic>
              </a:graphicData>
            </a:graphic>
          </wp:inline>
        </w:drawing>
      </w:r>
    </w:p>
    <w:p w14:paraId="40E62D56" w14:textId="36B248AD" w:rsidR="001A6ACC" w:rsidRDefault="001A6ACC" w:rsidP="0064465F">
      <w:pPr>
        <w:pStyle w:val="Heading3"/>
      </w:pPr>
      <w:r>
        <w:t>Electricity Pumps</w:t>
      </w:r>
    </w:p>
    <w:p w14:paraId="3F12A4A7" w14:textId="18729A2C" w:rsidR="5660230C" w:rsidRDefault="5660230C" w:rsidP="1113B622">
      <w:r>
        <w:t>Following the same logic, the</w:t>
      </w:r>
      <w:r w:rsidR="34D5F3B2">
        <w:t xml:space="preserve"> results were sorted by buildings with the largest increase in pump energy, and once again the California models appe</w:t>
      </w:r>
      <w:r w:rsidR="66813CC7">
        <w:t xml:space="preserve">ar to be the exclusively responsible for the large outliers. This is very likely tied to the increases in ventilation rates discussed </w:t>
      </w:r>
      <w:r w:rsidR="10204E9D">
        <w:t xml:space="preserve">earlier. </w:t>
      </w:r>
    </w:p>
    <w:p w14:paraId="7834F406" w14:textId="15C7F76C" w:rsidR="34D5F3B2" w:rsidRDefault="34D5F3B2" w:rsidP="1113B622">
      <w:pPr>
        <w:jc w:val="center"/>
      </w:pPr>
      <w:r>
        <w:rPr>
          <w:noProof/>
        </w:rPr>
        <w:lastRenderedPageBreak/>
        <w:drawing>
          <wp:inline distT="0" distB="0" distL="0" distR="0" wp14:anchorId="40FD4D31" wp14:editId="6C7F95C7">
            <wp:extent cx="4032366" cy="2948668"/>
            <wp:effectExtent l="0" t="0" r="0" b="0"/>
            <wp:docPr id="1680620365" name="Picture 168062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032366" cy="2948668"/>
                    </a:xfrm>
                    <a:prstGeom prst="rect">
                      <a:avLst/>
                    </a:prstGeom>
                  </pic:spPr>
                </pic:pic>
              </a:graphicData>
            </a:graphic>
          </wp:inline>
        </w:drawing>
      </w:r>
    </w:p>
    <w:p w14:paraId="3D18BE12" w14:textId="3195C8C3" w:rsidR="2066D3D7" w:rsidRDefault="2066D3D7" w:rsidP="1113B622">
      <w:pPr>
        <w:pStyle w:val="Heading3"/>
      </w:pPr>
      <w:r>
        <w:t>End Uses with Minimal Changes on Average</w:t>
      </w:r>
    </w:p>
    <w:p w14:paraId="0B164ED9" w14:textId="507ABE17" w:rsidR="2066D3D7" w:rsidRDefault="2066D3D7" w:rsidP="1113B622">
      <w:r>
        <w:t xml:space="preserve">The following end uses showed minimal changes in consumption on average across the stock, but had a number of outliers with significant changes. This can be seen in end uses with a very narrow box and whisker centered around the y-axis, but with a notable number of individual outliers in the positive and/or negative sides of the graph. </w:t>
      </w:r>
    </w:p>
    <w:p w14:paraId="693F9D21" w14:textId="02D9FA0E" w:rsidR="2066D3D7" w:rsidRDefault="2066D3D7" w:rsidP="1113B622">
      <w:pPr>
        <w:pStyle w:val="ListParagraph"/>
        <w:numPr>
          <w:ilvl w:val="0"/>
          <w:numId w:val="1"/>
        </w:numPr>
        <w:rPr>
          <w:rFonts w:ascii="Calibri" w:eastAsia="Calibri" w:hAnsi="Calibri"/>
        </w:rPr>
      </w:pPr>
      <w:r w:rsidRPr="1113B622">
        <w:rPr>
          <w:rFonts w:ascii="Calibri" w:eastAsia="Calibri" w:hAnsi="Calibri"/>
        </w:rPr>
        <w:t>Other Fuel Heating</w:t>
      </w:r>
    </w:p>
    <w:p w14:paraId="4607B475" w14:textId="72DF7FF7" w:rsidR="2066D3D7" w:rsidRDefault="2066D3D7" w:rsidP="1113B622">
      <w:pPr>
        <w:pStyle w:val="ListParagraph"/>
        <w:numPr>
          <w:ilvl w:val="0"/>
          <w:numId w:val="1"/>
        </w:numPr>
        <w:rPr>
          <w:rFonts w:ascii="Calibri" w:eastAsia="Calibri" w:hAnsi="Calibri"/>
        </w:rPr>
      </w:pPr>
      <w:r w:rsidRPr="1113B622">
        <w:rPr>
          <w:rFonts w:ascii="Calibri" w:eastAsia="Calibri" w:hAnsi="Calibri"/>
        </w:rPr>
        <w:t>Electricity Heating</w:t>
      </w:r>
    </w:p>
    <w:p w14:paraId="514CC2F4" w14:textId="30D75336" w:rsidR="2066D3D7" w:rsidRDefault="2066D3D7" w:rsidP="1113B622">
      <w:pPr>
        <w:pStyle w:val="ListParagraph"/>
        <w:numPr>
          <w:ilvl w:val="0"/>
          <w:numId w:val="1"/>
        </w:numPr>
        <w:rPr>
          <w:rFonts w:ascii="Calibri" w:eastAsia="Calibri" w:hAnsi="Calibri"/>
        </w:rPr>
      </w:pPr>
      <w:r w:rsidRPr="1113B622">
        <w:rPr>
          <w:rFonts w:ascii="Calibri" w:eastAsia="Calibri" w:hAnsi="Calibri"/>
        </w:rPr>
        <w:t>Electricity Fans</w:t>
      </w:r>
    </w:p>
    <w:p w14:paraId="2DEA7ABB" w14:textId="166CA00A" w:rsidR="2066D3D7" w:rsidRDefault="2066D3D7" w:rsidP="1113B622">
      <w:pPr>
        <w:pStyle w:val="ListParagraph"/>
        <w:numPr>
          <w:ilvl w:val="0"/>
          <w:numId w:val="1"/>
        </w:numPr>
        <w:rPr>
          <w:rFonts w:ascii="Calibri" w:eastAsia="Calibri" w:hAnsi="Calibri"/>
        </w:rPr>
      </w:pPr>
      <w:r w:rsidRPr="1113B622">
        <w:rPr>
          <w:rFonts w:ascii="Calibri" w:eastAsia="Calibri" w:hAnsi="Calibri"/>
        </w:rPr>
        <w:t>Electricity Cooling</w:t>
      </w:r>
    </w:p>
    <w:p w14:paraId="2B299D39" w14:textId="7F8D980F" w:rsidR="1AFDECFB" w:rsidRDefault="1AFDECFB" w:rsidP="15F8978E">
      <w:r w:rsidRPr="15F8978E">
        <w:t xml:space="preserve">The results for Other Fuel Heating are notable in that there are no buildings that had a decrease in energy in this end use. </w:t>
      </w:r>
      <w:r w:rsidR="046179AF" w:rsidRPr="15F8978E">
        <w:t xml:space="preserve">However, given that only 44 buildings in the 10,000 building sample have an “other fuel” heating system, we are not too concerned about the </w:t>
      </w:r>
      <w:r w:rsidR="65031E75" w:rsidRPr="15F8978E">
        <w:t xml:space="preserve">implications of this change on the full stock results. </w:t>
      </w:r>
    </w:p>
    <w:p w14:paraId="49F07739" w14:textId="5CE5313A" w:rsidR="1076EA36" w:rsidRDefault="1076EA36" w:rsidP="15F8978E">
      <w:r w:rsidRPr="15F8978E">
        <w:lastRenderedPageBreak/>
        <w:t xml:space="preserve">For Electricity Heating, Fans, and Cooling, the data was filtered </w:t>
      </w:r>
      <w:r w:rsidR="721AECC9" w:rsidRPr="15F8978E">
        <w:t>to examine the positive and negative outliers. Once again, all of the top outliers were from California, leading us to the believe that</w:t>
      </w:r>
      <w:r w:rsidR="540FB0F5" w:rsidRPr="15F8978E">
        <w:t xml:space="preserve"> the changes in these end uses were</w:t>
      </w:r>
      <w:r w:rsidR="721AECC9" w:rsidRPr="15F8978E">
        <w:t xml:space="preserve"> another result of the </w:t>
      </w:r>
      <w:r w:rsidR="14427E8F" w:rsidRPr="15F8978E">
        <w:t xml:space="preserve">ventilation rate changes in the DEER models. </w:t>
      </w:r>
    </w:p>
    <w:p w14:paraId="171A6906" w14:textId="33D4AD23" w:rsidR="2066D3D7" w:rsidRDefault="2066D3D7" w:rsidP="1113B622">
      <w:pPr>
        <w:pStyle w:val="Heading3"/>
      </w:pPr>
      <w:r>
        <w:t>End Uses with Effectively Zero Change in Consumption</w:t>
      </w:r>
    </w:p>
    <w:p w14:paraId="07BB7130" w14:textId="067A9F80" w:rsidR="2066D3D7" w:rsidRDefault="2066D3D7" w:rsidP="1113B622">
      <w:r>
        <w:t xml:space="preserve">The following end uses saw effectively zero change in energy consumption when updating to OS 3.6.1. These end uses either had no visible violin plot (indicating that no buildings had changes in consumption) or extremely narrow violin plots with only a handful of outliers out of 10,000 buildings. </w:t>
      </w:r>
    </w:p>
    <w:p w14:paraId="43CC78F0" w14:textId="61DE765F" w:rsidR="2066D3D7" w:rsidRDefault="2066D3D7" w:rsidP="1113B622">
      <w:pPr>
        <w:pStyle w:val="ListParagraph"/>
        <w:numPr>
          <w:ilvl w:val="0"/>
          <w:numId w:val="2"/>
        </w:numPr>
        <w:spacing w:after="160" w:line="259" w:lineRule="auto"/>
        <w:rPr>
          <w:rFonts w:ascii="Calibri" w:eastAsia="Calibri" w:hAnsi="Calibri"/>
        </w:rPr>
      </w:pPr>
      <w:r w:rsidRPr="1113B622">
        <w:rPr>
          <w:rFonts w:ascii="Calibri" w:eastAsia="Calibri" w:hAnsi="Calibri"/>
        </w:rPr>
        <w:t>District Heating Water Systems</w:t>
      </w:r>
    </w:p>
    <w:p w14:paraId="0FD9B2AB" w14:textId="1BF13E0D" w:rsidR="2066D3D7" w:rsidRDefault="2066D3D7" w:rsidP="1113B622">
      <w:pPr>
        <w:pStyle w:val="ListParagraph"/>
        <w:numPr>
          <w:ilvl w:val="0"/>
          <w:numId w:val="2"/>
        </w:numPr>
        <w:spacing w:after="160" w:line="259" w:lineRule="auto"/>
        <w:rPr>
          <w:rFonts w:ascii="Calibri" w:eastAsia="Calibri" w:hAnsi="Calibri"/>
        </w:rPr>
      </w:pPr>
      <w:r w:rsidRPr="1113B622">
        <w:rPr>
          <w:rFonts w:ascii="Calibri" w:eastAsia="Calibri" w:hAnsi="Calibri"/>
        </w:rPr>
        <w:t>District Heating Heating</w:t>
      </w:r>
    </w:p>
    <w:p w14:paraId="126107E8" w14:textId="0B55213B" w:rsidR="2066D3D7" w:rsidRDefault="2066D3D7" w:rsidP="1113B622">
      <w:pPr>
        <w:pStyle w:val="ListParagraph"/>
        <w:numPr>
          <w:ilvl w:val="0"/>
          <w:numId w:val="2"/>
        </w:numPr>
        <w:spacing w:after="160" w:line="259" w:lineRule="auto"/>
        <w:rPr>
          <w:rFonts w:ascii="Calibri" w:eastAsia="Calibri" w:hAnsi="Calibri"/>
        </w:rPr>
      </w:pPr>
      <w:r w:rsidRPr="1113B622">
        <w:rPr>
          <w:rFonts w:ascii="Calibri" w:eastAsia="Calibri" w:hAnsi="Calibri"/>
        </w:rPr>
        <w:t>District Cooling Cooling</w:t>
      </w:r>
    </w:p>
    <w:p w14:paraId="17661948" w14:textId="4B6EEE2F" w:rsidR="2066D3D7" w:rsidRDefault="2066D3D7" w:rsidP="1113B622">
      <w:pPr>
        <w:pStyle w:val="ListParagraph"/>
        <w:numPr>
          <w:ilvl w:val="0"/>
          <w:numId w:val="2"/>
        </w:numPr>
        <w:spacing w:after="160" w:line="259" w:lineRule="auto"/>
        <w:rPr>
          <w:rFonts w:ascii="Calibri" w:eastAsia="Calibri" w:hAnsi="Calibri"/>
        </w:rPr>
      </w:pPr>
      <w:r w:rsidRPr="1113B622">
        <w:rPr>
          <w:rFonts w:ascii="Calibri" w:eastAsia="Calibri" w:hAnsi="Calibri"/>
        </w:rPr>
        <w:t>Natural Gas Water Systems</w:t>
      </w:r>
    </w:p>
    <w:p w14:paraId="08E923C1" w14:textId="459B748B" w:rsidR="2066D3D7" w:rsidRDefault="2066D3D7" w:rsidP="1113B622">
      <w:pPr>
        <w:pStyle w:val="ListParagraph"/>
        <w:numPr>
          <w:ilvl w:val="0"/>
          <w:numId w:val="2"/>
        </w:numPr>
        <w:spacing w:after="160" w:line="259" w:lineRule="auto"/>
        <w:rPr>
          <w:rFonts w:ascii="Calibri" w:eastAsia="Calibri" w:hAnsi="Calibri"/>
        </w:rPr>
      </w:pPr>
      <w:r w:rsidRPr="1113B622">
        <w:rPr>
          <w:rFonts w:ascii="Calibri" w:eastAsia="Calibri" w:hAnsi="Calibri"/>
        </w:rPr>
        <w:t>Electricity Water Systems</w:t>
      </w:r>
    </w:p>
    <w:p w14:paraId="19AB0053" w14:textId="384E2D59" w:rsidR="2066D3D7" w:rsidRDefault="2066D3D7" w:rsidP="1113B622">
      <w:pPr>
        <w:pStyle w:val="ListParagraph"/>
        <w:numPr>
          <w:ilvl w:val="0"/>
          <w:numId w:val="2"/>
        </w:numPr>
        <w:spacing w:after="160" w:line="259" w:lineRule="auto"/>
        <w:rPr>
          <w:rFonts w:ascii="Calibri" w:eastAsia="Calibri" w:hAnsi="Calibri"/>
        </w:rPr>
      </w:pPr>
      <w:r w:rsidRPr="1113B622">
        <w:rPr>
          <w:rFonts w:ascii="Calibri" w:eastAsia="Calibri" w:hAnsi="Calibri"/>
        </w:rPr>
        <w:t>Electricity Refrigeration</w:t>
      </w:r>
    </w:p>
    <w:p w14:paraId="0493F1BC" w14:textId="32C5B9BA" w:rsidR="2066D3D7" w:rsidRDefault="2066D3D7" w:rsidP="1113B622">
      <w:pPr>
        <w:pStyle w:val="ListParagraph"/>
        <w:numPr>
          <w:ilvl w:val="0"/>
          <w:numId w:val="2"/>
        </w:numPr>
        <w:spacing w:after="160" w:line="259" w:lineRule="auto"/>
        <w:rPr>
          <w:rFonts w:ascii="Calibri" w:eastAsia="Calibri" w:hAnsi="Calibri"/>
        </w:rPr>
      </w:pPr>
      <w:r w:rsidRPr="1113B622">
        <w:rPr>
          <w:rFonts w:ascii="Calibri" w:eastAsia="Calibri" w:hAnsi="Calibri"/>
        </w:rPr>
        <w:t>Electricity Interior Lighting</w:t>
      </w:r>
    </w:p>
    <w:p w14:paraId="4D3ECC0C" w14:textId="0A261F3D" w:rsidR="2066D3D7" w:rsidRDefault="2066D3D7" w:rsidP="1113B622">
      <w:pPr>
        <w:pStyle w:val="ListParagraph"/>
        <w:numPr>
          <w:ilvl w:val="0"/>
          <w:numId w:val="2"/>
        </w:numPr>
        <w:spacing w:after="160" w:line="259" w:lineRule="auto"/>
        <w:rPr>
          <w:rFonts w:ascii="Calibri" w:eastAsia="Calibri" w:hAnsi="Calibri"/>
        </w:rPr>
      </w:pPr>
      <w:r w:rsidRPr="1113B622">
        <w:rPr>
          <w:rFonts w:ascii="Calibri" w:eastAsia="Calibri" w:hAnsi="Calibri"/>
        </w:rPr>
        <w:t>Electricity Heat Rejection</w:t>
      </w:r>
    </w:p>
    <w:p w14:paraId="198A702A" w14:textId="03D529F5" w:rsidR="2066D3D7" w:rsidRDefault="2066D3D7" w:rsidP="1113B622">
      <w:pPr>
        <w:pStyle w:val="ListParagraph"/>
        <w:numPr>
          <w:ilvl w:val="0"/>
          <w:numId w:val="2"/>
        </w:numPr>
        <w:spacing w:after="160" w:line="259" w:lineRule="auto"/>
        <w:rPr>
          <w:rFonts w:ascii="Calibri" w:eastAsia="Calibri" w:hAnsi="Calibri"/>
        </w:rPr>
      </w:pPr>
      <w:r w:rsidRPr="1113B622">
        <w:rPr>
          <w:rFonts w:ascii="Calibri" w:eastAsia="Calibri" w:hAnsi="Calibri"/>
        </w:rPr>
        <w:t>Electricity Heat Recovery</w:t>
      </w:r>
    </w:p>
    <w:p w14:paraId="6738E35C" w14:textId="2D687A0E" w:rsidR="2066D3D7" w:rsidRDefault="2066D3D7" w:rsidP="1113B622">
      <w:pPr>
        <w:pStyle w:val="ListParagraph"/>
        <w:numPr>
          <w:ilvl w:val="0"/>
          <w:numId w:val="2"/>
        </w:numPr>
        <w:spacing w:after="160" w:line="259" w:lineRule="auto"/>
        <w:rPr>
          <w:rFonts w:ascii="Calibri" w:eastAsia="Calibri" w:hAnsi="Calibri"/>
        </w:rPr>
      </w:pPr>
      <w:r w:rsidRPr="1113B622">
        <w:rPr>
          <w:rFonts w:ascii="Calibri" w:eastAsia="Calibri" w:hAnsi="Calibri"/>
        </w:rPr>
        <w:t>Electricity Interior Equipment</w:t>
      </w:r>
    </w:p>
    <w:p w14:paraId="7E6D2B02" w14:textId="4ABEFC0E" w:rsidR="008E30CA" w:rsidRDefault="00516723" w:rsidP="00516723">
      <w:pPr>
        <w:pStyle w:val="Heading2"/>
      </w:pPr>
      <w:r>
        <w:t>Distribution of Total Energy Consumption Impacts</w:t>
      </w:r>
    </w:p>
    <w:p w14:paraId="76C5EBD3" w14:textId="39F9EB80" w:rsidR="006F4F14" w:rsidRDefault="006F4F14" w:rsidP="006F4F14">
      <w:r>
        <w:t>The image below shows the distribution of impacts across the 10k simulations included in the test runs by</w:t>
      </w:r>
      <w:r w:rsidR="00B55A63">
        <w:t xml:space="preserve"> total energy consumption for each fuel</w:t>
      </w:r>
      <w:r>
        <w:t>. In this image, the update to OS 3.4.0 was treated as an upgrade, so positive savings mean a decrease in energy consumption, while negative savings mean an increase in energy consumption. This image does not include the differences in weights between building types.</w:t>
      </w:r>
    </w:p>
    <w:p w14:paraId="5E99991E" w14:textId="65F81D32" w:rsidR="00A070FE" w:rsidRDefault="006F4F14" w:rsidP="00516723">
      <w:r>
        <w:t xml:space="preserve">The initial takeaway is that the box and whiskers segments for </w:t>
      </w:r>
      <w:r w:rsidR="00B55A63">
        <w:t>all</w:t>
      </w:r>
      <w:r>
        <w:t xml:space="preserve"> of the distributions </w:t>
      </w:r>
      <w:r w:rsidR="40DCBBFF">
        <w:t xml:space="preserve">except natural gas </w:t>
      </w:r>
      <w:r>
        <w:t>are</w:t>
      </w:r>
      <w:r w:rsidR="00B55A63">
        <w:t xml:space="preserve"> </w:t>
      </w:r>
      <w:r>
        <w:t xml:space="preserve">less than +/- 5% change, which means that a majority of buildings had almost no change from the update. </w:t>
      </w:r>
      <w:r w:rsidR="5AC908C3">
        <w:t xml:space="preserve"> </w:t>
      </w:r>
      <w:r>
        <w:t>This is consistent with the changes in stock-level total seen above.</w:t>
      </w:r>
      <w:r w:rsidR="00457296">
        <w:t xml:space="preserve"> An investigation of the outliers shows that </w:t>
      </w:r>
      <w:r w:rsidR="145FB158">
        <w:t>almost all</w:t>
      </w:r>
      <w:r w:rsidR="00457296">
        <w:t xml:space="preserve"> of the highest outliers are a result of </w:t>
      </w:r>
      <w:r w:rsidR="2E2CD6E0">
        <w:t>the ventilation changes to the DEER models, as the California models saw the most significant change in both the fuel type and end use results.</w:t>
      </w:r>
      <w:r w:rsidR="004A5EAA">
        <w:t xml:space="preserve"> </w:t>
      </w:r>
    </w:p>
    <w:p w14:paraId="5CF44B79" w14:textId="4D7F560B" w:rsidR="00516723" w:rsidRDefault="0B0A0CAE" w:rsidP="1113B622">
      <w:r>
        <w:rPr>
          <w:noProof/>
        </w:rPr>
        <w:lastRenderedPageBreak/>
        <w:drawing>
          <wp:inline distT="0" distB="0" distL="0" distR="0" wp14:anchorId="57A36DE8" wp14:editId="75C7427E">
            <wp:extent cx="8014608" cy="5009130"/>
            <wp:effectExtent l="0" t="0" r="0" b="0"/>
            <wp:docPr id="471842507" name="Picture 47184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014608" cy="5009130"/>
                    </a:xfrm>
                    <a:prstGeom prst="rect">
                      <a:avLst/>
                    </a:prstGeom>
                  </pic:spPr>
                </pic:pic>
              </a:graphicData>
            </a:graphic>
          </wp:inline>
        </w:drawing>
      </w:r>
      <w:r w:rsidR="00993019" w:rsidRPr="1113B622">
        <w:rPr>
          <w:noProof/>
        </w:rPr>
        <w:t xml:space="preserve"> </w:t>
      </w:r>
    </w:p>
    <w:p w14:paraId="526605D7" w14:textId="46699D9D" w:rsidR="001F308B" w:rsidRDefault="001F308B" w:rsidP="001F308B">
      <w:pPr>
        <w:pStyle w:val="Heading1"/>
      </w:pPr>
      <w:r>
        <w:lastRenderedPageBreak/>
        <w:t>Changes in Aggregate Statistics</w:t>
      </w:r>
    </w:p>
    <w:p w14:paraId="792C11D7" w14:textId="17802CA9" w:rsidR="001F308B" w:rsidRDefault="001F308B" w:rsidP="001F308B">
      <w:pPr>
        <w:pStyle w:val="Heading2"/>
      </w:pPr>
      <w:r>
        <w:t>Unmet Hours</w:t>
      </w:r>
    </w:p>
    <w:p w14:paraId="0503D68F" w14:textId="7C8DCEF4" w:rsidR="004371B2" w:rsidRPr="004371B2" w:rsidRDefault="004371B2" w:rsidP="004371B2">
      <w:r>
        <w:t>As the pivot tables of average unmet hours for colling and heating below show, there w</w:t>
      </w:r>
      <w:r w:rsidR="5531F22E">
        <w:t xml:space="preserve">ere minimal </w:t>
      </w:r>
      <w:r>
        <w:t>change</w:t>
      </w:r>
      <w:r w:rsidR="6E9C9324">
        <w:t>s</w:t>
      </w:r>
      <w:r>
        <w:t xml:space="preserve"> in unmet hours</w:t>
      </w:r>
      <w:r w:rsidR="60BB18B9">
        <w:t xml:space="preserve"> across most system types</w:t>
      </w:r>
      <w:r>
        <w:t>. In some cases, there were extreme changes in percentage, but the resulting numbers</w:t>
      </w:r>
      <w:r w:rsidR="004A72E5">
        <w:t xml:space="preserve"> are still within acceptable limits</w:t>
      </w:r>
      <w:r w:rsidR="00C150B8">
        <w:t xml:space="preserve"> for the systems with large changes</w:t>
      </w:r>
      <w:r w:rsidR="004A72E5">
        <w:t>.</w:t>
      </w:r>
      <w:r w:rsidR="0B370D23">
        <w:t xml:space="preserve"> For example, VAV district chilled water with gas boiler reheat had a 675% increase in unmet cooling hours, however when looking at the absolute number of hours, it increased from 1 hour to 9 hours, which </w:t>
      </w:r>
      <w:r w:rsidR="14D72716">
        <w:t>does</w:t>
      </w:r>
      <w:r w:rsidR="0B370D23">
        <w:t xml:space="preserve"> not raise concerns about the system’s operation. </w:t>
      </w:r>
      <w:r w:rsidR="7398623D">
        <w:t>Several DOAS systems</w:t>
      </w:r>
      <w:r w:rsidR="004A72E5">
        <w:t xml:space="preserve"> </w:t>
      </w:r>
      <w:r w:rsidR="0F646FAE">
        <w:t>showed a significant decrease in unmet hours,</w:t>
      </w:r>
      <w:r w:rsidR="4FEAD009">
        <w:t xml:space="preserve"> indicating an improvement in system operation.</w:t>
      </w:r>
      <w:r w:rsidR="76B3CED9">
        <w:t xml:space="preserve"> </w:t>
      </w:r>
      <w:r w:rsidR="004A72E5">
        <w:t>Note that some systems don’t have heating or don’t have cooling, which is why some systems have very high unmet hours (for example, Gas unit heaters have no cooling).</w:t>
      </w:r>
      <w:r w:rsidR="00C150B8">
        <w:t xml:space="preserve"> </w:t>
      </w:r>
    </w:p>
    <w:p w14:paraId="4979148E" w14:textId="7F686034" w:rsidR="4CD7D6E9" w:rsidRDefault="4CD7D6E9" w:rsidP="79AD0215">
      <w:pPr>
        <w:jc w:val="center"/>
      </w:pPr>
      <w:r>
        <w:rPr>
          <w:noProof/>
        </w:rPr>
        <w:lastRenderedPageBreak/>
        <w:drawing>
          <wp:inline distT="0" distB="0" distL="0" distR="0" wp14:anchorId="2882D8E6" wp14:editId="52AFBAB9">
            <wp:extent cx="7856387" cy="4484688"/>
            <wp:effectExtent l="0" t="0" r="0" b="0"/>
            <wp:docPr id="782342181" name="Picture 78234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7856387" cy="4484688"/>
                    </a:xfrm>
                    <a:prstGeom prst="rect">
                      <a:avLst/>
                    </a:prstGeom>
                  </pic:spPr>
                </pic:pic>
              </a:graphicData>
            </a:graphic>
          </wp:inline>
        </w:drawing>
      </w:r>
    </w:p>
    <w:sectPr w:rsidR="4CD7D6E9" w:rsidSect="00B92A6F">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8EDEC"/>
    <w:multiLevelType w:val="hybridMultilevel"/>
    <w:tmpl w:val="1CFE93DE"/>
    <w:lvl w:ilvl="0" w:tplc="4DCE57FA">
      <w:start w:val="1"/>
      <w:numFmt w:val="bullet"/>
      <w:lvlText w:val="-"/>
      <w:lvlJc w:val="left"/>
      <w:pPr>
        <w:ind w:left="720" w:hanging="360"/>
      </w:pPr>
      <w:rPr>
        <w:rFonts w:ascii="Calibri" w:hAnsi="Calibri" w:hint="default"/>
      </w:rPr>
    </w:lvl>
    <w:lvl w:ilvl="1" w:tplc="91444052">
      <w:start w:val="1"/>
      <w:numFmt w:val="bullet"/>
      <w:lvlText w:val="o"/>
      <w:lvlJc w:val="left"/>
      <w:pPr>
        <w:ind w:left="1440" w:hanging="360"/>
      </w:pPr>
      <w:rPr>
        <w:rFonts w:ascii="Courier New" w:hAnsi="Courier New" w:hint="default"/>
      </w:rPr>
    </w:lvl>
    <w:lvl w:ilvl="2" w:tplc="0A1AFE86">
      <w:start w:val="1"/>
      <w:numFmt w:val="bullet"/>
      <w:lvlText w:val=""/>
      <w:lvlJc w:val="left"/>
      <w:pPr>
        <w:ind w:left="2160" w:hanging="360"/>
      </w:pPr>
      <w:rPr>
        <w:rFonts w:ascii="Wingdings" w:hAnsi="Wingdings" w:hint="default"/>
      </w:rPr>
    </w:lvl>
    <w:lvl w:ilvl="3" w:tplc="11044946">
      <w:start w:val="1"/>
      <w:numFmt w:val="bullet"/>
      <w:lvlText w:val=""/>
      <w:lvlJc w:val="left"/>
      <w:pPr>
        <w:ind w:left="2880" w:hanging="360"/>
      </w:pPr>
      <w:rPr>
        <w:rFonts w:ascii="Symbol" w:hAnsi="Symbol" w:hint="default"/>
      </w:rPr>
    </w:lvl>
    <w:lvl w:ilvl="4" w:tplc="7D9655D8">
      <w:start w:val="1"/>
      <w:numFmt w:val="bullet"/>
      <w:lvlText w:val="o"/>
      <w:lvlJc w:val="left"/>
      <w:pPr>
        <w:ind w:left="3600" w:hanging="360"/>
      </w:pPr>
      <w:rPr>
        <w:rFonts w:ascii="Courier New" w:hAnsi="Courier New" w:hint="default"/>
      </w:rPr>
    </w:lvl>
    <w:lvl w:ilvl="5" w:tplc="B3B23D56">
      <w:start w:val="1"/>
      <w:numFmt w:val="bullet"/>
      <w:lvlText w:val=""/>
      <w:lvlJc w:val="left"/>
      <w:pPr>
        <w:ind w:left="4320" w:hanging="360"/>
      </w:pPr>
      <w:rPr>
        <w:rFonts w:ascii="Wingdings" w:hAnsi="Wingdings" w:hint="default"/>
      </w:rPr>
    </w:lvl>
    <w:lvl w:ilvl="6" w:tplc="8E864E44">
      <w:start w:val="1"/>
      <w:numFmt w:val="bullet"/>
      <w:lvlText w:val=""/>
      <w:lvlJc w:val="left"/>
      <w:pPr>
        <w:ind w:left="5040" w:hanging="360"/>
      </w:pPr>
      <w:rPr>
        <w:rFonts w:ascii="Symbol" w:hAnsi="Symbol" w:hint="default"/>
      </w:rPr>
    </w:lvl>
    <w:lvl w:ilvl="7" w:tplc="10C6F532">
      <w:start w:val="1"/>
      <w:numFmt w:val="bullet"/>
      <w:lvlText w:val="o"/>
      <w:lvlJc w:val="left"/>
      <w:pPr>
        <w:ind w:left="5760" w:hanging="360"/>
      </w:pPr>
      <w:rPr>
        <w:rFonts w:ascii="Courier New" w:hAnsi="Courier New" w:hint="default"/>
      </w:rPr>
    </w:lvl>
    <w:lvl w:ilvl="8" w:tplc="00645BF0">
      <w:start w:val="1"/>
      <w:numFmt w:val="bullet"/>
      <w:lvlText w:val=""/>
      <w:lvlJc w:val="left"/>
      <w:pPr>
        <w:ind w:left="6480" w:hanging="360"/>
      </w:pPr>
      <w:rPr>
        <w:rFonts w:ascii="Wingdings" w:hAnsi="Wingdings" w:hint="default"/>
      </w:rPr>
    </w:lvl>
  </w:abstractNum>
  <w:abstractNum w:abstractNumId="1" w15:restartNumberingAfterBreak="0">
    <w:nsid w:val="38986D92"/>
    <w:multiLevelType w:val="hybridMultilevel"/>
    <w:tmpl w:val="C262BC42"/>
    <w:lvl w:ilvl="0" w:tplc="B456F8EA">
      <w:start w:val="1"/>
      <w:numFmt w:val="bullet"/>
      <w:lvlText w:val="-"/>
      <w:lvlJc w:val="left"/>
      <w:pPr>
        <w:ind w:left="720" w:hanging="360"/>
      </w:pPr>
      <w:rPr>
        <w:rFonts w:ascii="Calibri" w:hAnsi="Calibri" w:hint="default"/>
      </w:rPr>
    </w:lvl>
    <w:lvl w:ilvl="1" w:tplc="C1E89998">
      <w:start w:val="1"/>
      <w:numFmt w:val="bullet"/>
      <w:lvlText w:val="o"/>
      <w:lvlJc w:val="left"/>
      <w:pPr>
        <w:ind w:left="1440" w:hanging="360"/>
      </w:pPr>
      <w:rPr>
        <w:rFonts w:ascii="Courier New" w:hAnsi="Courier New" w:hint="default"/>
      </w:rPr>
    </w:lvl>
    <w:lvl w:ilvl="2" w:tplc="F1FE36DA">
      <w:start w:val="1"/>
      <w:numFmt w:val="bullet"/>
      <w:lvlText w:val=""/>
      <w:lvlJc w:val="left"/>
      <w:pPr>
        <w:ind w:left="2160" w:hanging="360"/>
      </w:pPr>
      <w:rPr>
        <w:rFonts w:ascii="Wingdings" w:hAnsi="Wingdings" w:hint="default"/>
      </w:rPr>
    </w:lvl>
    <w:lvl w:ilvl="3" w:tplc="A2B0E0B2">
      <w:start w:val="1"/>
      <w:numFmt w:val="bullet"/>
      <w:lvlText w:val=""/>
      <w:lvlJc w:val="left"/>
      <w:pPr>
        <w:ind w:left="2880" w:hanging="360"/>
      </w:pPr>
      <w:rPr>
        <w:rFonts w:ascii="Symbol" w:hAnsi="Symbol" w:hint="default"/>
      </w:rPr>
    </w:lvl>
    <w:lvl w:ilvl="4" w:tplc="BB309D9A">
      <w:start w:val="1"/>
      <w:numFmt w:val="bullet"/>
      <w:lvlText w:val="o"/>
      <w:lvlJc w:val="left"/>
      <w:pPr>
        <w:ind w:left="3600" w:hanging="360"/>
      </w:pPr>
      <w:rPr>
        <w:rFonts w:ascii="Courier New" w:hAnsi="Courier New" w:hint="default"/>
      </w:rPr>
    </w:lvl>
    <w:lvl w:ilvl="5" w:tplc="C7DCB8D2">
      <w:start w:val="1"/>
      <w:numFmt w:val="bullet"/>
      <w:lvlText w:val=""/>
      <w:lvlJc w:val="left"/>
      <w:pPr>
        <w:ind w:left="4320" w:hanging="360"/>
      </w:pPr>
      <w:rPr>
        <w:rFonts w:ascii="Wingdings" w:hAnsi="Wingdings" w:hint="default"/>
      </w:rPr>
    </w:lvl>
    <w:lvl w:ilvl="6" w:tplc="E4089F16">
      <w:start w:val="1"/>
      <w:numFmt w:val="bullet"/>
      <w:lvlText w:val=""/>
      <w:lvlJc w:val="left"/>
      <w:pPr>
        <w:ind w:left="5040" w:hanging="360"/>
      </w:pPr>
      <w:rPr>
        <w:rFonts w:ascii="Symbol" w:hAnsi="Symbol" w:hint="default"/>
      </w:rPr>
    </w:lvl>
    <w:lvl w:ilvl="7" w:tplc="B84A683A">
      <w:start w:val="1"/>
      <w:numFmt w:val="bullet"/>
      <w:lvlText w:val="o"/>
      <w:lvlJc w:val="left"/>
      <w:pPr>
        <w:ind w:left="5760" w:hanging="360"/>
      </w:pPr>
      <w:rPr>
        <w:rFonts w:ascii="Courier New" w:hAnsi="Courier New" w:hint="default"/>
      </w:rPr>
    </w:lvl>
    <w:lvl w:ilvl="8" w:tplc="EC7ABE24">
      <w:start w:val="1"/>
      <w:numFmt w:val="bullet"/>
      <w:lvlText w:val=""/>
      <w:lvlJc w:val="left"/>
      <w:pPr>
        <w:ind w:left="6480" w:hanging="360"/>
      </w:pPr>
      <w:rPr>
        <w:rFonts w:ascii="Wingdings" w:hAnsi="Wingdings" w:hint="default"/>
      </w:rPr>
    </w:lvl>
  </w:abstractNum>
  <w:abstractNum w:abstractNumId="2" w15:restartNumberingAfterBreak="0">
    <w:nsid w:val="7CD41D65"/>
    <w:multiLevelType w:val="hybridMultilevel"/>
    <w:tmpl w:val="8D7648C4"/>
    <w:lvl w:ilvl="0" w:tplc="3802F4B6">
      <w:start w:val="24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3957893">
    <w:abstractNumId w:val="1"/>
  </w:num>
  <w:num w:numId="2" w16cid:durableId="170031259">
    <w:abstractNumId w:val="0"/>
  </w:num>
  <w:num w:numId="3" w16cid:durableId="5218681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DDA"/>
    <w:rsid w:val="000225A0"/>
    <w:rsid w:val="000425A1"/>
    <w:rsid w:val="00045AE4"/>
    <w:rsid w:val="000464C7"/>
    <w:rsid w:val="00067797"/>
    <w:rsid w:val="00076906"/>
    <w:rsid w:val="00083D32"/>
    <w:rsid w:val="00085B6F"/>
    <w:rsid w:val="000F2417"/>
    <w:rsid w:val="00100313"/>
    <w:rsid w:val="00102140"/>
    <w:rsid w:val="001049E1"/>
    <w:rsid w:val="00111D0D"/>
    <w:rsid w:val="00112C98"/>
    <w:rsid w:val="001139D5"/>
    <w:rsid w:val="00134AE1"/>
    <w:rsid w:val="00143E08"/>
    <w:rsid w:val="001A6ACC"/>
    <w:rsid w:val="001B05C5"/>
    <w:rsid w:val="001B1E23"/>
    <w:rsid w:val="001B45A0"/>
    <w:rsid w:val="001C1F24"/>
    <w:rsid w:val="001C4F03"/>
    <w:rsid w:val="001F308B"/>
    <w:rsid w:val="00211BA9"/>
    <w:rsid w:val="00237ED7"/>
    <w:rsid w:val="0025005B"/>
    <w:rsid w:val="002507CE"/>
    <w:rsid w:val="00260883"/>
    <w:rsid w:val="00285BC3"/>
    <w:rsid w:val="002C21B1"/>
    <w:rsid w:val="002C6EF8"/>
    <w:rsid w:val="002D6A1B"/>
    <w:rsid w:val="002F3D06"/>
    <w:rsid w:val="003044E6"/>
    <w:rsid w:val="003125B0"/>
    <w:rsid w:val="0036204E"/>
    <w:rsid w:val="00362E78"/>
    <w:rsid w:val="0036619C"/>
    <w:rsid w:val="003767C2"/>
    <w:rsid w:val="003878D8"/>
    <w:rsid w:val="00391FF2"/>
    <w:rsid w:val="00400420"/>
    <w:rsid w:val="004108E5"/>
    <w:rsid w:val="004344AA"/>
    <w:rsid w:val="004371B2"/>
    <w:rsid w:val="00447513"/>
    <w:rsid w:val="00457296"/>
    <w:rsid w:val="00457745"/>
    <w:rsid w:val="0047279D"/>
    <w:rsid w:val="004826D7"/>
    <w:rsid w:val="004A050C"/>
    <w:rsid w:val="004A29C9"/>
    <w:rsid w:val="004A5EAA"/>
    <w:rsid w:val="004A72E5"/>
    <w:rsid w:val="004B096C"/>
    <w:rsid w:val="004B2E90"/>
    <w:rsid w:val="004D75E4"/>
    <w:rsid w:val="004E0ED7"/>
    <w:rsid w:val="00513EF8"/>
    <w:rsid w:val="00516723"/>
    <w:rsid w:val="00526005"/>
    <w:rsid w:val="00535514"/>
    <w:rsid w:val="0055462A"/>
    <w:rsid w:val="00555B89"/>
    <w:rsid w:val="005573DA"/>
    <w:rsid w:val="00562C60"/>
    <w:rsid w:val="005670C5"/>
    <w:rsid w:val="0058067E"/>
    <w:rsid w:val="005A7723"/>
    <w:rsid w:val="005F34E7"/>
    <w:rsid w:val="00624170"/>
    <w:rsid w:val="0064465F"/>
    <w:rsid w:val="00653FC2"/>
    <w:rsid w:val="0066482A"/>
    <w:rsid w:val="006707D4"/>
    <w:rsid w:val="006B58FE"/>
    <w:rsid w:val="006D628C"/>
    <w:rsid w:val="006F346E"/>
    <w:rsid w:val="006F4F14"/>
    <w:rsid w:val="00717F96"/>
    <w:rsid w:val="007237BE"/>
    <w:rsid w:val="00725EFF"/>
    <w:rsid w:val="007B565A"/>
    <w:rsid w:val="007C00CB"/>
    <w:rsid w:val="007E31D2"/>
    <w:rsid w:val="007F41B6"/>
    <w:rsid w:val="00821A4F"/>
    <w:rsid w:val="00823065"/>
    <w:rsid w:val="008413EB"/>
    <w:rsid w:val="00854FD4"/>
    <w:rsid w:val="00866505"/>
    <w:rsid w:val="00870931"/>
    <w:rsid w:val="008E30CA"/>
    <w:rsid w:val="008F1AAD"/>
    <w:rsid w:val="008F4EC3"/>
    <w:rsid w:val="009119B2"/>
    <w:rsid w:val="00912D39"/>
    <w:rsid w:val="00916529"/>
    <w:rsid w:val="00937039"/>
    <w:rsid w:val="0094164D"/>
    <w:rsid w:val="00943AF8"/>
    <w:rsid w:val="009522B7"/>
    <w:rsid w:val="00956552"/>
    <w:rsid w:val="00960F27"/>
    <w:rsid w:val="00974A7C"/>
    <w:rsid w:val="00993019"/>
    <w:rsid w:val="009B5587"/>
    <w:rsid w:val="009B67E6"/>
    <w:rsid w:val="009CCC0B"/>
    <w:rsid w:val="009F27BB"/>
    <w:rsid w:val="009F491F"/>
    <w:rsid w:val="00A039BC"/>
    <w:rsid w:val="00A06400"/>
    <w:rsid w:val="00A070FE"/>
    <w:rsid w:val="00A127E1"/>
    <w:rsid w:val="00A135BA"/>
    <w:rsid w:val="00A17141"/>
    <w:rsid w:val="00A17DC5"/>
    <w:rsid w:val="00A51186"/>
    <w:rsid w:val="00A761F6"/>
    <w:rsid w:val="00A907DA"/>
    <w:rsid w:val="00A91EFC"/>
    <w:rsid w:val="00B31C96"/>
    <w:rsid w:val="00B37C5B"/>
    <w:rsid w:val="00B47E60"/>
    <w:rsid w:val="00B55738"/>
    <w:rsid w:val="00B55A63"/>
    <w:rsid w:val="00B55F27"/>
    <w:rsid w:val="00B70204"/>
    <w:rsid w:val="00B92A6F"/>
    <w:rsid w:val="00B93A18"/>
    <w:rsid w:val="00B97120"/>
    <w:rsid w:val="00BC0A1A"/>
    <w:rsid w:val="00BC1C8C"/>
    <w:rsid w:val="00BE15D5"/>
    <w:rsid w:val="00BE2290"/>
    <w:rsid w:val="00BF2DDA"/>
    <w:rsid w:val="00BF6135"/>
    <w:rsid w:val="00C028D3"/>
    <w:rsid w:val="00C14306"/>
    <w:rsid w:val="00C150B8"/>
    <w:rsid w:val="00C1709E"/>
    <w:rsid w:val="00C202FD"/>
    <w:rsid w:val="00C2435C"/>
    <w:rsid w:val="00C413EC"/>
    <w:rsid w:val="00C73572"/>
    <w:rsid w:val="00C83FA9"/>
    <w:rsid w:val="00C939DA"/>
    <w:rsid w:val="00CA46A1"/>
    <w:rsid w:val="00CF24B3"/>
    <w:rsid w:val="00CF6082"/>
    <w:rsid w:val="00D065FA"/>
    <w:rsid w:val="00D11965"/>
    <w:rsid w:val="00D17C45"/>
    <w:rsid w:val="00D407E4"/>
    <w:rsid w:val="00D42715"/>
    <w:rsid w:val="00D502B0"/>
    <w:rsid w:val="00D51205"/>
    <w:rsid w:val="00D56FB1"/>
    <w:rsid w:val="00D8524D"/>
    <w:rsid w:val="00DA54C7"/>
    <w:rsid w:val="00DA5986"/>
    <w:rsid w:val="00DB78D1"/>
    <w:rsid w:val="00DC7B34"/>
    <w:rsid w:val="00DD369F"/>
    <w:rsid w:val="00DD68B2"/>
    <w:rsid w:val="00E04AC3"/>
    <w:rsid w:val="00E05CA1"/>
    <w:rsid w:val="00E14819"/>
    <w:rsid w:val="00E14B40"/>
    <w:rsid w:val="00E2737C"/>
    <w:rsid w:val="00E32D3F"/>
    <w:rsid w:val="00E42BAF"/>
    <w:rsid w:val="00E56DCB"/>
    <w:rsid w:val="00EA6042"/>
    <w:rsid w:val="00EF0B57"/>
    <w:rsid w:val="00F0199A"/>
    <w:rsid w:val="00F05818"/>
    <w:rsid w:val="00F12CE8"/>
    <w:rsid w:val="00F26B9E"/>
    <w:rsid w:val="00F31460"/>
    <w:rsid w:val="00F45C32"/>
    <w:rsid w:val="00F954C7"/>
    <w:rsid w:val="00FA5297"/>
    <w:rsid w:val="00FC34B1"/>
    <w:rsid w:val="00FE1648"/>
    <w:rsid w:val="017345CB"/>
    <w:rsid w:val="01DEC029"/>
    <w:rsid w:val="01EFD9E1"/>
    <w:rsid w:val="023A6965"/>
    <w:rsid w:val="02D5E191"/>
    <w:rsid w:val="033F9470"/>
    <w:rsid w:val="035F13C5"/>
    <w:rsid w:val="03A6637C"/>
    <w:rsid w:val="04227CD9"/>
    <w:rsid w:val="046179AF"/>
    <w:rsid w:val="04831678"/>
    <w:rsid w:val="04BD5FEB"/>
    <w:rsid w:val="04E99C59"/>
    <w:rsid w:val="04F92D18"/>
    <w:rsid w:val="0593187E"/>
    <w:rsid w:val="0636E682"/>
    <w:rsid w:val="06535F74"/>
    <w:rsid w:val="06EE935B"/>
    <w:rsid w:val="07A77C8A"/>
    <w:rsid w:val="07CC2091"/>
    <w:rsid w:val="087738E9"/>
    <w:rsid w:val="08933FCB"/>
    <w:rsid w:val="08E3A472"/>
    <w:rsid w:val="0B0068DB"/>
    <w:rsid w:val="0B0A0CAE"/>
    <w:rsid w:val="0B370D23"/>
    <w:rsid w:val="0BA794B5"/>
    <w:rsid w:val="0BE63F63"/>
    <w:rsid w:val="0C3527CA"/>
    <w:rsid w:val="0C463F5A"/>
    <w:rsid w:val="0C59D689"/>
    <w:rsid w:val="0C5CA2E9"/>
    <w:rsid w:val="0C82B2CC"/>
    <w:rsid w:val="0D8CB8AA"/>
    <w:rsid w:val="0DA30C66"/>
    <w:rsid w:val="0DE402E6"/>
    <w:rsid w:val="0E1E4FD6"/>
    <w:rsid w:val="0F388486"/>
    <w:rsid w:val="0F5D9F62"/>
    <w:rsid w:val="0F60B681"/>
    <w:rsid w:val="0F646FAE"/>
    <w:rsid w:val="10204E9D"/>
    <w:rsid w:val="10300BED"/>
    <w:rsid w:val="1076EA36"/>
    <w:rsid w:val="10C184CB"/>
    <w:rsid w:val="1113B622"/>
    <w:rsid w:val="1187A901"/>
    <w:rsid w:val="1240C679"/>
    <w:rsid w:val="124E5C08"/>
    <w:rsid w:val="12D42740"/>
    <w:rsid w:val="14427E8F"/>
    <w:rsid w:val="145FB158"/>
    <w:rsid w:val="14C0AFEC"/>
    <w:rsid w:val="14D72716"/>
    <w:rsid w:val="14F0B3D9"/>
    <w:rsid w:val="150B0651"/>
    <w:rsid w:val="15EF14CB"/>
    <w:rsid w:val="15F8978E"/>
    <w:rsid w:val="1636E3D9"/>
    <w:rsid w:val="17048DBB"/>
    <w:rsid w:val="1909519D"/>
    <w:rsid w:val="1A4D3647"/>
    <w:rsid w:val="1A979477"/>
    <w:rsid w:val="1AE74F9A"/>
    <w:rsid w:val="1AF52F01"/>
    <w:rsid w:val="1AFDECFB"/>
    <w:rsid w:val="1B804974"/>
    <w:rsid w:val="1BBCE5B9"/>
    <w:rsid w:val="1BE9D141"/>
    <w:rsid w:val="1C433AC7"/>
    <w:rsid w:val="1CF54C28"/>
    <w:rsid w:val="1D74C3B9"/>
    <w:rsid w:val="1E6605DB"/>
    <w:rsid w:val="1ED4C146"/>
    <w:rsid w:val="1F013CBF"/>
    <w:rsid w:val="1F4B65E5"/>
    <w:rsid w:val="201C5AC0"/>
    <w:rsid w:val="20255D6F"/>
    <w:rsid w:val="20364C6B"/>
    <w:rsid w:val="20416786"/>
    <w:rsid w:val="2047B844"/>
    <w:rsid w:val="205EA2BA"/>
    <w:rsid w:val="2066D3D7"/>
    <w:rsid w:val="206E1A1E"/>
    <w:rsid w:val="20C599A8"/>
    <w:rsid w:val="216D2719"/>
    <w:rsid w:val="21CFA530"/>
    <w:rsid w:val="22ABF713"/>
    <w:rsid w:val="231FEA30"/>
    <w:rsid w:val="2347067A"/>
    <w:rsid w:val="23FCCFF9"/>
    <w:rsid w:val="2413C8CC"/>
    <w:rsid w:val="24254E60"/>
    <w:rsid w:val="25C6FCB9"/>
    <w:rsid w:val="25EDE598"/>
    <w:rsid w:val="26035A03"/>
    <w:rsid w:val="2741FD7E"/>
    <w:rsid w:val="274AD44B"/>
    <w:rsid w:val="2779543E"/>
    <w:rsid w:val="277E76FD"/>
    <w:rsid w:val="27E3BD1E"/>
    <w:rsid w:val="285F52DC"/>
    <w:rsid w:val="286924CE"/>
    <w:rsid w:val="28827DCD"/>
    <w:rsid w:val="28C60863"/>
    <w:rsid w:val="28FF6DB6"/>
    <w:rsid w:val="298D6DC9"/>
    <w:rsid w:val="2A07BEFF"/>
    <w:rsid w:val="2A086EC2"/>
    <w:rsid w:val="2A1E10C5"/>
    <w:rsid w:val="2B24F85B"/>
    <w:rsid w:val="2B890129"/>
    <w:rsid w:val="2B909AD5"/>
    <w:rsid w:val="2C140463"/>
    <w:rsid w:val="2CD45FDE"/>
    <w:rsid w:val="2CE1E59B"/>
    <w:rsid w:val="2D24620B"/>
    <w:rsid w:val="2E03A8C3"/>
    <w:rsid w:val="2E2AE815"/>
    <w:rsid w:val="2E2CD6E0"/>
    <w:rsid w:val="2F03A827"/>
    <w:rsid w:val="2F1024C8"/>
    <w:rsid w:val="30F1E805"/>
    <w:rsid w:val="3167FEA5"/>
    <w:rsid w:val="3180DB31"/>
    <w:rsid w:val="31987FAE"/>
    <w:rsid w:val="31BD4444"/>
    <w:rsid w:val="326CC66E"/>
    <w:rsid w:val="32795E08"/>
    <w:rsid w:val="32FBA4FE"/>
    <w:rsid w:val="33401575"/>
    <w:rsid w:val="34125CEA"/>
    <w:rsid w:val="34D5F3B2"/>
    <w:rsid w:val="34ECF780"/>
    <w:rsid w:val="36E9817B"/>
    <w:rsid w:val="375C2FE4"/>
    <w:rsid w:val="3778DE3B"/>
    <w:rsid w:val="38ACC513"/>
    <w:rsid w:val="39577862"/>
    <w:rsid w:val="39A39193"/>
    <w:rsid w:val="3A033483"/>
    <w:rsid w:val="3A373B07"/>
    <w:rsid w:val="3B79DCA3"/>
    <w:rsid w:val="3C7366FD"/>
    <w:rsid w:val="3CD508A7"/>
    <w:rsid w:val="3D2B46BB"/>
    <w:rsid w:val="3E17E8A0"/>
    <w:rsid w:val="3EBC5F47"/>
    <w:rsid w:val="3F8F2AAB"/>
    <w:rsid w:val="3FF4D096"/>
    <w:rsid w:val="4090E095"/>
    <w:rsid w:val="40DCBBFF"/>
    <w:rsid w:val="41049A88"/>
    <w:rsid w:val="4174FC48"/>
    <w:rsid w:val="417A8108"/>
    <w:rsid w:val="41D80281"/>
    <w:rsid w:val="41EA86F3"/>
    <w:rsid w:val="4382933F"/>
    <w:rsid w:val="439F8464"/>
    <w:rsid w:val="43A51403"/>
    <w:rsid w:val="44130A4A"/>
    <w:rsid w:val="4426CC5A"/>
    <w:rsid w:val="443F9456"/>
    <w:rsid w:val="45031B4A"/>
    <w:rsid w:val="45098D66"/>
    <w:rsid w:val="45126A40"/>
    <w:rsid w:val="45D2DA91"/>
    <w:rsid w:val="46E9A511"/>
    <w:rsid w:val="47A5BED5"/>
    <w:rsid w:val="483A2C34"/>
    <w:rsid w:val="48405B49"/>
    <w:rsid w:val="48C2E8DD"/>
    <w:rsid w:val="499D8373"/>
    <w:rsid w:val="49B20D55"/>
    <w:rsid w:val="49DC3B50"/>
    <w:rsid w:val="49E7ED62"/>
    <w:rsid w:val="4A26AE54"/>
    <w:rsid w:val="4A4C273E"/>
    <w:rsid w:val="4A689FCA"/>
    <w:rsid w:val="4A7327F6"/>
    <w:rsid w:val="4C44ACAD"/>
    <w:rsid w:val="4C6330BA"/>
    <w:rsid w:val="4C7D766E"/>
    <w:rsid w:val="4C925855"/>
    <w:rsid w:val="4CB719D5"/>
    <w:rsid w:val="4CCF52C6"/>
    <w:rsid w:val="4CD7D6E9"/>
    <w:rsid w:val="4E079198"/>
    <w:rsid w:val="4E1A6BFC"/>
    <w:rsid w:val="4E5E34E2"/>
    <w:rsid w:val="4F1ABC75"/>
    <w:rsid w:val="4F39E34C"/>
    <w:rsid w:val="4FE08C63"/>
    <w:rsid w:val="4FEAD009"/>
    <w:rsid w:val="513FFB7B"/>
    <w:rsid w:val="5264837E"/>
    <w:rsid w:val="5287F766"/>
    <w:rsid w:val="52B67C0A"/>
    <w:rsid w:val="52CB1D6E"/>
    <w:rsid w:val="53534492"/>
    <w:rsid w:val="5361AD0B"/>
    <w:rsid w:val="5389A8CE"/>
    <w:rsid w:val="53AD2A1F"/>
    <w:rsid w:val="540FB0F5"/>
    <w:rsid w:val="5531F22E"/>
    <w:rsid w:val="557C785D"/>
    <w:rsid w:val="558AFBBC"/>
    <w:rsid w:val="55D08972"/>
    <w:rsid w:val="5660230C"/>
    <w:rsid w:val="56A4A09F"/>
    <w:rsid w:val="56ACF53B"/>
    <w:rsid w:val="56CAB49C"/>
    <w:rsid w:val="571103B2"/>
    <w:rsid w:val="573B0A4A"/>
    <w:rsid w:val="57557B67"/>
    <w:rsid w:val="576D8EC8"/>
    <w:rsid w:val="57A0E2BE"/>
    <w:rsid w:val="57AC845B"/>
    <w:rsid w:val="57B6D7C6"/>
    <w:rsid w:val="57E116E4"/>
    <w:rsid w:val="5869E0E2"/>
    <w:rsid w:val="587FA145"/>
    <w:rsid w:val="589CAACE"/>
    <w:rsid w:val="591D4373"/>
    <w:rsid w:val="5A0461A3"/>
    <w:rsid w:val="5A6E4325"/>
    <w:rsid w:val="5A6F563B"/>
    <w:rsid w:val="5AC908C3"/>
    <w:rsid w:val="5AD84902"/>
    <w:rsid w:val="5CA2385B"/>
    <w:rsid w:val="5CB164C0"/>
    <w:rsid w:val="5CBD1C40"/>
    <w:rsid w:val="5D7A09EC"/>
    <w:rsid w:val="5D8A7901"/>
    <w:rsid w:val="5E8CB29E"/>
    <w:rsid w:val="5ED6265F"/>
    <w:rsid w:val="5F2BD97D"/>
    <w:rsid w:val="5F4DC434"/>
    <w:rsid w:val="5FF4BD02"/>
    <w:rsid w:val="60BB18B9"/>
    <w:rsid w:val="619719AE"/>
    <w:rsid w:val="61A09C88"/>
    <w:rsid w:val="61F60DC2"/>
    <w:rsid w:val="625C2216"/>
    <w:rsid w:val="629471B5"/>
    <w:rsid w:val="629F8151"/>
    <w:rsid w:val="62AA8E8F"/>
    <w:rsid w:val="632ED23C"/>
    <w:rsid w:val="634A17FB"/>
    <w:rsid w:val="63F75E16"/>
    <w:rsid w:val="6468B73F"/>
    <w:rsid w:val="65031E75"/>
    <w:rsid w:val="65C05F34"/>
    <w:rsid w:val="66813CC7"/>
    <w:rsid w:val="6770E9D6"/>
    <w:rsid w:val="67921B75"/>
    <w:rsid w:val="67F9BBE6"/>
    <w:rsid w:val="6819F074"/>
    <w:rsid w:val="6848E3A5"/>
    <w:rsid w:val="68AB05E7"/>
    <w:rsid w:val="68D44D3F"/>
    <w:rsid w:val="68D807DC"/>
    <w:rsid w:val="694F8AD3"/>
    <w:rsid w:val="6A97F23E"/>
    <w:rsid w:val="6A9E21D9"/>
    <w:rsid w:val="6B70457B"/>
    <w:rsid w:val="6BBDD21F"/>
    <w:rsid w:val="6D217284"/>
    <w:rsid w:val="6DEE3261"/>
    <w:rsid w:val="6E9C9324"/>
    <w:rsid w:val="6F550D20"/>
    <w:rsid w:val="6F62D35E"/>
    <w:rsid w:val="6F8ABB59"/>
    <w:rsid w:val="6F8B35A2"/>
    <w:rsid w:val="6FAE8969"/>
    <w:rsid w:val="70581043"/>
    <w:rsid w:val="7182877A"/>
    <w:rsid w:val="71FAF6B5"/>
    <w:rsid w:val="721AECC9"/>
    <w:rsid w:val="721D28DB"/>
    <w:rsid w:val="7398623D"/>
    <w:rsid w:val="742F91A5"/>
    <w:rsid w:val="74364481"/>
    <w:rsid w:val="74456763"/>
    <w:rsid w:val="7493E671"/>
    <w:rsid w:val="74AA856C"/>
    <w:rsid w:val="752F5618"/>
    <w:rsid w:val="75D84E1F"/>
    <w:rsid w:val="75DD068A"/>
    <w:rsid w:val="76B3CED9"/>
    <w:rsid w:val="7765B96D"/>
    <w:rsid w:val="78ED6940"/>
    <w:rsid w:val="792C7FFA"/>
    <w:rsid w:val="79AD0215"/>
    <w:rsid w:val="7A06089A"/>
    <w:rsid w:val="7A74203B"/>
    <w:rsid w:val="7AB6038E"/>
    <w:rsid w:val="7B462227"/>
    <w:rsid w:val="7B71A775"/>
    <w:rsid w:val="7C0FEE64"/>
    <w:rsid w:val="7CAAE1DC"/>
    <w:rsid w:val="7CD2B947"/>
    <w:rsid w:val="7D3AA02E"/>
    <w:rsid w:val="7EAF186C"/>
    <w:rsid w:val="7ED8ADD0"/>
    <w:rsid w:val="7F8438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A2B0"/>
  <w15:chartTrackingRefBased/>
  <w15:docId w15:val="{ADF33478-4F4E-4AAE-8950-B2D336916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8D1"/>
    <w:pPr>
      <w:spacing w:before="120"/>
    </w:pPr>
    <w:rPr>
      <w:rFonts w:ascii="Calibri" w:eastAsia="Calibri" w:hAnsi="Calibri" w:cs="Arial"/>
    </w:rPr>
  </w:style>
  <w:style w:type="paragraph" w:styleId="Heading1">
    <w:name w:val="heading 1"/>
    <w:basedOn w:val="Normal"/>
    <w:next w:val="Normal"/>
    <w:link w:val="Heading1Char"/>
    <w:uiPriority w:val="9"/>
    <w:qFormat/>
    <w:rsid w:val="00085B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462A"/>
    <w:pPr>
      <w:keepNext/>
      <w:keepLines/>
      <w:spacing w:before="40" w:line="27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5462A"/>
    <w:pPr>
      <w:keepNext/>
      <w:keepLines/>
      <w:spacing w:before="40" w:line="276" w:lineRule="auto"/>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55462A"/>
    <w:pPr>
      <w:keepNext/>
      <w:keepLines/>
      <w:spacing w:before="40" w:line="276" w:lineRule="auto"/>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5462A"/>
    <w:rPr>
      <w:rFonts w:ascii="Tahoma" w:hAnsi="Tahoma" w:cs="Tahoma"/>
      <w:sz w:val="16"/>
      <w:szCs w:val="16"/>
    </w:rPr>
  </w:style>
  <w:style w:type="character" w:customStyle="1" w:styleId="BalloonTextChar">
    <w:name w:val="Balloon Text Char"/>
    <w:basedOn w:val="DefaultParagraphFont"/>
    <w:link w:val="BalloonText"/>
    <w:uiPriority w:val="99"/>
    <w:semiHidden/>
    <w:rsid w:val="0055462A"/>
    <w:rPr>
      <w:rFonts w:ascii="Tahoma" w:eastAsia="Times New Roman" w:hAnsi="Tahoma" w:cs="Tahoma"/>
      <w:sz w:val="16"/>
      <w:szCs w:val="16"/>
    </w:rPr>
  </w:style>
  <w:style w:type="paragraph" w:styleId="Caption">
    <w:name w:val="caption"/>
    <w:basedOn w:val="Normal"/>
    <w:next w:val="Normal"/>
    <w:uiPriority w:val="35"/>
    <w:unhideWhenUsed/>
    <w:qFormat/>
    <w:rsid w:val="0055462A"/>
    <w:pPr>
      <w:spacing w:after="200"/>
    </w:pPr>
    <w:rPr>
      <w:rFonts w:asciiTheme="minorHAnsi" w:eastAsiaTheme="minorHAnsi" w:hAnsiTheme="minorHAnsi" w:cstheme="minorBidi"/>
      <w:i/>
      <w:iCs/>
      <w:color w:val="44546A" w:themeColor="text2"/>
      <w:sz w:val="18"/>
      <w:szCs w:val="18"/>
    </w:rPr>
  </w:style>
  <w:style w:type="character" w:styleId="CommentReference">
    <w:name w:val="annotation reference"/>
    <w:basedOn w:val="DefaultParagraphFont"/>
    <w:uiPriority w:val="99"/>
    <w:semiHidden/>
    <w:unhideWhenUsed/>
    <w:rsid w:val="0055462A"/>
    <w:rPr>
      <w:sz w:val="16"/>
      <w:szCs w:val="16"/>
    </w:rPr>
  </w:style>
  <w:style w:type="paragraph" w:styleId="CommentText">
    <w:name w:val="annotation text"/>
    <w:basedOn w:val="Normal"/>
    <w:link w:val="CommentTextChar"/>
    <w:uiPriority w:val="99"/>
    <w:unhideWhenUsed/>
    <w:rsid w:val="0055462A"/>
    <w:rPr>
      <w:sz w:val="20"/>
      <w:szCs w:val="20"/>
    </w:rPr>
  </w:style>
  <w:style w:type="character" w:customStyle="1" w:styleId="CommentTextChar">
    <w:name w:val="Comment Text Char"/>
    <w:basedOn w:val="DefaultParagraphFont"/>
    <w:link w:val="CommentText"/>
    <w:uiPriority w:val="99"/>
    <w:rsid w:val="0055462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5462A"/>
    <w:rPr>
      <w:b/>
      <w:bCs/>
    </w:rPr>
  </w:style>
  <w:style w:type="character" w:customStyle="1" w:styleId="CommentSubjectChar">
    <w:name w:val="Comment Subject Char"/>
    <w:basedOn w:val="CommentTextChar"/>
    <w:link w:val="CommentSubject"/>
    <w:uiPriority w:val="99"/>
    <w:semiHidden/>
    <w:rsid w:val="0055462A"/>
    <w:rPr>
      <w:rFonts w:ascii="Times New Roman" w:eastAsia="Times New Roman" w:hAnsi="Times New Roman" w:cs="Times New Roman"/>
      <w:b/>
      <w:bCs/>
      <w:sz w:val="20"/>
      <w:szCs w:val="20"/>
    </w:rPr>
  </w:style>
  <w:style w:type="paragraph" w:styleId="Footer">
    <w:name w:val="footer"/>
    <w:basedOn w:val="Normal"/>
    <w:link w:val="FooterChar"/>
    <w:rsid w:val="0055462A"/>
    <w:pPr>
      <w:tabs>
        <w:tab w:val="center" w:pos="4320"/>
        <w:tab w:val="right" w:pos="8640"/>
      </w:tabs>
    </w:pPr>
  </w:style>
  <w:style w:type="character" w:customStyle="1" w:styleId="FooterChar">
    <w:name w:val="Footer Char"/>
    <w:basedOn w:val="DefaultParagraphFont"/>
    <w:link w:val="Footer"/>
    <w:rsid w:val="0055462A"/>
    <w:rPr>
      <w:rFonts w:ascii="Times New Roman" w:eastAsia="Times New Roman" w:hAnsi="Times New Roman" w:cs="Times New Roman"/>
      <w:sz w:val="24"/>
      <w:szCs w:val="24"/>
    </w:rPr>
  </w:style>
  <w:style w:type="character" w:styleId="FootnoteReference">
    <w:name w:val="footnote reference"/>
    <w:basedOn w:val="DefaultParagraphFont"/>
    <w:uiPriority w:val="99"/>
    <w:semiHidden/>
    <w:unhideWhenUsed/>
    <w:rsid w:val="0055462A"/>
    <w:rPr>
      <w:vertAlign w:val="superscript"/>
    </w:rPr>
  </w:style>
  <w:style w:type="paragraph" w:styleId="FootnoteText">
    <w:name w:val="footnote text"/>
    <w:basedOn w:val="Normal"/>
    <w:link w:val="FootnoteTextChar"/>
    <w:uiPriority w:val="99"/>
    <w:semiHidden/>
    <w:unhideWhenUsed/>
    <w:rsid w:val="0055462A"/>
    <w:rPr>
      <w:sz w:val="20"/>
      <w:szCs w:val="20"/>
    </w:rPr>
  </w:style>
  <w:style w:type="character" w:customStyle="1" w:styleId="FootnoteTextChar">
    <w:name w:val="Footnote Text Char"/>
    <w:basedOn w:val="DefaultParagraphFont"/>
    <w:link w:val="FootnoteText"/>
    <w:uiPriority w:val="99"/>
    <w:semiHidden/>
    <w:rsid w:val="0055462A"/>
    <w:rPr>
      <w:rFonts w:ascii="Times New Roman" w:eastAsia="Times New Roman" w:hAnsi="Times New Roman" w:cs="Times New Roman"/>
      <w:sz w:val="20"/>
      <w:szCs w:val="20"/>
    </w:rPr>
  </w:style>
  <w:style w:type="paragraph" w:styleId="Header">
    <w:name w:val="header"/>
    <w:basedOn w:val="Normal"/>
    <w:link w:val="HeaderChar"/>
    <w:rsid w:val="0055462A"/>
    <w:pPr>
      <w:tabs>
        <w:tab w:val="center" w:pos="4320"/>
        <w:tab w:val="right" w:pos="8640"/>
      </w:tabs>
    </w:pPr>
  </w:style>
  <w:style w:type="character" w:customStyle="1" w:styleId="HeaderChar">
    <w:name w:val="Header Char"/>
    <w:basedOn w:val="DefaultParagraphFont"/>
    <w:link w:val="Header"/>
    <w:rsid w:val="0055462A"/>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5462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5462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5462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55462A"/>
    <w:pPr>
      <w:spacing w:after="200" w:line="276" w:lineRule="auto"/>
      <w:ind w:left="720"/>
      <w:contextualSpacing/>
    </w:pPr>
    <w:rPr>
      <w:rFonts w:asciiTheme="minorHAnsi" w:eastAsiaTheme="minorHAnsi" w:hAnsiTheme="minorHAnsi" w:cstheme="minorBidi"/>
    </w:rPr>
  </w:style>
  <w:style w:type="table" w:styleId="TableGrid">
    <w:name w:val="Table Grid"/>
    <w:basedOn w:val="TableNormal"/>
    <w:uiPriority w:val="59"/>
    <w:rsid w:val="0055462A"/>
    <w:pPr>
      <w:spacing w:after="0" w:line="240" w:lineRule="auto"/>
    </w:pPr>
    <w:rPr>
      <w:rFonts w:ascii="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uiPriority w:val="10"/>
    <w:qFormat/>
    <w:rsid w:val="00BF2DD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7CE"/>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507CE"/>
    <w:rPr>
      <w:rFonts w:eastAsiaTheme="minorEastAsia"/>
      <w:color w:val="5A5A5A" w:themeColor="text1" w:themeTint="A5"/>
      <w:spacing w:val="15"/>
    </w:rPr>
  </w:style>
  <w:style w:type="character" w:styleId="Hyperlink">
    <w:name w:val="Hyperlink"/>
    <w:basedOn w:val="DefaultParagraphFont"/>
    <w:uiPriority w:val="99"/>
    <w:unhideWhenUsed/>
    <w:rsid w:val="0036204E"/>
    <w:rPr>
      <w:color w:val="0563C1" w:themeColor="hyperlink"/>
      <w:u w:val="single"/>
    </w:rPr>
  </w:style>
  <w:style w:type="character" w:styleId="UnresolvedMention">
    <w:name w:val="Unresolved Mention"/>
    <w:basedOn w:val="DefaultParagraphFont"/>
    <w:uiPriority w:val="99"/>
    <w:semiHidden/>
    <w:unhideWhenUsed/>
    <w:rsid w:val="0036204E"/>
    <w:rPr>
      <w:color w:val="605E5C"/>
      <w:shd w:val="clear" w:color="auto" w:fill="E1DFDD"/>
    </w:rPr>
  </w:style>
  <w:style w:type="character" w:customStyle="1" w:styleId="Heading1Char">
    <w:name w:val="Heading 1 Char"/>
    <w:basedOn w:val="DefaultParagraphFont"/>
    <w:link w:val="Heading1"/>
    <w:uiPriority w:val="9"/>
    <w:rsid w:val="00085B6F"/>
    <w:rPr>
      <w:rFonts w:asciiTheme="majorHAnsi" w:eastAsiaTheme="majorEastAsia" w:hAnsiTheme="majorHAnsi" w:cstheme="majorBidi"/>
      <w:color w:val="2F5496" w:themeColor="accent1" w:themeShade="BF"/>
      <w:sz w:val="32"/>
      <w:szCs w:val="32"/>
    </w:r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tion">
    <w:name w:val="Mention"/>
    <w:basedOn w:val="DefaultParagraphFont"/>
    <w:uiPriority w:val="99"/>
    <w:unhideWhenUsed/>
    <w:rsid w:val="00CF24B3"/>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85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eg"/><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jpg"/><Relationship Id="rId4" Type="http://schemas.openxmlformats.org/officeDocument/2006/relationships/customXml" Target="../customXml/item4.xml"/><Relationship Id="rId9" Type="http://schemas.openxmlformats.org/officeDocument/2006/relationships/hyperlink" Target="https://github.com/NREL/EnergyPlus/releases" TargetMode="External"/><Relationship Id="rId14" Type="http://schemas.openxmlformats.org/officeDocument/2006/relationships/image" Target="media/image5.jp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788E4FEB44D0B4CB1AD2E9A3A83F076" ma:contentTypeVersion="16" ma:contentTypeDescription="Create a new document." ma:contentTypeScope="" ma:versionID="15595268864ae27d4e24619f3ab4334c">
  <xsd:schema xmlns:xsd="http://www.w3.org/2001/XMLSchema" xmlns:xs="http://www.w3.org/2001/XMLSchema" xmlns:p="http://schemas.microsoft.com/office/2006/metadata/properties" xmlns:ns2="8baa01ab-7cf8-4360-9f3f-f87b1ec95c26" xmlns:ns3="d481fc2a-e230-47f7-a716-4f7f4b27a8e6" targetNamespace="http://schemas.microsoft.com/office/2006/metadata/properties" ma:root="true" ma:fieldsID="3791dbb61dcecf7697a1740df2da9f1f" ns2:_="" ns3:_="">
    <xsd:import namespace="8baa01ab-7cf8-4360-9f3f-f87b1ec95c26"/>
    <xsd:import namespace="d481fc2a-e230-47f7-a716-4f7f4b27a8e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a01ab-7cf8-4360-9f3f-f87b1ec95c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834da80-57da-4863-8816-2e6886d1e8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81fc2a-e230-47f7-a716-4f7f4b27a8e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abccf19-6643-45a5-82c6-2892444a6565}" ma:internalName="TaxCatchAll" ma:showField="CatchAllData" ma:web="d481fc2a-e230-47f7-a716-4f7f4b27a8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481fc2a-e230-47f7-a716-4f7f4b27a8e6" xsi:nil="true"/>
    <lcf76f155ced4ddcb4097134ff3c332f xmlns="8baa01ab-7cf8-4360-9f3f-f87b1ec95c2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FCD51-C568-4B71-82CD-EACFC13A91FF}">
  <ds:schemaRefs>
    <ds:schemaRef ds:uri="http://schemas.openxmlformats.org/officeDocument/2006/bibliography"/>
  </ds:schemaRefs>
</ds:datastoreItem>
</file>

<file path=customXml/itemProps2.xml><?xml version="1.0" encoding="utf-8"?>
<ds:datastoreItem xmlns:ds="http://schemas.openxmlformats.org/officeDocument/2006/customXml" ds:itemID="{39B93A68-D79D-42FE-846B-32BE42DF8193}"/>
</file>

<file path=customXml/itemProps3.xml><?xml version="1.0" encoding="utf-8"?>
<ds:datastoreItem xmlns:ds="http://schemas.openxmlformats.org/officeDocument/2006/customXml" ds:itemID="{A8FFBAD9-AEC3-48F7-A75E-09C1742483CE}">
  <ds:schemaRefs>
    <ds:schemaRef ds:uri="http://schemas.microsoft.com/office/2006/metadata/properties"/>
    <ds:schemaRef ds:uri="http://schemas.microsoft.com/office/infopath/2007/PartnerControls"/>
    <ds:schemaRef ds:uri="d481fc2a-e230-47f7-a716-4f7f4b27a8e6"/>
    <ds:schemaRef ds:uri="8baa01ab-7cf8-4360-9f3f-f87b1ec95c26"/>
  </ds:schemaRefs>
</ds:datastoreItem>
</file>

<file path=customXml/itemProps4.xml><?xml version="1.0" encoding="utf-8"?>
<ds:datastoreItem xmlns:ds="http://schemas.openxmlformats.org/officeDocument/2006/customXml" ds:itemID="{95F54931-9F33-48B1-ABD9-AB06DF38472F}">
  <ds:schemaRefs>
    <ds:schemaRef ds:uri="http://schemas.microsoft.com/sharepoint/v3/contenttype/forms"/>
  </ds:schemaRefs>
</ds:datastoreItem>
</file>

<file path=docMetadata/LabelInfo.xml><?xml version="1.0" encoding="utf-8"?>
<clbl:labelList xmlns:clbl="http://schemas.microsoft.com/office/2020/mipLabelMetadata">
  <clbl:label id="{95965d95-ecc0-4720-b759-1f33c42ed7da}" enabled="1" method="Standard" siteId="{a0f29d7e-28cd-4f54-8442-7885aee7c08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17</Pages>
  <Words>2172</Words>
  <Characters>11558</Characters>
  <Application>Microsoft Office Word</Application>
  <DocSecurity>0</DocSecurity>
  <Lines>231</Lines>
  <Paragraphs>156</Paragraphs>
  <ScaleCrop>false</ScaleCrop>
  <Company/>
  <LinksUpToDate>false</LinksUpToDate>
  <CharactersWithSpaces>13574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Parker</dc:creator>
  <cp:keywords/>
  <dc:description/>
  <cp:lastModifiedBy>Klun, Lauren</cp:lastModifiedBy>
  <cp:revision>187</cp:revision>
  <dcterms:created xsi:type="dcterms:W3CDTF">2023-11-14T21:42:00Z</dcterms:created>
  <dcterms:modified xsi:type="dcterms:W3CDTF">2026-01-06T23:27:00Z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0x010100A788E4FEB44D0B4CB1AD2E9A3A83F076</vt:lpwstr>
  </property>
  <property fmtid="{D5CDD505-2E9C-101B-9397-08002B2CF9AE}" pid="4" name="MSIP_Label_95965d95-ecc0-4720-b759-1f33c42ed7da_Enabled">
    <vt:lpwstr>true</vt:lpwstr>
  </property>
  <property fmtid="{D5CDD505-2E9C-101B-9397-08002B2CF9AE}" pid="5" name="MSIP_Label_95965d95-ecc0-4720-b759-1f33c42ed7da_SetDate">
    <vt:lpwstr>2023-11-14T21:42:12Z</vt:lpwstr>
  </property>
  <property fmtid="{D5CDD505-2E9C-101B-9397-08002B2CF9AE}" pid="6" name="MSIP_Label_95965d95-ecc0-4720-b759-1f33c42ed7da_Method">
    <vt:lpwstr>Standard</vt:lpwstr>
  </property>
  <property fmtid="{D5CDD505-2E9C-101B-9397-08002B2CF9AE}" pid="7" name="MSIP_Label_95965d95-ecc0-4720-b759-1f33c42ed7da_Name">
    <vt:lpwstr>General</vt:lpwstr>
  </property>
  <property fmtid="{D5CDD505-2E9C-101B-9397-08002B2CF9AE}" pid="8" name="MSIP_Label_95965d95-ecc0-4720-b759-1f33c42ed7da_SiteId">
    <vt:lpwstr>a0f29d7e-28cd-4f54-8442-7885aee7c080</vt:lpwstr>
  </property>
  <property fmtid="{D5CDD505-2E9C-101B-9397-08002B2CF9AE}" pid="9" name="MSIP_Label_95965d95-ecc0-4720-b759-1f33c42ed7da_ActionId">
    <vt:lpwstr>4ff70422-ab04-4b8b-82ac-f811d86d49c0</vt:lpwstr>
  </property>
  <property fmtid="{D5CDD505-2E9C-101B-9397-08002B2CF9AE}" pid="10" name="MSIP_Label_95965d95-ecc0-4720-b759-1f33c42ed7da_ContentBits">
    <vt:lpwstr>0</vt:lpwstr>
  </property>
</Properties>
</file>