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67942" w14:textId="021428D6" w:rsidR="003E7A0B" w:rsidRDefault="003E7A0B" w:rsidP="003E7A0B">
      <w:pPr>
        <w:shd w:val="clear" w:color="auto" w:fill="FFFFFF"/>
        <w:spacing w:after="0" w:line="240" w:lineRule="auto"/>
        <w:outlineLvl w:val="0"/>
        <w:rPr>
          <w:rFonts w:ascii="Trebuchet MS" w:eastAsia="Times New Roman" w:hAnsi="Trebuchet MS" w:cs="Times New Roman"/>
          <w:color w:val="1A1A1A"/>
          <w:kern w:val="36"/>
          <w:sz w:val="48"/>
          <w:szCs w:val="48"/>
          <w14:ligatures w14:val="none"/>
        </w:rPr>
      </w:pPr>
      <w:r w:rsidRPr="003E7A0B">
        <w:rPr>
          <w:rFonts w:ascii="Trebuchet MS" w:eastAsia="Times New Roman" w:hAnsi="Trebuchet MS" w:cs="Times New Roman"/>
          <w:color w:val="1A1A1A"/>
          <w:kern w:val="36"/>
          <w:sz w:val="48"/>
          <w:szCs w:val="48"/>
          <w14:ligatures w14:val="none"/>
        </w:rPr>
        <w:t xml:space="preserve">GEOPHIRES </w:t>
      </w:r>
      <w:r>
        <w:rPr>
          <w:rFonts w:ascii="Trebuchet MS" w:eastAsia="Times New Roman" w:hAnsi="Trebuchet MS" w:cs="Times New Roman"/>
          <w:color w:val="1A1A1A"/>
          <w:kern w:val="36"/>
          <w:sz w:val="48"/>
          <w:szCs w:val="48"/>
          <w14:ligatures w14:val="none"/>
        </w:rPr>
        <w:t>Investment and Production Tax Credit implementation (as in the USA Inflation Reduction ACT (IRA))</w:t>
      </w:r>
    </w:p>
    <w:p w14:paraId="4AFAE71C" w14:textId="77777777" w:rsidR="00926F15" w:rsidRPr="003E7A0B" w:rsidRDefault="00926F15" w:rsidP="003E7A0B">
      <w:pPr>
        <w:shd w:val="clear" w:color="auto" w:fill="FFFFFF"/>
        <w:spacing w:after="0" w:line="240" w:lineRule="auto"/>
        <w:outlineLvl w:val="0"/>
        <w:rPr>
          <w:rFonts w:ascii="Trebuchet MS" w:eastAsia="Times New Roman" w:hAnsi="Trebuchet MS" w:cs="Times New Roman"/>
          <w:color w:val="1A1A1A"/>
          <w:kern w:val="36"/>
          <w:sz w:val="48"/>
          <w:szCs w:val="48"/>
          <w14:ligatures w14:val="none"/>
        </w:rPr>
      </w:pPr>
    </w:p>
    <w:p w14:paraId="70C69BA9" w14:textId="2EDAE09E" w:rsidR="003E7A0B" w:rsidRPr="003E7A0B" w:rsidRDefault="00926F15" w:rsidP="003E7A0B">
      <w:pPr>
        <w:shd w:val="clear" w:color="auto" w:fill="FFFFFF"/>
        <w:spacing w:after="0" w:line="240" w:lineRule="auto"/>
        <w:outlineLvl w:val="1"/>
        <w:rPr>
          <w:rFonts w:ascii="Trebuchet MS" w:eastAsia="Times New Roman" w:hAnsi="Trebuchet MS" w:cs="Times New Roman"/>
          <w:color w:val="1A1A1A"/>
          <w:kern w:val="0"/>
          <w:sz w:val="38"/>
          <w:szCs w:val="38"/>
          <w14:ligatures w14:val="none"/>
        </w:rPr>
      </w:pPr>
      <w:r>
        <w:rPr>
          <w:rFonts w:ascii="Trebuchet MS" w:eastAsia="Times New Roman" w:hAnsi="Trebuchet MS" w:cs="Times New Roman"/>
          <w:color w:val="1A1A1A"/>
          <w:kern w:val="0"/>
          <w:sz w:val="38"/>
          <w:szCs w:val="38"/>
          <w14:ligatures w14:val="none"/>
        </w:rPr>
        <w:t>Introduction</w:t>
      </w:r>
    </w:p>
    <w:p w14:paraId="6AE460D7" w14:textId="77777777" w:rsidR="00330CEB" w:rsidRDefault="00EC0293"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 xml:space="preserve">A popular method for Governments to encourage economic </w:t>
      </w:r>
      <w:r w:rsidR="00330CEB">
        <w:rPr>
          <w:rFonts w:ascii="Palatino Linotype" w:eastAsia="Times New Roman" w:hAnsi="Palatino Linotype" w:cs="Times New Roman"/>
          <w:color w:val="222222"/>
          <w:kern w:val="0"/>
          <w14:ligatures w14:val="none"/>
        </w:rPr>
        <w:t>development</w:t>
      </w:r>
      <w:r>
        <w:rPr>
          <w:rFonts w:ascii="Palatino Linotype" w:eastAsia="Times New Roman" w:hAnsi="Palatino Linotype" w:cs="Times New Roman"/>
          <w:color w:val="222222"/>
          <w:kern w:val="0"/>
          <w14:ligatures w14:val="none"/>
        </w:rPr>
        <w:t xml:space="preserve"> is to </w:t>
      </w:r>
      <w:r w:rsidR="00330CEB">
        <w:rPr>
          <w:rFonts w:ascii="Palatino Linotype" w:eastAsia="Times New Roman" w:hAnsi="Palatino Linotype" w:cs="Times New Roman"/>
          <w:color w:val="222222"/>
          <w:kern w:val="0"/>
          <w14:ligatures w14:val="none"/>
        </w:rPr>
        <w:t>offer tax incentives, like the Investment Tax Credit</w:t>
      </w:r>
      <w:r w:rsidR="00330CEB">
        <w:rPr>
          <w:rStyle w:val="FootnoteReference"/>
          <w:rFonts w:ascii="Palatino Linotype" w:eastAsia="Times New Roman" w:hAnsi="Palatino Linotype" w:cs="Times New Roman"/>
          <w:color w:val="222222"/>
          <w:kern w:val="0"/>
          <w14:ligatures w14:val="none"/>
        </w:rPr>
        <w:footnoteReference w:id="1"/>
      </w:r>
      <w:r w:rsidR="00330CEB">
        <w:rPr>
          <w:rFonts w:ascii="Palatino Linotype" w:eastAsia="Times New Roman" w:hAnsi="Palatino Linotype" w:cs="Times New Roman"/>
          <w:color w:val="222222"/>
          <w:kern w:val="0"/>
          <w14:ligatures w14:val="none"/>
        </w:rPr>
        <w:t xml:space="preserve"> (ITC) or the Production Tax Credit</w:t>
      </w:r>
      <w:r w:rsidR="00330CEB">
        <w:rPr>
          <w:rStyle w:val="FootnoteReference"/>
          <w:rFonts w:ascii="Palatino Linotype" w:eastAsia="Times New Roman" w:hAnsi="Palatino Linotype" w:cs="Times New Roman"/>
          <w:color w:val="222222"/>
          <w:kern w:val="0"/>
          <w14:ligatures w14:val="none"/>
        </w:rPr>
        <w:footnoteReference w:id="2"/>
      </w:r>
      <w:r w:rsidR="00330CEB">
        <w:rPr>
          <w:rFonts w:ascii="Palatino Linotype" w:eastAsia="Times New Roman" w:hAnsi="Palatino Linotype" w:cs="Times New Roman"/>
          <w:color w:val="222222"/>
          <w:kern w:val="0"/>
          <w14:ligatures w14:val="none"/>
        </w:rPr>
        <w:t xml:space="preserve"> (PTC). This type of encouragement is popular with governments because they offer a way to incentivize activities in a budget-neutral or budget-positive way – if the project is not done, the incentives are not awarded, and there is no impact on the budget; if the incentives are awarded, it is for projects that produce a taxable profit, of which the government will give up part of its tax revenue, but not all, this increasing the income of the government. They also offer new tax revenues for product purchases, new employment, and other income streams (and non-monetary benefits) that are desirable.</w:t>
      </w:r>
    </w:p>
    <w:p w14:paraId="1A826D29" w14:textId="6B80EBE1" w:rsidR="00926F15" w:rsidRDefault="00330CEB"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 xml:space="preserve">An example of a PTC and ITC is in the </w:t>
      </w:r>
      <w:r w:rsidR="00926F15">
        <w:rPr>
          <w:rFonts w:ascii="Palatino Linotype" w:eastAsia="Times New Roman" w:hAnsi="Palatino Linotype" w:cs="Times New Roman"/>
          <w:color w:val="222222"/>
          <w:kern w:val="0"/>
          <w14:ligatures w14:val="none"/>
        </w:rPr>
        <w:t xml:space="preserve">USA </w:t>
      </w:r>
      <w:r>
        <w:rPr>
          <w:rFonts w:ascii="Palatino Linotype" w:eastAsia="Times New Roman" w:hAnsi="Palatino Linotype" w:cs="Times New Roman"/>
          <w:color w:val="222222"/>
          <w:kern w:val="0"/>
          <w14:ligatures w14:val="none"/>
        </w:rPr>
        <w:t>Inflation Reduction Act</w:t>
      </w:r>
      <w:r w:rsidR="00926F15">
        <w:rPr>
          <w:rFonts w:ascii="Palatino Linotype" w:eastAsia="Times New Roman" w:hAnsi="Palatino Linotype" w:cs="Times New Roman"/>
          <w:color w:val="222222"/>
          <w:kern w:val="0"/>
          <w14:ligatures w14:val="none"/>
        </w:rPr>
        <w:t xml:space="preserve"> (IRA)</w:t>
      </w:r>
      <w:r>
        <w:rPr>
          <w:rFonts w:ascii="Palatino Linotype" w:eastAsia="Times New Roman" w:hAnsi="Palatino Linotype" w:cs="Times New Roman"/>
          <w:color w:val="222222"/>
          <w:kern w:val="0"/>
          <w14:ligatures w14:val="none"/>
        </w:rPr>
        <w:t xml:space="preserve"> of </w:t>
      </w:r>
      <w:r w:rsidR="00926F15">
        <w:rPr>
          <w:rFonts w:ascii="Palatino Linotype" w:eastAsia="Times New Roman" w:hAnsi="Palatino Linotype" w:cs="Times New Roman"/>
          <w:color w:val="222222"/>
          <w:kern w:val="0"/>
          <w14:ligatures w14:val="none"/>
        </w:rPr>
        <w:t>2022</w:t>
      </w:r>
      <w:r w:rsidR="00926F15">
        <w:rPr>
          <w:rStyle w:val="FootnoteReference"/>
          <w:rFonts w:ascii="Palatino Linotype" w:eastAsia="Times New Roman" w:hAnsi="Palatino Linotype" w:cs="Times New Roman"/>
          <w:color w:val="222222"/>
          <w:kern w:val="0"/>
          <w14:ligatures w14:val="none"/>
        </w:rPr>
        <w:footnoteReference w:id="3"/>
      </w:r>
      <w:r w:rsidR="00926F15">
        <w:rPr>
          <w:rFonts w:ascii="Palatino Linotype" w:eastAsia="Times New Roman" w:hAnsi="Palatino Linotype" w:cs="Times New Roman"/>
          <w:color w:val="222222"/>
          <w:kern w:val="0"/>
          <w14:ligatures w14:val="none"/>
        </w:rPr>
        <w:t>. The details of the IRA are beyond the scope of this document, but the summary is this: the IRA offers up to a 60% ITC or a 4.5 cent/kWh PTC. In the case of an ITC, a “60% ITC” means that up to 60% of the investment in a project be written down against the investor's tax liability for the year the ITC was awarded. If the entity receiving the ITC award is a non-taxable entity, the tax liability write-off can be sold in an exchange to any company that has a liability. In the case of a PTC, the US government will award a tax write-off equivalent to 4.5 cents/kWh of electricity produced.</w:t>
      </w:r>
    </w:p>
    <w:p w14:paraId="1372BDA5" w14:textId="2BB149ED" w:rsidR="00926F15" w:rsidRDefault="00926F15"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 xml:space="preserve">This document explains how the ITC and PTC are incorporated in GEOPHIRES-X. It is implemented in a generic way that works for any ITC and/or PTC for which the project qualifies (IRA or otherwise)—the examples herein will use the IRA for illustrative purposes. Note that PTCs and/or ITCs may be cumulative – an award of a PTC from the federal level may be added to a state-level PTC, for example. In that case, sum the PTCs </w:t>
      </w:r>
      <w:r>
        <w:rPr>
          <w:rFonts w:ascii="Palatino Linotype" w:eastAsia="Times New Roman" w:hAnsi="Palatino Linotype" w:cs="Times New Roman"/>
          <w:color w:val="222222"/>
          <w:kern w:val="0"/>
          <w14:ligatures w14:val="none"/>
        </w:rPr>
        <w:lastRenderedPageBreak/>
        <w:t>and/or ITCs values when you use them in GEOPHIRES-X.</w:t>
      </w:r>
      <w:r w:rsidR="00893B3E">
        <w:rPr>
          <w:rFonts w:ascii="Palatino Linotype" w:eastAsia="Times New Roman" w:hAnsi="Palatino Linotype" w:cs="Times New Roman"/>
          <w:color w:val="222222"/>
          <w:kern w:val="0"/>
          <w14:ligatures w14:val="none"/>
        </w:rPr>
        <w:t xml:space="preserve"> Also note that the IRA offer only an ITC </w:t>
      </w:r>
      <w:r w:rsidR="00893B3E" w:rsidRPr="00893B3E">
        <w:rPr>
          <w:rFonts w:ascii="Palatino Linotype" w:eastAsia="Times New Roman" w:hAnsi="Palatino Linotype" w:cs="Times New Roman"/>
          <w:color w:val="222222"/>
          <w:kern w:val="0"/>
          <w:u w:val="single"/>
          <w14:ligatures w14:val="none"/>
        </w:rPr>
        <w:t>OR</w:t>
      </w:r>
      <w:r w:rsidR="00893B3E">
        <w:rPr>
          <w:rFonts w:ascii="Palatino Linotype" w:eastAsia="Times New Roman" w:hAnsi="Palatino Linotype" w:cs="Times New Roman"/>
          <w:color w:val="222222"/>
          <w:kern w:val="0"/>
          <w14:ligatures w14:val="none"/>
        </w:rPr>
        <w:t xml:space="preserve"> a PTC, not both.</w:t>
      </w:r>
    </w:p>
    <w:p w14:paraId="32CBA84E" w14:textId="77777777" w:rsidR="00C03311" w:rsidRDefault="00C03311"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p>
    <w:p w14:paraId="138FA479" w14:textId="2BBC21C8" w:rsidR="00C03311" w:rsidRPr="003E7A0B" w:rsidRDefault="00926F15" w:rsidP="00C03311">
      <w:pPr>
        <w:shd w:val="clear" w:color="auto" w:fill="FFFFFF"/>
        <w:spacing w:after="0" w:line="240" w:lineRule="auto"/>
        <w:outlineLvl w:val="1"/>
        <w:rPr>
          <w:rFonts w:ascii="Trebuchet MS" w:eastAsia="Times New Roman" w:hAnsi="Trebuchet MS" w:cs="Times New Roman"/>
          <w:color w:val="1A1A1A"/>
          <w:kern w:val="0"/>
          <w:sz w:val="38"/>
          <w:szCs w:val="38"/>
          <w14:ligatures w14:val="none"/>
        </w:rPr>
      </w:pPr>
      <w:r>
        <w:rPr>
          <w:rFonts w:ascii="Palatino Linotype" w:eastAsia="Times New Roman" w:hAnsi="Palatino Linotype" w:cs="Times New Roman"/>
          <w:color w:val="222222"/>
          <w:kern w:val="0"/>
          <w14:ligatures w14:val="none"/>
        </w:rPr>
        <w:t xml:space="preserve"> </w:t>
      </w:r>
      <w:r w:rsidR="00C03311">
        <w:rPr>
          <w:rFonts w:ascii="Trebuchet MS" w:eastAsia="Times New Roman" w:hAnsi="Trebuchet MS" w:cs="Times New Roman"/>
          <w:color w:val="1A1A1A"/>
          <w:kern w:val="0"/>
          <w:sz w:val="38"/>
          <w:szCs w:val="38"/>
          <w14:ligatures w14:val="none"/>
        </w:rPr>
        <w:t>Implementing an ITC in GEOPHIRES</w:t>
      </w:r>
    </w:p>
    <w:p w14:paraId="530B4451" w14:textId="1221123E" w:rsidR="00926F15" w:rsidRDefault="00C03311"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 xml:space="preserve">An ITC is implemented in GEOPHIRES-X through the BICYCLE Economic model. It will not be calculated for any other </w:t>
      </w:r>
      <w:r w:rsidR="00893B3E">
        <w:rPr>
          <w:rFonts w:ascii="Palatino Linotype" w:eastAsia="Times New Roman" w:hAnsi="Palatino Linotype" w:cs="Times New Roman"/>
          <w:color w:val="222222"/>
          <w:kern w:val="0"/>
          <w14:ligatures w14:val="none"/>
        </w:rPr>
        <w:t xml:space="preserve">economic </w:t>
      </w:r>
      <w:r>
        <w:rPr>
          <w:rFonts w:ascii="Palatino Linotype" w:eastAsia="Times New Roman" w:hAnsi="Palatino Linotype" w:cs="Times New Roman"/>
          <w:color w:val="222222"/>
          <w:kern w:val="0"/>
          <w14:ligatures w14:val="none"/>
        </w:rPr>
        <w:t>model. One additional parameter is added:</w:t>
      </w:r>
    </w:p>
    <w:p w14:paraId="09B1163F" w14:textId="006B6DF8" w:rsidR="003E7A0B" w:rsidRPr="003E7A0B"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222222"/>
          <w:kern w:val="0"/>
          <w:sz w:val="23"/>
          <w:szCs w:val="23"/>
          <w14:ligatures w14:val="none"/>
        </w:rPr>
      </w:pPr>
      <w:r w:rsidRPr="00C03311">
        <w:rPr>
          <w:rFonts w:ascii="Consolas" w:eastAsia="Times New Roman" w:hAnsi="Consolas" w:cs="Courier New"/>
          <w:color w:val="222222"/>
          <w:kern w:val="0"/>
          <w:sz w:val="23"/>
          <w:szCs w:val="23"/>
          <w14:ligatures w14:val="none"/>
        </w:rPr>
        <w:t>Investment Tax Credit Rate,0.5,</w:t>
      </w:r>
      <w:r>
        <w:rPr>
          <w:rFonts w:ascii="Consolas" w:eastAsia="Times New Roman" w:hAnsi="Consolas" w:cs="Courier New"/>
          <w:color w:val="222222"/>
          <w:kern w:val="0"/>
          <w:sz w:val="23"/>
          <w:szCs w:val="23"/>
          <w14:ligatures w14:val="none"/>
        </w:rPr>
        <w:t xml:space="preserve"> </w:t>
      </w:r>
      <w:r w:rsidRPr="00C03311">
        <w:rPr>
          <w:rFonts w:ascii="Consolas" w:eastAsia="Times New Roman" w:hAnsi="Consolas" w:cs="Courier New"/>
          <w:color w:val="222222"/>
          <w:kern w:val="0"/>
          <w:sz w:val="23"/>
          <w:szCs w:val="23"/>
          <w14:ligatures w14:val="none"/>
        </w:rPr>
        <w:t>--- [-] Investment tax credit rate</w:t>
      </w:r>
    </w:p>
    <w:p w14:paraId="69AF2B0D" w14:textId="54DD1BA0" w:rsidR="003E7A0B" w:rsidRDefault="00C03311"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In this case, the ITC is set to 50%. It could represent an ITC from the IRA or the sum of several ITCs from several taxation entities.</w:t>
      </w:r>
    </w:p>
    <w:p w14:paraId="74E33314" w14:textId="79064389" w:rsidR="00C03311" w:rsidRPr="003E7A0B" w:rsidRDefault="00C03311"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After GEOPHIRES makes its Capital Expenditure</w:t>
      </w:r>
      <w:r w:rsidR="002524F0">
        <w:rPr>
          <w:rStyle w:val="FootnoteReference"/>
          <w:rFonts w:ascii="Palatino Linotype" w:eastAsia="Times New Roman" w:hAnsi="Palatino Linotype" w:cs="Times New Roman"/>
          <w:color w:val="222222"/>
          <w:kern w:val="0"/>
          <w14:ligatures w14:val="none"/>
        </w:rPr>
        <w:footnoteReference w:id="4"/>
      </w:r>
      <w:r>
        <w:rPr>
          <w:rFonts w:ascii="Palatino Linotype" w:eastAsia="Times New Roman" w:hAnsi="Palatino Linotype" w:cs="Times New Roman"/>
          <w:color w:val="222222"/>
          <w:kern w:val="0"/>
          <w14:ligatures w14:val="none"/>
        </w:rPr>
        <w:t xml:space="preserve"> (CAPEX) calculations, it will subtract the value of the ITC credit from CAPEX and will report it as follows:</w:t>
      </w:r>
    </w:p>
    <w:p w14:paraId="7E20E40B"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***CAPITAL COSTS (M$)***</w:t>
      </w:r>
    </w:p>
    <w:p w14:paraId="4ED9642B"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p>
    <w:p w14:paraId="04E4AE4D"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Drilling and completion costs:                      21.95 MUSD</w:t>
      </w:r>
    </w:p>
    <w:p w14:paraId="53FF69EE"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Drilling and completion costs per well:              5.49 MUSD</w:t>
      </w:r>
    </w:p>
    <w:p w14:paraId="088FC4E1"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Stimulation costs:                                   0.00 MUSD</w:t>
      </w:r>
    </w:p>
    <w:p w14:paraId="0E80910E"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Surface power plant costs:                          20.78 MUSD</w:t>
      </w:r>
    </w:p>
    <w:p w14:paraId="75498B18"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Field gathering system costs:                        2.32 MUSD</w:t>
      </w:r>
    </w:p>
    <w:p w14:paraId="2169FCB9"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Total surface equipment costs:                      23.10 MUSD</w:t>
      </w:r>
    </w:p>
    <w:p w14:paraId="7A111959"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Exploration costs:                                   5.33 MUSD</w:t>
      </w:r>
    </w:p>
    <w:p w14:paraId="7D066ADB" w14:textId="77777777" w:rsidR="00C03311" w:rsidRPr="00C03311"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b/>
          <w:bCs/>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w:t>
      </w:r>
      <w:r w:rsidRPr="00C03311">
        <w:rPr>
          <w:rFonts w:ascii="Consolas" w:eastAsia="Times New Roman" w:hAnsi="Consolas" w:cs="Courier New"/>
          <w:b/>
          <w:bCs/>
          <w:color w:val="222222"/>
          <w:kern w:val="0"/>
          <w:sz w:val="23"/>
          <w:szCs w:val="23"/>
          <w:highlight w:val="yellow"/>
          <w14:ligatures w14:val="none"/>
        </w:rPr>
        <w:t>Investment Tax Credit:                             -25.18 MUSD</w:t>
      </w:r>
    </w:p>
    <w:p w14:paraId="36D9EDC3" w14:textId="7A3E59C0" w:rsidR="003E7A0B" w:rsidRPr="003E7A0B" w:rsidRDefault="00C03311" w:rsidP="00C03311">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C03311">
        <w:rPr>
          <w:rFonts w:ascii="Consolas" w:eastAsia="Times New Roman" w:hAnsi="Consolas" w:cs="Courier New"/>
          <w:b/>
          <w:bCs/>
          <w:color w:val="222222"/>
          <w:kern w:val="0"/>
          <w:sz w:val="23"/>
          <w:szCs w:val="23"/>
          <w14:ligatures w14:val="none"/>
        </w:rPr>
        <w:t xml:space="preserve">      Total capital costs:                                   25.18 MUSD</w:t>
      </w:r>
    </w:p>
    <w:p w14:paraId="618331D2" w14:textId="5151899F" w:rsidR="003E7A0B" w:rsidRDefault="00C03311"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Note that the ITC and the total capital costs are equal because the ITC is 50% of the total capital cost. Without the ITC, the project CAPEX was 50.36 MMUSD.</w:t>
      </w:r>
    </w:p>
    <w:p w14:paraId="2BDE0927" w14:textId="1B6E9BF6" w:rsidR="00C03311" w:rsidRDefault="00893B3E" w:rsidP="003E7A0B">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lastRenderedPageBreak/>
        <w:t>Reducing the CAPEX has many other economic modeling impacts. For example:</w:t>
      </w:r>
    </w:p>
    <w:p w14:paraId="1B275BAC" w14:textId="3AAFC4F4" w:rsidR="003E7A0B" w:rsidRDefault="00893B3E" w:rsidP="003E7A0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Electricity breakeven price:</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5.31 cents/kWh</w:t>
      </w:r>
      <w:r>
        <w:rPr>
          <w:rFonts w:ascii="Consolas" w:eastAsia="Times New Roman" w:hAnsi="Consolas" w:cs="Courier New"/>
          <w:color w:val="222222"/>
          <w:kern w:val="0"/>
          <w:sz w:val="23"/>
          <w:szCs w:val="23"/>
          <w14:ligatures w14:val="none"/>
        </w:rPr>
        <w:t xml:space="preserve"> (without ITC: 13.24 cents/kWh)</w:t>
      </w:r>
    </w:p>
    <w:p w14:paraId="0266D8B1" w14:textId="70E0336E" w:rsidR="00893B3E" w:rsidRPr="00893B3E" w:rsidRDefault="00893B3E" w:rsidP="00893B3E">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NPV: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-12.81 MUSD</w:t>
      </w:r>
      <w:r>
        <w:rPr>
          <w:rFonts w:ascii="Consolas" w:eastAsia="Times New Roman" w:hAnsi="Consolas" w:cs="Courier New"/>
          <w:color w:val="222222"/>
          <w:kern w:val="0"/>
          <w:sz w:val="23"/>
          <w:szCs w:val="23"/>
          <w14:ligatures w14:val="none"/>
        </w:rPr>
        <w:t xml:space="preserve"> (without ITC: -37.99 MUSD)</w:t>
      </w:r>
    </w:p>
    <w:p w14:paraId="3E93ADA8" w14:textId="6421FA52" w:rsidR="00893B3E" w:rsidRPr="00893B3E" w:rsidRDefault="00893B3E" w:rsidP="00893B3E">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IRR: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0.61%</w:t>
      </w:r>
      <w:r>
        <w:rPr>
          <w:rFonts w:ascii="Consolas" w:eastAsia="Times New Roman" w:hAnsi="Consolas" w:cs="Courier New"/>
          <w:color w:val="222222"/>
          <w:kern w:val="0"/>
          <w:sz w:val="23"/>
          <w:szCs w:val="23"/>
          <w14:ligatures w14:val="none"/>
        </w:rPr>
        <w:t xml:space="preserve"> (without ITC: </w:t>
      </w:r>
      <w:r w:rsidRPr="00893B3E">
        <w:rPr>
          <w:rFonts w:ascii="Consolas" w:eastAsia="Times New Roman" w:hAnsi="Consolas" w:cs="Courier New"/>
          <w:color w:val="222222"/>
          <w:kern w:val="0"/>
          <w:sz w:val="23"/>
          <w:szCs w:val="23"/>
          <w14:ligatures w14:val="none"/>
        </w:rPr>
        <w:t>-3.53%</w:t>
      </w:r>
      <w:r>
        <w:rPr>
          <w:rFonts w:ascii="Consolas" w:eastAsia="Times New Roman" w:hAnsi="Consolas" w:cs="Courier New"/>
          <w:color w:val="222222"/>
          <w:kern w:val="0"/>
          <w:sz w:val="23"/>
          <w:szCs w:val="23"/>
          <w14:ligatures w14:val="none"/>
        </w:rPr>
        <w:t>)</w:t>
      </w:r>
    </w:p>
    <w:p w14:paraId="4279D815" w14:textId="068D0345" w:rsidR="00893B3E" w:rsidRPr="00893B3E" w:rsidRDefault="00893B3E" w:rsidP="00893B3E">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VIR=PI=PIR: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0.49</w:t>
      </w:r>
      <w:r>
        <w:rPr>
          <w:rFonts w:ascii="Consolas" w:eastAsia="Times New Roman" w:hAnsi="Consolas" w:cs="Courier New"/>
          <w:color w:val="222222"/>
          <w:kern w:val="0"/>
          <w:sz w:val="23"/>
          <w:szCs w:val="23"/>
          <w14:ligatures w14:val="none"/>
        </w:rPr>
        <w:t xml:space="preserve">  (without ITC: 0.25)</w:t>
      </w:r>
    </w:p>
    <w:p w14:paraId="57636423" w14:textId="6AC31B9F" w:rsidR="00893B3E" w:rsidRPr="00893B3E" w:rsidRDefault="00893B3E" w:rsidP="00893B3E">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MOIC: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0.04</w:t>
      </w:r>
      <w:r>
        <w:rPr>
          <w:rFonts w:ascii="Consolas" w:eastAsia="Times New Roman" w:hAnsi="Consolas" w:cs="Courier New"/>
          <w:color w:val="222222"/>
          <w:kern w:val="0"/>
          <w:sz w:val="23"/>
          <w:szCs w:val="23"/>
          <w14:ligatures w14:val="none"/>
        </w:rPr>
        <w:t xml:space="preserve">  (without ITC: </w:t>
      </w:r>
      <w:r w:rsidRPr="00893B3E">
        <w:rPr>
          <w:rFonts w:ascii="Consolas" w:eastAsia="Times New Roman" w:hAnsi="Consolas" w:cs="Courier New"/>
          <w:color w:val="222222"/>
          <w:kern w:val="0"/>
          <w:sz w:val="23"/>
          <w:szCs w:val="23"/>
          <w14:ligatures w14:val="none"/>
        </w:rPr>
        <w:t>-0.25</w:t>
      </w:r>
      <w:r>
        <w:rPr>
          <w:rFonts w:ascii="Consolas" w:eastAsia="Times New Roman" w:hAnsi="Consolas" w:cs="Courier New"/>
          <w:color w:val="222222"/>
          <w:kern w:val="0"/>
          <w:sz w:val="23"/>
          <w:szCs w:val="23"/>
          <w14:ligatures w14:val="none"/>
        </w:rPr>
        <w:t>)</w:t>
      </w:r>
    </w:p>
    <w:p w14:paraId="61D69905" w14:textId="327E4108" w:rsidR="00893B3E" w:rsidRPr="003E7A0B" w:rsidRDefault="00893B3E" w:rsidP="00893B3E">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Payback Period: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28.00 yr</w:t>
      </w:r>
      <w:r>
        <w:rPr>
          <w:rFonts w:ascii="Consolas" w:eastAsia="Times New Roman" w:hAnsi="Consolas" w:cs="Courier New"/>
          <w:color w:val="222222"/>
          <w:kern w:val="0"/>
          <w:sz w:val="23"/>
          <w:szCs w:val="23"/>
          <w14:ligatures w14:val="none"/>
        </w:rPr>
        <w:t>s  (without ITC: never)</w:t>
      </w:r>
    </w:p>
    <w:p w14:paraId="3F98EDCE" w14:textId="77777777" w:rsidR="00893B3E" w:rsidRDefault="00893B3E" w:rsidP="00893B3E">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p>
    <w:p w14:paraId="6F98277C" w14:textId="16508645" w:rsidR="00893B3E" w:rsidRDefault="00893B3E" w:rsidP="00893B3E">
      <w:pPr>
        <w:shd w:val="clear" w:color="auto" w:fill="FFFFFF"/>
        <w:spacing w:before="100" w:beforeAutospacing="1" w:after="100" w:afterAutospacing="1" w:line="336" w:lineRule="atLeast"/>
        <w:rPr>
          <w:rFonts w:ascii="Trebuchet MS" w:eastAsia="Times New Roman" w:hAnsi="Trebuchet MS" w:cs="Times New Roman"/>
          <w:color w:val="1A1A1A"/>
          <w:kern w:val="0"/>
          <w:sz w:val="38"/>
          <w:szCs w:val="38"/>
          <w14:ligatures w14:val="none"/>
        </w:rPr>
      </w:pPr>
      <w:r>
        <w:rPr>
          <w:rFonts w:ascii="Palatino Linotype" w:eastAsia="Times New Roman" w:hAnsi="Palatino Linotype" w:cs="Times New Roman"/>
          <w:color w:val="222222"/>
          <w:kern w:val="0"/>
          <w14:ligatures w14:val="none"/>
        </w:rPr>
        <w:t xml:space="preserve"> </w:t>
      </w:r>
      <w:r>
        <w:rPr>
          <w:rFonts w:ascii="Trebuchet MS" w:eastAsia="Times New Roman" w:hAnsi="Trebuchet MS" w:cs="Times New Roman"/>
          <w:color w:val="1A1A1A"/>
          <w:kern w:val="0"/>
          <w:sz w:val="38"/>
          <w:szCs w:val="38"/>
          <w14:ligatures w14:val="none"/>
        </w:rPr>
        <w:t>Implementing a PTC in GEOPHIRES</w:t>
      </w:r>
    </w:p>
    <w:p w14:paraId="74D36538" w14:textId="0328F707" w:rsidR="002524F0" w:rsidRDefault="002524F0" w:rsidP="002524F0">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A PTC is also implemented in GEOPHIRES-X through only the BICYCLE Economic model. Several additional parameters have been added:</w:t>
      </w:r>
    </w:p>
    <w:p w14:paraId="2F5E1C85" w14:textId="351C3B81" w:rsidR="002524F0" w:rsidRPr="002524F0" w:rsidRDefault="002524F0" w:rsidP="002524F0">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222222"/>
          <w:kern w:val="0"/>
          <w:sz w:val="23"/>
          <w:szCs w:val="23"/>
          <w14:ligatures w14:val="none"/>
        </w:rPr>
      </w:pPr>
      <w:r w:rsidRPr="002524F0">
        <w:rPr>
          <w:rFonts w:ascii="Consolas" w:eastAsia="Times New Roman" w:hAnsi="Consolas" w:cs="Courier New"/>
          <w:color w:val="222222"/>
          <w:kern w:val="0"/>
          <w:sz w:val="23"/>
          <w:szCs w:val="23"/>
          <w14:ligatures w14:val="none"/>
        </w:rPr>
        <w:t>Production Tax Credit Electricity, 0.05</w:t>
      </w:r>
      <w:r>
        <w:rPr>
          <w:rFonts w:ascii="Consolas" w:eastAsia="Times New Roman" w:hAnsi="Consolas" w:cs="Courier New"/>
          <w:color w:val="222222"/>
          <w:kern w:val="0"/>
          <w:sz w:val="23"/>
          <w:szCs w:val="23"/>
          <w14:ligatures w14:val="none"/>
        </w:rPr>
        <w:t>, ---</w:t>
      </w:r>
      <w:r w:rsidRPr="002524F0">
        <w:rPr>
          <w:rFonts w:ascii="Consolas" w:eastAsia="Times New Roman" w:hAnsi="Consolas" w:cs="Courier New"/>
          <w:color w:val="222222"/>
          <w:kern w:val="0"/>
          <w:sz w:val="23"/>
          <w:szCs w:val="23"/>
          <w14:ligatures w14:val="none"/>
        </w:rPr>
        <w:t>$/kWh</w:t>
      </w:r>
    </w:p>
    <w:p w14:paraId="4878EA0A" w14:textId="3F88EFFB" w:rsidR="002524F0" w:rsidRPr="002524F0" w:rsidRDefault="002524F0" w:rsidP="002524F0">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222222"/>
          <w:kern w:val="0"/>
          <w:sz w:val="23"/>
          <w:szCs w:val="23"/>
          <w14:ligatures w14:val="none"/>
        </w:rPr>
      </w:pPr>
      <w:r w:rsidRPr="002524F0">
        <w:rPr>
          <w:rFonts w:ascii="Consolas" w:eastAsia="Times New Roman" w:hAnsi="Consolas" w:cs="Courier New"/>
          <w:color w:val="222222"/>
          <w:kern w:val="0"/>
          <w:sz w:val="23"/>
          <w:szCs w:val="23"/>
          <w14:ligatures w14:val="none"/>
        </w:rPr>
        <w:t>Production Tax Credit Heat, 0.05</w:t>
      </w:r>
      <w:r>
        <w:rPr>
          <w:rFonts w:ascii="Consolas" w:eastAsia="Times New Roman" w:hAnsi="Consolas" w:cs="Courier New"/>
          <w:color w:val="222222"/>
          <w:kern w:val="0"/>
          <w:sz w:val="23"/>
          <w:szCs w:val="23"/>
          <w14:ligatures w14:val="none"/>
        </w:rPr>
        <w:t>,        ---</w:t>
      </w:r>
      <w:r w:rsidRPr="002524F0">
        <w:rPr>
          <w:rFonts w:ascii="Consolas" w:eastAsia="Times New Roman" w:hAnsi="Consolas" w:cs="Courier New"/>
          <w:color w:val="222222"/>
          <w:kern w:val="0"/>
          <w:sz w:val="23"/>
          <w:szCs w:val="23"/>
          <w14:ligatures w14:val="none"/>
        </w:rPr>
        <w:t>$/kWh</w:t>
      </w:r>
    </w:p>
    <w:p w14:paraId="61B765A9" w14:textId="3A508A7E" w:rsidR="002524F0" w:rsidRPr="002524F0" w:rsidRDefault="002524F0" w:rsidP="002524F0">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222222"/>
          <w:kern w:val="0"/>
          <w:sz w:val="23"/>
          <w:szCs w:val="23"/>
          <w14:ligatures w14:val="none"/>
        </w:rPr>
      </w:pPr>
      <w:r w:rsidRPr="002524F0">
        <w:rPr>
          <w:rFonts w:ascii="Consolas" w:eastAsia="Times New Roman" w:hAnsi="Consolas" w:cs="Courier New"/>
          <w:color w:val="222222"/>
          <w:kern w:val="0"/>
          <w:sz w:val="23"/>
          <w:szCs w:val="23"/>
          <w14:ligatures w14:val="none"/>
        </w:rPr>
        <w:t>Production Tax Credit Cooling, 0.05</w:t>
      </w:r>
      <w:r>
        <w:rPr>
          <w:rFonts w:ascii="Consolas" w:eastAsia="Times New Roman" w:hAnsi="Consolas" w:cs="Courier New"/>
          <w:color w:val="222222"/>
          <w:kern w:val="0"/>
          <w:sz w:val="23"/>
          <w:szCs w:val="23"/>
          <w14:ligatures w14:val="none"/>
        </w:rPr>
        <w:t>,     ---</w:t>
      </w:r>
      <w:r w:rsidRPr="002524F0">
        <w:rPr>
          <w:rFonts w:ascii="Consolas" w:eastAsia="Times New Roman" w:hAnsi="Consolas" w:cs="Courier New"/>
          <w:color w:val="222222"/>
          <w:kern w:val="0"/>
          <w:sz w:val="23"/>
          <w:szCs w:val="23"/>
          <w14:ligatures w14:val="none"/>
        </w:rPr>
        <w:t>$/kWh</w:t>
      </w:r>
    </w:p>
    <w:p w14:paraId="53C3F10A" w14:textId="26D90755" w:rsidR="002524F0" w:rsidRPr="002524F0" w:rsidRDefault="002524F0" w:rsidP="002524F0">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222222"/>
          <w:kern w:val="0"/>
          <w:sz w:val="23"/>
          <w:szCs w:val="23"/>
          <w14:ligatures w14:val="none"/>
        </w:rPr>
      </w:pPr>
      <w:r w:rsidRPr="002524F0">
        <w:rPr>
          <w:rFonts w:ascii="Consolas" w:eastAsia="Times New Roman" w:hAnsi="Consolas" w:cs="Courier New"/>
          <w:color w:val="222222"/>
          <w:kern w:val="0"/>
          <w:sz w:val="23"/>
          <w:szCs w:val="23"/>
          <w14:ligatures w14:val="none"/>
        </w:rPr>
        <w:t>Production Tax Credit Duration, 10,</w:t>
      </w:r>
      <w:r>
        <w:rPr>
          <w:rFonts w:ascii="Consolas" w:eastAsia="Times New Roman" w:hAnsi="Consolas" w:cs="Courier New"/>
          <w:color w:val="222222"/>
          <w:kern w:val="0"/>
          <w:sz w:val="23"/>
          <w:szCs w:val="23"/>
          <w14:ligatures w14:val="none"/>
        </w:rPr>
        <w:t xml:space="preserve">      ---</w:t>
      </w:r>
      <w:r w:rsidRPr="002524F0">
        <w:rPr>
          <w:rFonts w:ascii="Consolas" w:eastAsia="Times New Roman" w:hAnsi="Consolas" w:cs="Courier New"/>
          <w:color w:val="222222"/>
          <w:kern w:val="0"/>
          <w:sz w:val="23"/>
          <w:szCs w:val="23"/>
          <w14:ligatures w14:val="none"/>
        </w:rPr>
        <w:t>in years</w:t>
      </w:r>
    </w:p>
    <w:p w14:paraId="6CDF1339" w14:textId="34A07F3E" w:rsidR="002524F0" w:rsidRPr="003E7A0B" w:rsidRDefault="002524F0" w:rsidP="002524F0">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222222"/>
          <w:kern w:val="0"/>
          <w:sz w:val="23"/>
          <w:szCs w:val="23"/>
          <w14:ligatures w14:val="none"/>
        </w:rPr>
      </w:pPr>
      <w:r w:rsidRPr="002524F0">
        <w:rPr>
          <w:rFonts w:ascii="Consolas" w:eastAsia="Times New Roman" w:hAnsi="Consolas" w:cs="Courier New"/>
          <w:color w:val="222222"/>
          <w:kern w:val="0"/>
          <w:sz w:val="23"/>
          <w:szCs w:val="23"/>
          <w14:ligatures w14:val="none"/>
        </w:rPr>
        <w:t>Production Tax Credit Inflation Adjusted, True,</w:t>
      </w:r>
      <w:r>
        <w:rPr>
          <w:rFonts w:ascii="Consolas" w:eastAsia="Times New Roman" w:hAnsi="Consolas" w:cs="Courier New"/>
          <w:color w:val="222222"/>
          <w:kern w:val="0"/>
          <w:sz w:val="23"/>
          <w:szCs w:val="23"/>
          <w14:ligatures w14:val="none"/>
        </w:rPr>
        <w:t xml:space="preserve">  ---</w:t>
      </w:r>
      <w:r w:rsidRPr="002524F0">
        <w:rPr>
          <w:rFonts w:ascii="Consolas" w:eastAsia="Times New Roman" w:hAnsi="Consolas" w:cs="Courier New"/>
          <w:color w:val="222222"/>
          <w:kern w:val="0"/>
          <w:sz w:val="23"/>
          <w:szCs w:val="23"/>
          <w14:ligatures w14:val="none"/>
        </w:rPr>
        <w:t xml:space="preserve"> (T/F)</w:t>
      </w:r>
    </w:p>
    <w:p w14:paraId="6F50BD68" w14:textId="77777777" w:rsidR="009C7E7B" w:rsidRDefault="002524F0" w:rsidP="002524F0">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PTC differs from ITC in that it can be applied differently (or not at all) to different products (electricity vs. heat vs. cooling). In the case of the ITC, the PTC applies only to electricity – no incentives for heating or cooling. This example grants 5 cents/kWh for electricity (and the same for heating and cooling, but the model that is running for electricity only, so the only thing that gets the PTC is the electricity output). In the case of the PTC, the time period is limited to 10 years from the time of the start of the project, so GEOPHIRES-X implements a parameter to control that duration (“</w:t>
      </w:r>
      <w:r w:rsidRPr="002524F0">
        <w:rPr>
          <w:rFonts w:ascii="Consolas" w:eastAsia="Times New Roman" w:hAnsi="Consolas" w:cs="Courier New"/>
          <w:color w:val="222222"/>
          <w:kern w:val="0"/>
          <w:sz w:val="23"/>
          <w:szCs w:val="23"/>
          <w14:ligatures w14:val="none"/>
        </w:rPr>
        <w:t>Production Tax Credit Duration</w:t>
      </w:r>
      <w:r>
        <w:rPr>
          <w:rFonts w:ascii="Palatino Linotype" w:eastAsia="Times New Roman" w:hAnsi="Palatino Linotype" w:cs="Times New Roman"/>
          <w:color w:val="222222"/>
          <w:kern w:val="0"/>
          <w14:ligatures w14:val="none"/>
        </w:rPr>
        <w:t xml:space="preserve">”). Another feature of the PTC in the IRA is that the </w:t>
      </w:r>
      <w:r w:rsidR="009C7E7B">
        <w:rPr>
          <w:rFonts w:ascii="Palatino Linotype" w:eastAsia="Times New Roman" w:hAnsi="Palatino Linotype" w:cs="Times New Roman"/>
          <w:color w:val="222222"/>
          <w:kern w:val="0"/>
          <w14:ligatures w14:val="none"/>
        </w:rPr>
        <w:t>PTC amount can be indexed to inflation, controlled by the Boolean parameter “</w:t>
      </w:r>
      <w:r w:rsidR="009C7E7B" w:rsidRPr="002524F0">
        <w:rPr>
          <w:rFonts w:ascii="Consolas" w:eastAsia="Times New Roman" w:hAnsi="Consolas" w:cs="Courier New"/>
          <w:color w:val="222222"/>
          <w:kern w:val="0"/>
          <w:sz w:val="23"/>
          <w:szCs w:val="23"/>
          <w14:ligatures w14:val="none"/>
        </w:rPr>
        <w:t>Production Tax Credit Inflation Adjusted</w:t>
      </w:r>
      <w:r w:rsidR="009C7E7B">
        <w:rPr>
          <w:rFonts w:ascii="Palatino Linotype" w:eastAsia="Times New Roman" w:hAnsi="Palatino Linotype" w:cs="Times New Roman"/>
          <w:color w:val="222222"/>
          <w:kern w:val="0"/>
          <w14:ligatures w14:val="none"/>
        </w:rPr>
        <w:t>”).</w:t>
      </w:r>
    </w:p>
    <w:p w14:paraId="4FF499D1" w14:textId="06DD595E" w:rsidR="003E7A0B" w:rsidRPr="003E7A0B" w:rsidRDefault="009C7E7B" w:rsidP="002524F0">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GEOPHIRES-X accounts for the value of the PTC by automatically adding it to the annual electricity price for the duration of the PTC. In the output, that looks like this (note that the base price for electricity in this example is 5.5 cents/kWh):</w:t>
      </w:r>
    </w:p>
    <w:p w14:paraId="0FF9F162" w14:textId="77777777"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lastRenderedPageBreak/>
        <w:t>Year            Electricity             |            Heat                  |           Cooling                 |         Carbon                    |          Project</w:t>
      </w:r>
    </w:p>
    <w:p w14:paraId="02ADF0C1" w14:textId="646DF5D4" w:rsid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Since     Price   Ann. Rev.  Cumm. Rev. |   Price   Ann. Rev.   Cumm. Rev. |  Price   Ann. Rev.   Cumm. Rev.   </w:t>
      </w:r>
    </w:p>
    <w:p w14:paraId="65F9DFC6" w14:textId="5F207A20"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Start    (cents/kWh)(MUSD/yr) (MUSD)    |(cents/kWh) (MUSD/yr)    (MUSD)   |(cents/kWh) (MUSD/yr)    (MUSD) </w:t>
      </w:r>
    </w:p>
    <w:p w14:paraId="3E0A8999" w14:textId="5404752B"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________________________________________________________________________________________________________________________</w:t>
      </w:r>
    </w:p>
    <w:p w14:paraId="354D74D2" w14:textId="4E78402D"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1      0.00          -50.37   0.00     |    0.00     0.00         0.00    |    0.00     0.00         0.00</w:t>
      </w:r>
    </w:p>
    <w:p w14:paraId="778765A4" w14:textId="7642EA8B"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2     </w:t>
      </w:r>
      <w:r w:rsidRPr="009C7E7B">
        <w:rPr>
          <w:rFonts w:ascii="Consolas" w:eastAsia="Times New Roman" w:hAnsi="Consolas" w:cs="Courier New"/>
          <w:color w:val="222222"/>
          <w:kern w:val="0"/>
          <w:sz w:val="14"/>
          <w:szCs w:val="14"/>
          <w:highlight w:val="yellow"/>
          <w14:ligatures w14:val="none"/>
        </w:rPr>
        <w:t>10.50           2.95   4.35</w:t>
      </w:r>
      <w:r w:rsidRPr="009C7E7B">
        <w:rPr>
          <w:rFonts w:ascii="Consolas" w:eastAsia="Times New Roman" w:hAnsi="Consolas" w:cs="Courier New"/>
          <w:color w:val="222222"/>
          <w:kern w:val="0"/>
          <w:sz w:val="14"/>
          <w:szCs w:val="14"/>
          <w14:ligatures w14:val="none"/>
        </w:rPr>
        <w:t xml:space="preserve">     |    7.50     0.00         0.00    |    7.50     0.00         0.00</w:t>
      </w:r>
    </w:p>
    <w:p w14:paraId="20533E1D" w14:textId="002CBB6E"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3     </w:t>
      </w:r>
      <w:r w:rsidRPr="009C7E7B">
        <w:rPr>
          <w:rFonts w:ascii="Consolas" w:eastAsia="Times New Roman" w:hAnsi="Consolas" w:cs="Courier New"/>
          <w:color w:val="222222"/>
          <w:kern w:val="0"/>
          <w:sz w:val="14"/>
          <w:szCs w:val="14"/>
          <w:highlight w:val="yellow"/>
          <w14:ligatures w14:val="none"/>
        </w:rPr>
        <w:t>10.62           3.05   8.79</w:t>
      </w:r>
      <w:r w:rsidRPr="009C7E7B">
        <w:rPr>
          <w:rFonts w:ascii="Consolas" w:eastAsia="Times New Roman" w:hAnsi="Consolas" w:cs="Courier New"/>
          <w:color w:val="222222"/>
          <w:kern w:val="0"/>
          <w:sz w:val="14"/>
          <w:szCs w:val="14"/>
          <w14:ligatures w14:val="none"/>
        </w:rPr>
        <w:t xml:space="preserve">     |    7.62     0.00         0.00    |    7.62     0.00         0.00</w:t>
      </w:r>
    </w:p>
    <w:p w14:paraId="3482A9FD" w14:textId="4F1F11D9"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4     </w:t>
      </w:r>
      <w:r w:rsidRPr="009C7E7B">
        <w:rPr>
          <w:rFonts w:ascii="Consolas" w:eastAsia="Times New Roman" w:hAnsi="Consolas" w:cs="Courier New"/>
          <w:color w:val="222222"/>
          <w:kern w:val="0"/>
          <w:sz w:val="14"/>
          <w:szCs w:val="14"/>
          <w:highlight w:val="yellow"/>
          <w14:ligatures w14:val="none"/>
        </w:rPr>
        <w:t>10.75           3.12  13.31</w:t>
      </w:r>
      <w:r w:rsidRPr="009C7E7B">
        <w:rPr>
          <w:rFonts w:ascii="Consolas" w:eastAsia="Times New Roman" w:hAnsi="Consolas" w:cs="Courier New"/>
          <w:color w:val="222222"/>
          <w:kern w:val="0"/>
          <w:sz w:val="14"/>
          <w:szCs w:val="14"/>
          <w14:ligatures w14:val="none"/>
        </w:rPr>
        <w:t xml:space="preserve">     |    7.75     0.00         0.00    |    7.75     0.00         0.00</w:t>
      </w:r>
    </w:p>
    <w:p w14:paraId="13C02561" w14:textId="75FC9616"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5     </w:t>
      </w:r>
      <w:r w:rsidRPr="009C7E7B">
        <w:rPr>
          <w:rFonts w:ascii="Consolas" w:eastAsia="Times New Roman" w:hAnsi="Consolas" w:cs="Courier New"/>
          <w:color w:val="222222"/>
          <w:kern w:val="0"/>
          <w:sz w:val="14"/>
          <w:szCs w:val="14"/>
          <w:highlight w:val="yellow"/>
          <w14:ligatures w14:val="none"/>
        </w:rPr>
        <w:t>10.88           3.19  17.89</w:t>
      </w:r>
      <w:r w:rsidRPr="009C7E7B">
        <w:rPr>
          <w:rFonts w:ascii="Consolas" w:eastAsia="Times New Roman" w:hAnsi="Consolas" w:cs="Courier New"/>
          <w:color w:val="222222"/>
          <w:kern w:val="0"/>
          <w:sz w:val="14"/>
          <w:szCs w:val="14"/>
          <w14:ligatures w14:val="none"/>
        </w:rPr>
        <w:t xml:space="preserve">     |    7.88     0.00         0.00    |    7.88     0.00         0.00</w:t>
      </w:r>
    </w:p>
    <w:p w14:paraId="4D66C53E" w14:textId="7616B390"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6     </w:t>
      </w:r>
      <w:r w:rsidRPr="009C7E7B">
        <w:rPr>
          <w:rFonts w:ascii="Consolas" w:eastAsia="Times New Roman" w:hAnsi="Consolas" w:cs="Courier New"/>
          <w:color w:val="222222"/>
          <w:kern w:val="0"/>
          <w:sz w:val="14"/>
          <w:szCs w:val="14"/>
          <w:highlight w:val="yellow"/>
          <w14:ligatures w14:val="none"/>
        </w:rPr>
        <w:t>11.02           3.25  22.54</w:t>
      </w:r>
      <w:r w:rsidRPr="009C7E7B">
        <w:rPr>
          <w:rFonts w:ascii="Consolas" w:eastAsia="Times New Roman" w:hAnsi="Consolas" w:cs="Courier New"/>
          <w:color w:val="222222"/>
          <w:kern w:val="0"/>
          <w:sz w:val="14"/>
          <w:szCs w:val="14"/>
          <w14:ligatures w14:val="none"/>
        </w:rPr>
        <w:t xml:space="preserve">     |    8.02     0.00         0.00    |    8.02     0.00         0.00</w:t>
      </w:r>
    </w:p>
    <w:p w14:paraId="7AA9AE8A" w14:textId="5FF398F7"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7     </w:t>
      </w:r>
      <w:r w:rsidRPr="009C7E7B">
        <w:rPr>
          <w:rFonts w:ascii="Consolas" w:eastAsia="Times New Roman" w:hAnsi="Consolas" w:cs="Courier New"/>
          <w:color w:val="222222"/>
          <w:kern w:val="0"/>
          <w:sz w:val="14"/>
          <w:szCs w:val="14"/>
          <w:highlight w:val="yellow"/>
          <w14:ligatures w14:val="none"/>
        </w:rPr>
        <w:t>11.16           3.31  27.25</w:t>
      </w:r>
      <w:r w:rsidRPr="009C7E7B">
        <w:rPr>
          <w:rFonts w:ascii="Consolas" w:eastAsia="Times New Roman" w:hAnsi="Consolas" w:cs="Courier New"/>
          <w:color w:val="222222"/>
          <w:kern w:val="0"/>
          <w:sz w:val="14"/>
          <w:szCs w:val="14"/>
          <w14:ligatures w14:val="none"/>
        </w:rPr>
        <w:t xml:space="preserve">     |    8.16     0.00         0.00    |    8.16     0.00         0.00</w:t>
      </w:r>
    </w:p>
    <w:p w14:paraId="5A99EE39" w14:textId="1F402D19"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8     </w:t>
      </w:r>
      <w:r w:rsidRPr="009C7E7B">
        <w:rPr>
          <w:rFonts w:ascii="Consolas" w:eastAsia="Times New Roman" w:hAnsi="Consolas" w:cs="Courier New"/>
          <w:color w:val="222222"/>
          <w:kern w:val="0"/>
          <w:sz w:val="14"/>
          <w:szCs w:val="14"/>
          <w:highlight w:val="yellow"/>
          <w14:ligatures w14:val="none"/>
        </w:rPr>
        <w:t>11.30           3.38  32.02</w:t>
      </w:r>
      <w:r w:rsidRPr="009C7E7B">
        <w:rPr>
          <w:rFonts w:ascii="Consolas" w:eastAsia="Times New Roman" w:hAnsi="Consolas" w:cs="Courier New"/>
          <w:color w:val="222222"/>
          <w:kern w:val="0"/>
          <w:sz w:val="14"/>
          <w:szCs w:val="14"/>
          <w14:ligatures w14:val="none"/>
        </w:rPr>
        <w:t xml:space="preserve">     |    8.30     0.00         0.00    |    8.30     0.00         0.00</w:t>
      </w:r>
    </w:p>
    <w:p w14:paraId="5E54F7EB" w14:textId="7C0EEB19"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9     </w:t>
      </w:r>
      <w:r w:rsidRPr="009C7E7B">
        <w:rPr>
          <w:rFonts w:ascii="Consolas" w:eastAsia="Times New Roman" w:hAnsi="Consolas" w:cs="Courier New"/>
          <w:color w:val="222222"/>
          <w:kern w:val="0"/>
          <w:sz w:val="14"/>
          <w:szCs w:val="14"/>
          <w:highlight w:val="yellow"/>
          <w14:ligatures w14:val="none"/>
        </w:rPr>
        <w:t>11.44           3.44  36.86</w:t>
      </w:r>
      <w:r w:rsidRPr="009C7E7B">
        <w:rPr>
          <w:rFonts w:ascii="Consolas" w:eastAsia="Times New Roman" w:hAnsi="Consolas" w:cs="Courier New"/>
          <w:color w:val="222222"/>
          <w:kern w:val="0"/>
          <w:sz w:val="14"/>
          <w:szCs w:val="14"/>
          <w14:ligatures w14:val="none"/>
        </w:rPr>
        <w:t xml:space="preserve">     |    8.44     0.00         0.00    |    8.44     0.00         0.00</w:t>
      </w:r>
    </w:p>
    <w:p w14:paraId="7CB7CBD5" w14:textId="635E282C"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10     </w:t>
      </w:r>
      <w:r w:rsidRPr="009C7E7B">
        <w:rPr>
          <w:rFonts w:ascii="Consolas" w:eastAsia="Times New Roman" w:hAnsi="Consolas" w:cs="Courier New"/>
          <w:color w:val="222222"/>
          <w:kern w:val="0"/>
          <w:sz w:val="14"/>
          <w:szCs w:val="14"/>
          <w:highlight w:val="yellow"/>
          <w14:ligatures w14:val="none"/>
        </w:rPr>
        <w:t>11.59           3.51  41.77</w:t>
      </w:r>
      <w:r w:rsidRPr="009C7E7B">
        <w:rPr>
          <w:rFonts w:ascii="Consolas" w:eastAsia="Times New Roman" w:hAnsi="Consolas" w:cs="Courier New"/>
          <w:color w:val="222222"/>
          <w:kern w:val="0"/>
          <w:sz w:val="14"/>
          <w:szCs w:val="14"/>
          <w14:ligatures w14:val="none"/>
        </w:rPr>
        <w:t xml:space="preserve">     |    8.59     0.00         0.00    |    8.59     0.00         0.00</w:t>
      </w:r>
    </w:p>
    <w:p w14:paraId="3213A5F0" w14:textId="2E381732"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11     </w:t>
      </w:r>
      <w:r w:rsidRPr="009C7E7B">
        <w:rPr>
          <w:rFonts w:ascii="Consolas" w:eastAsia="Times New Roman" w:hAnsi="Consolas" w:cs="Courier New"/>
          <w:color w:val="222222"/>
          <w:kern w:val="0"/>
          <w:sz w:val="14"/>
          <w:szCs w:val="14"/>
          <w:highlight w:val="yellow"/>
          <w14:ligatures w14:val="none"/>
        </w:rPr>
        <w:t>11.74           3.58  46.74</w:t>
      </w:r>
      <w:r w:rsidRPr="009C7E7B">
        <w:rPr>
          <w:rFonts w:ascii="Consolas" w:eastAsia="Times New Roman" w:hAnsi="Consolas" w:cs="Courier New"/>
          <w:color w:val="222222"/>
          <w:kern w:val="0"/>
          <w:sz w:val="14"/>
          <w:szCs w:val="14"/>
          <w14:ligatures w14:val="none"/>
        </w:rPr>
        <w:t xml:space="preserve">     |    8.74     0.00         0.00    |    8.74     0.00         0.00</w:t>
      </w:r>
    </w:p>
    <w:p w14:paraId="36D1AFE5" w14:textId="38DEB2A1" w:rsidR="009C7E7B" w:rsidRPr="009C7E7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12      5.50           0.93  49.07     |    2.50     0.00         0.00    |    2.50     0.00         0.00</w:t>
      </w:r>
    </w:p>
    <w:p w14:paraId="75BDD9F0" w14:textId="52779FAE" w:rsidR="003E7A0B" w:rsidRPr="003E7A0B" w:rsidRDefault="009C7E7B" w:rsidP="009C7E7B">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14"/>
          <w:szCs w:val="14"/>
          <w14:ligatures w14:val="none"/>
        </w:rPr>
      </w:pPr>
      <w:r w:rsidRPr="009C7E7B">
        <w:rPr>
          <w:rFonts w:ascii="Consolas" w:eastAsia="Times New Roman" w:hAnsi="Consolas" w:cs="Courier New"/>
          <w:color w:val="222222"/>
          <w:kern w:val="0"/>
          <w:sz w:val="14"/>
          <w:szCs w:val="14"/>
          <w14:ligatures w14:val="none"/>
        </w:rPr>
        <w:t xml:space="preserve"> 13      5.50           0.94  51.40     |    2.50     0.00         0.00    |    2.50     0.00         0.00</w:t>
      </w:r>
    </w:p>
    <w:p w14:paraId="13260501" w14:textId="462CBBAF" w:rsidR="009C7E7B" w:rsidRDefault="009C7E7B" w:rsidP="009C7E7B">
      <w:r>
        <w:t>In this case, Year 1 is a construction year; Year 2 is the first year of the PTC (so the price is 5.5 cents (base price) plus 5 cents (PTC ); and the subsidy rises by the inflation specified in the BICYCLE model (in this case, 2%) for 10 years</w:t>
      </w:r>
      <w:r w:rsidR="007C5829">
        <w:t xml:space="preserve"> (through year 11)</w:t>
      </w:r>
      <w:r>
        <w:t xml:space="preserve"> when the </w:t>
      </w:r>
      <w:r w:rsidR="007C5829">
        <w:t>subsidy terminates, and the price goes back to 5.5 cents/kWh.</w:t>
      </w:r>
    </w:p>
    <w:p w14:paraId="1845E6C4" w14:textId="40A144E4" w:rsidR="007C5829" w:rsidRDefault="007C5829" w:rsidP="007C5829">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Increasing the effective electricity price by the PTC has many other economic modeling impacts. For example:</w:t>
      </w:r>
    </w:p>
    <w:p w14:paraId="7C383FF7" w14:textId="0599068F" w:rsidR="007C5829" w:rsidRPr="00893B3E" w:rsidRDefault="007C5829" w:rsidP="007C5829">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Project NPV:      -</w:t>
      </w:r>
      <w:r>
        <w:rPr>
          <w:rFonts w:ascii="Consolas" w:eastAsia="Times New Roman" w:hAnsi="Consolas" w:cs="Courier New"/>
          <w:color w:val="222222"/>
          <w:kern w:val="0"/>
          <w:sz w:val="23"/>
          <w:szCs w:val="23"/>
          <w14:ligatures w14:val="none"/>
        </w:rPr>
        <w:t>21.06</w:t>
      </w:r>
      <w:r w:rsidRPr="00893B3E">
        <w:rPr>
          <w:rFonts w:ascii="Consolas" w:eastAsia="Times New Roman" w:hAnsi="Consolas" w:cs="Courier New"/>
          <w:color w:val="222222"/>
          <w:kern w:val="0"/>
          <w:sz w:val="23"/>
          <w:szCs w:val="23"/>
          <w14:ligatures w14:val="none"/>
        </w:rPr>
        <w:t xml:space="preserve"> MUSD</w:t>
      </w:r>
      <w:r>
        <w:rPr>
          <w:rFonts w:ascii="Consolas" w:eastAsia="Times New Roman" w:hAnsi="Consolas" w:cs="Courier New"/>
          <w:color w:val="222222"/>
          <w:kern w:val="0"/>
          <w:sz w:val="23"/>
          <w:szCs w:val="23"/>
          <w14:ligatures w14:val="none"/>
        </w:rPr>
        <w:t xml:space="preserve"> (without ITC: -37.99 MUSD, ITC: </w:t>
      </w:r>
      <w:r w:rsidR="00FB4EBE">
        <w:rPr>
          <w:rFonts w:ascii="Consolas" w:eastAsia="Times New Roman" w:hAnsi="Consolas" w:cs="Courier New"/>
          <w:color w:val="222222"/>
          <w:kern w:val="0"/>
          <w:sz w:val="23"/>
          <w:szCs w:val="23"/>
          <w14:ligatures w14:val="none"/>
        </w:rPr>
        <w:t>-</w:t>
      </w:r>
      <w:r>
        <w:rPr>
          <w:rFonts w:ascii="Consolas" w:eastAsia="Times New Roman" w:hAnsi="Consolas" w:cs="Courier New"/>
          <w:color w:val="222222"/>
          <w:kern w:val="0"/>
          <w:sz w:val="23"/>
          <w:szCs w:val="23"/>
          <w14:ligatures w14:val="none"/>
        </w:rPr>
        <w:t>12.81 MUSD)</w:t>
      </w:r>
    </w:p>
    <w:p w14:paraId="14FAE357" w14:textId="2E0271A1" w:rsidR="007C5829" w:rsidRPr="00893B3E" w:rsidRDefault="007C5829" w:rsidP="007C5829">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IRR: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0.</w:t>
      </w:r>
      <w:r>
        <w:rPr>
          <w:rFonts w:ascii="Consolas" w:eastAsia="Times New Roman" w:hAnsi="Consolas" w:cs="Courier New"/>
          <w:color w:val="222222"/>
          <w:kern w:val="0"/>
          <w:sz w:val="23"/>
          <w:szCs w:val="23"/>
          <w14:ligatures w14:val="none"/>
        </w:rPr>
        <w:t>15</w:t>
      </w:r>
      <w:r w:rsidRPr="00893B3E">
        <w:rPr>
          <w:rFonts w:ascii="Consolas" w:eastAsia="Times New Roman" w:hAnsi="Consolas" w:cs="Courier New"/>
          <w:color w:val="222222"/>
          <w:kern w:val="0"/>
          <w:sz w:val="23"/>
          <w:szCs w:val="23"/>
          <w14:ligatures w14:val="none"/>
        </w:rPr>
        <w:t>%</w:t>
      </w:r>
      <w:r>
        <w:rPr>
          <w:rFonts w:ascii="Consolas" w:eastAsia="Times New Roman" w:hAnsi="Consolas" w:cs="Courier New"/>
          <w:color w:val="222222"/>
          <w:kern w:val="0"/>
          <w:sz w:val="23"/>
          <w:szCs w:val="23"/>
          <w14:ligatures w14:val="none"/>
        </w:rPr>
        <w:t xml:space="preserve"> (without ITC: </w:t>
      </w:r>
      <w:r w:rsidRPr="00893B3E">
        <w:rPr>
          <w:rFonts w:ascii="Consolas" w:eastAsia="Times New Roman" w:hAnsi="Consolas" w:cs="Courier New"/>
          <w:color w:val="222222"/>
          <w:kern w:val="0"/>
          <w:sz w:val="23"/>
          <w:szCs w:val="23"/>
          <w14:ligatures w14:val="none"/>
        </w:rPr>
        <w:t>-3.53%</w:t>
      </w:r>
      <w:r>
        <w:rPr>
          <w:rFonts w:ascii="Consolas" w:eastAsia="Times New Roman" w:hAnsi="Consolas" w:cs="Courier New"/>
          <w:color w:val="222222"/>
          <w:kern w:val="0"/>
          <w:sz w:val="23"/>
          <w:szCs w:val="23"/>
          <w14:ligatures w14:val="none"/>
        </w:rPr>
        <w:t>, ITC: 0.61%)</w:t>
      </w:r>
    </w:p>
    <w:p w14:paraId="77F036C7" w14:textId="1498AAFC" w:rsidR="007C5829" w:rsidRPr="00893B3E" w:rsidRDefault="007C5829" w:rsidP="007C5829">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VIR=PI=PIR: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0.</w:t>
      </w:r>
      <w:r>
        <w:rPr>
          <w:rFonts w:ascii="Consolas" w:eastAsia="Times New Roman" w:hAnsi="Consolas" w:cs="Courier New"/>
          <w:color w:val="222222"/>
          <w:kern w:val="0"/>
          <w:sz w:val="23"/>
          <w:szCs w:val="23"/>
          <w14:ligatures w14:val="none"/>
        </w:rPr>
        <w:t>58  (without ITC: 0.25, ITC: 0.49)</w:t>
      </w:r>
    </w:p>
    <w:p w14:paraId="557256A5" w14:textId="31584DC2" w:rsidR="007C5829" w:rsidRPr="00893B3E" w:rsidRDefault="007C5829" w:rsidP="007C5829">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MOIC: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0.0</w:t>
      </w:r>
      <w:r>
        <w:rPr>
          <w:rFonts w:ascii="Consolas" w:eastAsia="Times New Roman" w:hAnsi="Consolas" w:cs="Courier New"/>
          <w:color w:val="222222"/>
          <w:kern w:val="0"/>
          <w:sz w:val="23"/>
          <w:szCs w:val="23"/>
          <w14:ligatures w14:val="none"/>
        </w:rPr>
        <w:t xml:space="preserve">1  (without ITC: </w:t>
      </w:r>
      <w:r w:rsidRPr="00893B3E">
        <w:rPr>
          <w:rFonts w:ascii="Consolas" w:eastAsia="Times New Roman" w:hAnsi="Consolas" w:cs="Courier New"/>
          <w:color w:val="222222"/>
          <w:kern w:val="0"/>
          <w:sz w:val="23"/>
          <w:szCs w:val="23"/>
          <w14:ligatures w14:val="none"/>
        </w:rPr>
        <w:t>-0.25</w:t>
      </w:r>
      <w:r>
        <w:rPr>
          <w:rFonts w:ascii="Consolas" w:eastAsia="Times New Roman" w:hAnsi="Consolas" w:cs="Courier New"/>
          <w:color w:val="222222"/>
          <w:kern w:val="0"/>
          <w:sz w:val="23"/>
          <w:szCs w:val="23"/>
          <w14:ligatures w14:val="none"/>
        </w:rPr>
        <w:t>, ITC: 0.04)</w:t>
      </w:r>
    </w:p>
    <w:p w14:paraId="1E72D694" w14:textId="130AD74D" w:rsidR="007C5829" w:rsidRPr="003E7A0B" w:rsidRDefault="007C5829" w:rsidP="007C5829">
      <w:pPr>
        <w:pBdr>
          <w:top w:val="single" w:sz="6" w:space="4" w:color="DDDDDD"/>
          <w:left w:val="single" w:sz="6" w:space="4" w:color="DDDDDD"/>
          <w:bottom w:val="single" w:sz="6" w:space="4" w:color="DDDDDD"/>
          <w:right w:val="single" w:sz="6" w:space="4" w:color="DDDDDD"/>
        </w:pBdr>
        <w:shd w:val="clear" w:color="auto" w:fill="FF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222222"/>
          <w:kern w:val="0"/>
          <w:sz w:val="23"/>
          <w:szCs w:val="23"/>
          <w14:ligatures w14:val="none"/>
        </w:rPr>
      </w:pPr>
      <w:r w:rsidRPr="00893B3E">
        <w:rPr>
          <w:rFonts w:ascii="Consolas" w:eastAsia="Times New Roman" w:hAnsi="Consolas" w:cs="Courier New"/>
          <w:color w:val="222222"/>
          <w:kern w:val="0"/>
          <w:sz w:val="23"/>
          <w:szCs w:val="23"/>
          <w14:ligatures w14:val="none"/>
        </w:rPr>
        <w:t xml:space="preserve">Project Payback Period: </w:t>
      </w:r>
      <w:r>
        <w:rPr>
          <w:rFonts w:ascii="Consolas" w:eastAsia="Times New Roman" w:hAnsi="Consolas" w:cs="Courier New"/>
          <w:color w:val="222222"/>
          <w:kern w:val="0"/>
          <w:sz w:val="23"/>
          <w:szCs w:val="23"/>
          <w14:ligatures w14:val="none"/>
        </w:rPr>
        <w:t xml:space="preserve"> </w:t>
      </w:r>
      <w:r w:rsidRPr="00893B3E">
        <w:rPr>
          <w:rFonts w:ascii="Consolas" w:eastAsia="Times New Roman" w:hAnsi="Consolas" w:cs="Courier New"/>
          <w:color w:val="222222"/>
          <w:kern w:val="0"/>
          <w:sz w:val="23"/>
          <w:szCs w:val="23"/>
          <w14:ligatures w14:val="none"/>
        </w:rPr>
        <w:t>2</w:t>
      </w:r>
      <w:r>
        <w:rPr>
          <w:rFonts w:ascii="Consolas" w:eastAsia="Times New Roman" w:hAnsi="Consolas" w:cs="Courier New"/>
          <w:color w:val="222222"/>
          <w:kern w:val="0"/>
          <w:sz w:val="23"/>
          <w:szCs w:val="23"/>
          <w14:ligatures w14:val="none"/>
        </w:rPr>
        <w:t>9.69</w:t>
      </w:r>
      <w:r w:rsidRPr="00893B3E">
        <w:rPr>
          <w:rFonts w:ascii="Consolas" w:eastAsia="Times New Roman" w:hAnsi="Consolas" w:cs="Courier New"/>
          <w:color w:val="222222"/>
          <w:kern w:val="0"/>
          <w:sz w:val="23"/>
          <w:szCs w:val="23"/>
          <w14:ligatures w14:val="none"/>
        </w:rPr>
        <w:t xml:space="preserve"> yr</w:t>
      </w:r>
      <w:r>
        <w:rPr>
          <w:rFonts w:ascii="Consolas" w:eastAsia="Times New Roman" w:hAnsi="Consolas" w:cs="Courier New"/>
          <w:color w:val="222222"/>
          <w:kern w:val="0"/>
          <w:sz w:val="23"/>
          <w:szCs w:val="23"/>
          <w14:ligatures w14:val="none"/>
        </w:rPr>
        <w:t>s  (without ITC: never, ITC: 28 years)</w:t>
      </w:r>
    </w:p>
    <w:p w14:paraId="369EAF0D" w14:textId="6A1AC438" w:rsidR="007C5829" w:rsidRDefault="007C5829" w:rsidP="007C5829">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lastRenderedPageBreak/>
        <w:t>The conclusion that can be drawn from this is that for this scenario, accepting the 50% ITC will produce a slightly better financial result than accepting a 5 cent/kWh (inflation-adjusted) PTC. Different scenarios will yield different results.</w:t>
      </w:r>
    </w:p>
    <w:p w14:paraId="55CF3BE9" w14:textId="0B2AF8D4" w:rsidR="00610F09" w:rsidRDefault="00610F09" w:rsidP="007C5829">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Visualized graphically, the price and cash flow over the life of the project:</w:t>
      </w:r>
    </w:p>
    <w:p w14:paraId="28427316" w14:textId="698754F6" w:rsidR="007C5829" w:rsidRPr="00610F09" w:rsidRDefault="00610F09" w:rsidP="00610F09">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Pr>
          <w:rFonts w:ascii="Palatino Linotype" w:eastAsia="Times New Roman" w:hAnsi="Palatino Linotype" w:cs="Times New Roman"/>
          <w:noProof/>
          <w:color w:val="222222"/>
          <w:kern w:val="0"/>
        </w:rPr>
        <w:drawing>
          <wp:inline distT="0" distB="0" distL="0" distR="0" wp14:anchorId="174F0FFF" wp14:editId="07D345A0">
            <wp:extent cx="6687916" cy="819356"/>
            <wp:effectExtent l="0" t="0" r="0" b="0"/>
            <wp:docPr id="202584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45052" name="Picture 2025845052"/>
                    <pic:cNvPicPr/>
                  </pic:nvPicPr>
                  <pic:blipFill rotWithShape="1">
                    <a:blip r:embed="rId7" cstate="print">
                      <a:extLst>
                        <a:ext uri="{28A0092B-C50C-407E-A947-70E740481C1C}">
                          <a14:useLocalDpi xmlns:a14="http://schemas.microsoft.com/office/drawing/2010/main" val="0"/>
                        </a:ext>
                      </a:extLst>
                    </a:blip>
                    <a:srcRect l="10090" r="8286"/>
                    <a:stretch/>
                  </pic:blipFill>
                  <pic:spPr bwMode="auto">
                    <a:xfrm>
                      <a:off x="0" y="0"/>
                      <a:ext cx="6819894" cy="835525"/>
                    </a:xfrm>
                    <a:prstGeom prst="rect">
                      <a:avLst/>
                    </a:prstGeom>
                    <a:ln>
                      <a:noFill/>
                    </a:ln>
                    <a:extLst>
                      <a:ext uri="{53640926-AAD7-44D8-BBD7-CCE9431645EC}">
                        <a14:shadowObscured xmlns:a14="http://schemas.microsoft.com/office/drawing/2010/main"/>
                      </a:ext>
                    </a:extLst>
                  </pic:spPr>
                </pic:pic>
              </a:graphicData>
            </a:graphic>
          </wp:inline>
        </w:drawing>
      </w:r>
    </w:p>
    <w:p w14:paraId="1CA0BF21" w14:textId="77777777" w:rsidR="008F1506" w:rsidRPr="003E7A0B" w:rsidRDefault="008F1506" w:rsidP="008F1506">
      <w:pPr>
        <w:shd w:val="clear" w:color="auto" w:fill="FFFFFF"/>
        <w:spacing w:after="0" w:line="240" w:lineRule="auto"/>
        <w:outlineLvl w:val="1"/>
        <w:rPr>
          <w:rFonts w:ascii="Trebuchet MS" w:eastAsia="Times New Roman" w:hAnsi="Trebuchet MS" w:cs="Times New Roman"/>
          <w:color w:val="1A1A1A"/>
          <w:kern w:val="0"/>
          <w:sz w:val="38"/>
          <w:szCs w:val="38"/>
          <w14:ligatures w14:val="none"/>
        </w:rPr>
      </w:pPr>
      <w:r>
        <w:rPr>
          <w:rFonts w:ascii="Trebuchet MS" w:eastAsia="Times New Roman" w:hAnsi="Trebuchet MS" w:cs="Times New Roman"/>
          <w:color w:val="1A1A1A"/>
          <w:kern w:val="0"/>
          <w:sz w:val="38"/>
          <w:szCs w:val="38"/>
          <w14:ligatures w14:val="none"/>
        </w:rPr>
        <w:t>Example</w:t>
      </w:r>
      <w:hyperlink r:id="rId8" w:anchor="documentation" w:tooltip="Link to this heading" w:history="1">
        <w:r w:rsidRPr="003E7A0B">
          <w:rPr>
            <w:rFonts w:ascii="Trebuchet MS" w:eastAsia="Times New Roman" w:hAnsi="Trebuchet MS" w:cs="Times New Roman"/>
            <w:color w:val="00608F"/>
            <w:kern w:val="0"/>
            <w:sz w:val="30"/>
            <w:szCs w:val="30"/>
            <w:u w:val="single"/>
            <w14:ligatures w14:val="none"/>
          </w:rPr>
          <w:t>¶</w:t>
        </w:r>
      </w:hyperlink>
    </w:p>
    <w:p w14:paraId="5DD12190" w14:textId="77777777" w:rsidR="008F1506" w:rsidRPr="007C5829" w:rsidRDefault="008F1506" w:rsidP="008F1506">
      <w:pPr>
        <w:shd w:val="clear" w:color="auto" w:fill="FFFFFF"/>
        <w:spacing w:before="100" w:beforeAutospacing="1" w:after="100" w:afterAutospacing="1" w:line="336" w:lineRule="atLeast"/>
        <w:rPr>
          <w:rFonts w:ascii="Palatino Linotype" w:eastAsia="Times New Roman" w:hAnsi="Palatino Linotype" w:cs="Times New Roman"/>
          <w:color w:val="222222"/>
          <w:kern w:val="0"/>
          <w14:ligatures w14:val="none"/>
        </w:rPr>
      </w:pPr>
      <w:r w:rsidRPr="003E7A0B">
        <w:rPr>
          <w:rFonts w:ascii="Palatino Linotype" w:eastAsia="Times New Roman" w:hAnsi="Palatino Linotype" w:cs="Times New Roman"/>
          <w:color w:val="222222"/>
          <w:kern w:val="0"/>
          <w14:ligatures w14:val="none"/>
        </w:rPr>
        <w:t>See </w:t>
      </w:r>
      <w:r>
        <w:rPr>
          <w:rFonts w:ascii="Palatino Linotype" w:eastAsia="Times New Roman" w:hAnsi="Palatino Linotype" w:cs="Times New Roman"/>
          <w:color w:val="222222"/>
          <w:kern w:val="0"/>
          <w14:ligatures w14:val="none"/>
        </w:rPr>
        <w:t>Example1_ITC.txt</w:t>
      </w:r>
    </w:p>
    <w:p w14:paraId="11CFD366" w14:textId="79B1F193" w:rsidR="008F1506" w:rsidRPr="003E7A0B" w:rsidRDefault="008F1506" w:rsidP="008F1506">
      <w:pPr>
        <w:shd w:val="clear" w:color="auto" w:fill="FFFFFF"/>
        <w:spacing w:after="0" w:line="240" w:lineRule="auto"/>
        <w:outlineLvl w:val="1"/>
        <w:rPr>
          <w:rFonts w:ascii="Trebuchet MS" w:eastAsia="Times New Roman" w:hAnsi="Trebuchet MS" w:cs="Times New Roman"/>
          <w:color w:val="1A1A1A"/>
          <w:kern w:val="0"/>
          <w:sz w:val="38"/>
          <w:szCs w:val="38"/>
          <w14:ligatures w14:val="none"/>
        </w:rPr>
      </w:pPr>
      <w:r>
        <w:rPr>
          <w:rFonts w:ascii="Trebuchet MS" w:eastAsia="Times New Roman" w:hAnsi="Trebuchet MS" w:cs="Times New Roman"/>
          <w:color w:val="1A1A1A"/>
          <w:kern w:val="0"/>
          <w:sz w:val="38"/>
          <w:szCs w:val="38"/>
          <w14:ligatures w14:val="none"/>
        </w:rPr>
        <w:t>Related Parameters</w:t>
      </w:r>
      <w:hyperlink r:id="rId9" w:anchor="documentation" w:tooltip="Link to this heading" w:history="1">
        <w:r w:rsidRPr="003E7A0B">
          <w:rPr>
            <w:rFonts w:ascii="Trebuchet MS" w:eastAsia="Times New Roman" w:hAnsi="Trebuchet MS" w:cs="Times New Roman"/>
            <w:color w:val="00608F"/>
            <w:kern w:val="0"/>
            <w:sz w:val="30"/>
            <w:szCs w:val="30"/>
            <w:u w:val="single"/>
            <w14:ligatures w14:val="none"/>
          </w:rPr>
          <w:t>¶</w:t>
        </w:r>
      </w:hyperlink>
    </w:p>
    <w:p w14:paraId="25C67190" w14:textId="7AA0B5E5" w:rsidR="008F1506" w:rsidRDefault="008F1506" w:rsidP="008F1506">
      <w:pPr>
        <w:shd w:val="clear" w:color="auto" w:fill="FFFFFF"/>
        <w:spacing w:after="0" w:line="240" w:lineRule="auto"/>
        <w:outlineLvl w:val="1"/>
        <w:rPr>
          <w:rFonts w:ascii="Palatino Linotype" w:eastAsia="Times New Roman" w:hAnsi="Palatino Linotype" w:cs="Times New Roman"/>
          <w:color w:val="222222"/>
          <w:kern w:val="0"/>
          <w14:ligatures w14:val="none"/>
        </w:rPr>
      </w:pPr>
      <w:r w:rsidRPr="008F1506">
        <w:rPr>
          <w:rFonts w:ascii="Palatino Linotype" w:eastAsia="Times New Roman" w:hAnsi="Palatino Linotype" w:cs="Times New Roman"/>
          <w:color w:val="222222"/>
          <w:kern w:val="0"/>
          <w14:ligatures w14:val="none"/>
        </w:rPr>
        <w:t>"Tax Relief Per Year</w:t>
      </w:r>
      <w:r>
        <w:rPr>
          <w:rFonts w:ascii="Palatino Linotype" w:eastAsia="Times New Roman" w:hAnsi="Palatino Linotype" w:cs="Times New Roman"/>
          <w:color w:val="222222"/>
          <w:kern w:val="0"/>
          <w14:ligatures w14:val="none"/>
        </w:rPr>
        <w:t>:</w:t>
      </w:r>
      <w:r w:rsidRPr="008F1506">
        <w:rPr>
          <w:rFonts w:ascii="Palatino Linotype" w:eastAsia="Times New Roman" w:hAnsi="Palatino Linotype" w:cs="Times New Roman"/>
          <w:color w:val="222222"/>
          <w:kern w:val="0"/>
          <w14:ligatures w14:val="none"/>
        </w:rPr>
        <w:t>"</w:t>
      </w:r>
      <w:r>
        <w:rPr>
          <w:rFonts w:ascii="Palatino Linotype" w:eastAsia="Times New Roman" w:hAnsi="Palatino Linotype" w:cs="Times New Roman"/>
          <w:color w:val="222222"/>
          <w:kern w:val="0"/>
          <w14:ligatures w14:val="none"/>
        </w:rPr>
        <w:t xml:space="preserve"> </w:t>
      </w:r>
      <w:r w:rsidR="00FD2524">
        <w:rPr>
          <w:rFonts w:ascii="Palatino Linotype" w:eastAsia="Times New Roman" w:hAnsi="Palatino Linotype" w:cs="Times New Roman"/>
          <w:color w:val="222222"/>
          <w:kern w:val="0"/>
          <w14:ligatures w14:val="none"/>
        </w:rPr>
        <w:t xml:space="preserve">All Models: Similar to ITC, this is a Constant Dollar Value that is subtracted from the Operating Expenditure. It is not indexed to inflation and applies for the duration of the project.  </w:t>
      </w:r>
    </w:p>
    <w:p w14:paraId="0F5BE819" w14:textId="7781F127" w:rsidR="008F1506" w:rsidRDefault="008F1506" w:rsidP="008F1506">
      <w:pPr>
        <w:shd w:val="clear" w:color="auto" w:fill="FFFFFF"/>
        <w:spacing w:after="0" w:line="240" w:lineRule="auto"/>
        <w:outlineLvl w:val="1"/>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w:t>
      </w:r>
      <w:r w:rsidRPr="008F1506">
        <w:rPr>
          <w:rFonts w:ascii="Palatino Linotype" w:eastAsia="Times New Roman" w:hAnsi="Palatino Linotype" w:cs="Times New Roman"/>
          <w:color w:val="222222"/>
          <w:kern w:val="0"/>
          <w14:ligatures w14:val="none"/>
        </w:rPr>
        <w:t>Combined Income Tax Rate</w:t>
      </w:r>
      <w:r>
        <w:rPr>
          <w:rFonts w:ascii="Palatino Linotype" w:eastAsia="Times New Roman" w:hAnsi="Palatino Linotype" w:cs="Times New Roman"/>
          <w:color w:val="222222"/>
          <w:kern w:val="0"/>
          <w14:ligatures w14:val="none"/>
        </w:rPr>
        <w:t xml:space="preserve">:” BICYCLE Model: </w:t>
      </w:r>
      <w:r w:rsidRPr="008F1506">
        <w:rPr>
          <w:rFonts w:ascii="Palatino Linotype" w:eastAsia="Times New Roman" w:hAnsi="Palatino Linotype" w:cs="Times New Roman"/>
          <w:color w:val="222222"/>
          <w:kern w:val="0"/>
          <w14:ligatures w14:val="none"/>
        </w:rPr>
        <w:t>Combined income tax rate. Income taxes in each year are calculated using (combined income tax rate) × (revenue – deductible expenses) – investment tax credits.</w:t>
      </w:r>
    </w:p>
    <w:p w14:paraId="0407F225" w14:textId="1F3FD7A7" w:rsidR="008F1506" w:rsidRDefault="008F1506" w:rsidP="008F1506">
      <w:pPr>
        <w:shd w:val="clear" w:color="auto" w:fill="FFFFFF"/>
        <w:spacing w:after="0" w:line="240" w:lineRule="auto"/>
        <w:outlineLvl w:val="1"/>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w:t>
      </w:r>
      <w:r w:rsidRPr="008F1506">
        <w:rPr>
          <w:rFonts w:ascii="Palatino Linotype" w:eastAsia="Times New Roman" w:hAnsi="Palatino Linotype" w:cs="Times New Roman"/>
          <w:color w:val="222222"/>
          <w:kern w:val="0"/>
          <w14:ligatures w14:val="none"/>
        </w:rPr>
        <w:t>Gross Revenue Tax Rate</w:t>
      </w:r>
      <w:r>
        <w:rPr>
          <w:rFonts w:ascii="Palatino Linotype" w:eastAsia="Times New Roman" w:hAnsi="Palatino Linotype" w:cs="Times New Roman"/>
          <w:color w:val="222222"/>
          <w:kern w:val="0"/>
          <w14:ligatures w14:val="none"/>
        </w:rPr>
        <w:t xml:space="preserve">:” BICYCLE Model: </w:t>
      </w:r>
      <w:r w:rsidRPr="008F1506">
        <w:rPr>
          <w:rFonts w:ascii="Palatino Linotype" w:eastAsia="Times New Roman" w:hAnsi="Palatino Linotype" w:cs="Times New Roman"/>
          <w:color w:val="222222"/>
          <w:kern w:val="0"/>
          <w14:ligatures w14:val="none"/>
        </w:rPr>
        <w:t>Gross revenue tax rate. Gross revenue taxes in each year are calculated using (gross revenue tax rate) × (revenue).</w:t>
      </w:r>
    </w:p>
    <w:p w14:paraId="6CA2601D" w14:textId="2C9C6D53" w:rsidR="00B844C7" w:rsidRPr="007C5829" w:rsidRDefault="008F1506" w:rsidP="008F1506">
      <w:pPr>
        <w:shd w:val="clear" w:color="auto" w:fill="FFFFFF"/>
        <w:spacing w:after="0" w:line="240" w:lineRule="auto"/>
        <w:outlineLvl w:val="1"/>
        <w:rPr>
          <w:rFonts w:ascii="Palatino Linotype" w:eastAsia="Times New Roman" w:hAnsi="Palatino Linotype" w:cs="Times New Roman"/>
          <w:color w:val="222222"/>
          <w:kern w:val="0"/>
          <w14:ligatures w14:val="none"/>
        </w:rPr>
      </w:pPr>
      <w:r>
        <w:rPr>
          <w:rFonts w:ascii="Palatino Linotype" w:eastAsia="Times New Roman" w:hAnsi="Palatino Linotype" w:cs="Times New Roman"/>
          <w:color w:val="222222"/>
          <w:kern w:val="0"/>
          <w14:ligatures w14:val="none"/>
        </w:rPr>
        <w:t>“</w:t>
      </w:r>
      <w:r w:rsidRPr="008F1506">
        <w:rPr>
          <w:rFonts w:ascii="Palatino Linotype" w:eastAsia="Times New Roman" w:hAnsi="Palatino Linotype" w:cs="Times New Roman"/>
          <w:color w:val="222222"/>
          <w:kern w:val="0"/>
          <w14:ligatures w14:val="none"/>
        </w:rPr>
        <w:t>Property Tax Rate</w:t>
      </w:r>
      <w:r>
        <w:rPr>
          <w:rFonts w:ascii="Palatino Linotype" w:eastAsia="Times New Roman" w:hAnsi="Palatino Linotype" w:cs="Times New Roman"/>
          <w:color w:val="222222"/>
          <w:kern w:val="0"/>
          <w14:ligatures w14:val="none"/>
        </w:rPr>
        <w:t xml:space="preserve">:” BICYCLE Model: </w:t>
      </w:r>
      <w:r w:rsidRPr="008F1506">
        <w:rPr>
          <w:rFonts w:ascii="Palatino Linotype" w:eastAsia="Times New Roman" w:hAnsi="Palatino Linotype" w:cs="Times New Roman"/>
          <w:color w:val="222222"/>
          <w:kern w:val="0"/>
          <w14:ligatures w14:val="none"/>
        </w:rPr>
        <w:t>Property tax rate. Property taxes are fixed annual charges and are calculated using (property tax rate) × (initial capital investment).</w:t>
      </w:r>
    </w:p>
    <w:sectPr w:rsidR="00B844C7" w:rsidRPr="007C5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E9CE0" w14:textId="77777777" w:rsidR="00374C51" w:rsidRDefault="00374C51" w:rsidP="00330CEB">
      <w:pPr>
        <w:spacing w:after="0" w:line="240" w:lineRule="auto"/>
      </w:pPr>
      <w:r>
        <w:separator/>
      </w:r>
    </w:p>
  </w:endnote>
  <w:endnote w:type="continuationSeparator" w:id="0">
    <w:p w14:paraId="58FCE52B" w14:textId="77777777" w:rsidR="00374C51" w:rsidRDefault="00374C51" w:rsidP="0033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BD998" w14:textId="77777777" w:rsidR="00374C51" w:rsidRDefault="00374C51" w:rsidP="00330CEB">
      <w:pPr>
        <w:spacing w:after="0" w:line="240" w:lineRule="auto"/>
      </w:pPr>
      <w:r>
        <w:separator/>
      </w:r>
    </w:p>
  </w:footnote>
  <w:footnote w:type="continuationSeparator" w:id="0">
    <w:p w14:paraId="18961567" w14:textId="77777777" w:rsidR="00374C51" w:rsidRDefault="00374C51" w:rsidP="00330CEB">
      <w:pPr>
        <w:spacing w:after="0" w:line="240" w:lineRule="auto"/>
      </w:pPr>
      <w:r>
        <w:continuationSeparator/>
      </w:r>
    </w:p>
  </w:footnote>
  <w:footnote w:id="1">
    <w:p w14:paraId="0D3FEB1E" w14:textId="12FB1775" w:rsidR="00330CEB" w:rsidRDefault="00330CEB">
      <w:pPr>
        <w:pStyle w:val="FootnoteText"/>
      </w:pPr>
      <w:r>
        <w:rPr>
          <w:rStyle w:val="FootnoteReference"/>
        </w:rPr>
        <w:footnoteRef/>
      </w:r>
      <w:r>
        <w:t xml:space="preserve"> </w:t>
      </w:r>
      <w:r w:rsidRPr="00330CEB">
        <w:t>https://content.next.westlaw.com/practical-law/document/I03f4d8caeee311e28578f7ccc38dcbee/Investment-Tax-Credit-ITC</w:t>
      </w:r>
    </w:p>
  </w:footnote>
  <w:footnote w:id="2">
    <w:p w14:paraId="62AE05BE" w14:textId="0C10FF55" w:rsidR="00330CEB" w:rsidRDefault="00330CEB">
      <w:pPr>
        <w:pStyle w:val="FootnoteText"/>
      </w:pPr>
      <w:r>
        <w:rPr>
          <w:rStyle w:val="FootnoteReference"/>
        </w:rPr>
        <w:footnoteRef/>
      </w:r>
      <w:r>
        <w:t xml:space="preserve"> </w:t>
      </w:r>
      <w:r w:rsidRPr="00330CEB">
        <w:t>https://content.next.westlaw.com/practical-law/document/I03f4d8cceee311e28578f7ccc38dcbee/Production-Tax-Credit-PTC</w:t>
      </w:r>
    </w:p>
  </w:footnote>
  <w:footnote w:id="3">
    <w:p w14:paraId="04AEE89D" w14:textId="6043E567" w:rsidR="00926F15" w:rsidRDefault="00926F15">
      <w:pPr>
        <w:pStyle w:val="FootnoteText"/>
      </w:pPr>
      <w:r>
        <w:rPr>
          <w:rStyle w:val="FootnoteReference"/>
        </w:rPr>
        <w:footnoteRef/>
      </w:r>
      <w:r>
        <w:t xml:space="preserve"> </w:t>
      </w:r>
      <w:r w:rsidRPr="00926F15">
        <w:t>https://vitalsigns.edf.org/story/inflation-reduction-act-victory-climate-heres-what-comes-next</w:t>
      </w:r>
    </w:p>
  </w:footnote>
  <w:footnote w:id="4">
    <w:p w14:paraId="0059D370" w14:textId="1EF51797" w:rsidR="002524F0" w:rsidRDefault="002524F0">
      <w:pPr>
        <w:pStyle w:val="FootnoteText"/>
      </w:pPr>
      <w:r>
        <w:rPr>
          <w:rStyle w:val="FootnoteReference"/>
        </w:rPr>
        <w:footnoteRef/>
      </w:r>
      <w:r>
        <w:t xml:space="preserve"> </w:t>
      </w:r>
      <w:r w:rsidRPr="002524F0">
        <w:t>https://www.investopedia.com/terms/c/capitalexpenditure.asp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B5E"/>
    <w:multiLevelType w:val="multilevel"/>
    <w:tmpl w:val="77D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37598"/>
    <w:multiLevelType w:val="multilevel"/>
    <w:tmpl w:val="2D06A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303025">
    <w:abstractNumId w:val="1"/>
  </w:num>
  <w:num w:numId="2" w16cid:durableId="35233972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866477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4959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C7"/>
    <w:rsid w:val="002524F0"/>
    <w:rsid w:val="00330CEB"/>
    <w:rsid w:val="00374C51"/>
    <w:rsid w:val="003E7A0B"/>
    <w:rsid w:val="00602EAD"/>
    <w:rsid w:val="00610F09"/>
    <w:rsid w:val="007C5829"/>
    <w:rsid w:val="00824EAD"/>
    <w:rsid w:val="00893B3E"/>
    <w:rsid w:val="008F1506"/>
    <w:rsid w:val="00926F15"/>
    <w:rsid w:val="009C7E7B"/>
    <w:rsid w:val="00B844C7"/>
    <w:rsid w:val="00C03311"/>
    <w:rsid w:val="00EC0293"/>
    <w:rsid w:val="00F647FC"/>
    <w:rsid w:val="00FB4EBE"/>
    <w:rsid w:val="00FD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B3AB7"/>
  <w15:chartTrackingRefBased/>
  <w15:docId w15:val="{5D5A785D-AF90-494E-ADD1-921E68A3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29"/>
  </w:style>
  <w:style w:type="paragraph" w:styleId="Heading1">
    <w:name w:val="heading 1"/>
    <w:basedOn w:val="Normal"/>
    <w:next w:val="Normal"/>
    <w:link w:val="Heading1Char"/>
    <w:uiPriority w:val="9"/>
    <w:qFormat/>
    <w:rsid w:val="00B84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4C7"/>
    <w:rPr>
      <w:rFonts w:eastAsiaTheme="majorEastAsia" w:cstheme="majorBidi"/>
      <w:color w:val="272727" w:themeColor="text1" w:themeTint="D8"/>
    </w:rPr>
  </w:style>
  <w:style w:type="paragraph" w:styleId="Title">
    <w:name w:val="Title"/>
    <w:basedOn w:val="Normal"/>
    <w:next w:val="Normal"/>
    <w:link w:val="TitleChar"/>
    <w:uiPriority w:val="10"/>
    <w:qFormat/>
    <w:rsid w:val="00B84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4C7"/>
    <w:pPr>
      <w:spacing w:before="160"/>
      <w:jc w:val="center"/>
    </w:pPr>
    <w:rPr>
      <w:i/>
      <w:iCs/>
      <w:color w:val="404040" w:themeColor="text1" w:themeTint="BF"/>
    </w:rPr>
  </w:style>
  <w:style w:type="character" w:customStyle="1" w:styleId="QuoteChar">
    <w:name w:val="Quote Char"/>
    <w:basedOn w:val="DefaultParagraphFont"/>
    <w:link w:val="Quote"/>
    <w:uiPriority w:val="29"/>
    <w:rsid w:val="00B844C7"/>
    <w:rPr>
      <w:i/>
      <w:iCs/>
      <w:color w:val="404040" w:themeColor="text1" w:themeTint="BF"/>
    </w:rPr>
  </w:style>
  <w:style w:type="paragraph" w:styleId="ListParagraph">
    <w:name w:val="List Paragraph"/>
    <w:basedOn w:val="Normal"/>
    <w:uiPriority w:val="34"/>
    <w:qFormat/>
    <w:rsid w:val="00B844C7"/>
    <w:pPr>
      <w:ind w:left="720"/>
      <w:contextualSpacing/>
    </w:pPr>
  </w:style>
  <w:style w:type="character" w:styleId="IntenseEmphasis">
    <w:name w:val="Intense Emphasis"/>
    <w:basedOn w:val="DefaultParagraphFont"/>
    <w:uiPriority w:val="21"/>
    <w:qFormat/>
    <w:rsid w:val="00B844C7"/>
    <w:rPr>
      <w:i/>
      <w:iCs/>
      <w:color w:val="0F4761" w:themeColor="accent1" w:themeShade="BF"/>
    </w:rPr>
  </w:style>
  <w:style w:type="paragraph" w:styleId="IntenseQuote">
    <w:name w:val="Intense Quote"/>
    <w:basedOn w:val="Normal"/>
    <w:next w:val="Normal"/>
    <w:link w:val="IntenseQuoteChar"/>
    <w:uiPriority w:val="30"/>
    <w:qFormat/>
    <w:rsid w:val="00B84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4C7"/>
    <w:rPr>
      <w:i/>
      <w:iCs/>
      <w:color w:val="0F4761" w:themeColor="accent1" w:themeShade="BF"/>
    </w:rPr>
  </w:style>
  <w:style w:type="character" w:styleId="IntenseReference">
    <w:name w:val="Intense Reference"/>
    <w:basedOn w:val="DefaultParagraphFont"/>
    <w:uiPriority w:val="32"/>
    <w:qFormat/>
    <w:rsid w:val="00B844C7"/>
    <w:rPr>
      <w:b/>
      <w:bCs/>
      <w:smallCaps/>
      <w:color w:val="0F4761" w:themeColor="accent1" w:themeShade="BF"/>
      <w:spacing w:val="5"/>
    </w:rPr>
  </w:style>
  <w:style w:type="paragraph" w:styleId="FootnoteText">
    <w:name w:val="footnote text"/>
    <w:basedOn w:val="Normal"/>
    <w:link w:val="FootnoteTextChar"/>
    <w:uiPriority w:val="99"/>
    <w:semiHidden/>
    <w:unhideWhenUsed/>
    <w:rsid w:val="00330C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CEB"/>
    <w:rPr>
      <w:sz w:val="20"/>
      <w:szCs w:val="20"/>
    </w:rPr>
  </w:style>
  <w:style w:type="character" w:styleId="FootnoteReference">
    <w:name w:val="footnote reference"/>
    <w:basedOn w:val="DefaultParagraphFont"/>
    <w:uiPriority w:val="99"/>
    <w:semiHidden/>
    <w:unhideWhenUsed/>
    <w:rsid w:val="00330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8806">
      <w:bodyDiv w:val="1"/>
      <w:marLeft w:val="0"/>
      <w:marRight w:val="0"/>
      <w:marTop w:val="0"/>
      <w:marBottom w:val="0"/>
      <w:divBdr>
        <w:top w:val="none" w:sz="0" w:space="0" w:color="auto"/>
        <w:left w:val="none" w:sz="0" w:space="0" w:color="auto"/>
        <w:bottom w:val="none" w:sz="0" w:space="0" w:color="auto"/>
        <w:right w:val="none" w:sz="0" w:space="0" w:color="auto"/>
      </w:divBdr>
      <w:divsChild>
        <w:div w:id="1991324196">
          <w:marLeft w:val="0"/>
          <w:marRight w:val="0"/>
          <w:marTop w:val="0"/>
          <w:marBottom w:val="0"/>
          <w:divBdr>
            <w:top w:val="none" w:sz="0" w:space="0" w:color="auto"/>
            <w:left w:val="none" w:sz="0" w:space="0" w:color="auto"/>
            <w:bottom w:val="none" w:sz="0" w:space="0" w:color="auto"/>
            <w:right w:val="none" w:sz="0" w:space="0" w:color="auto"/>
          </w:divBdr>
          <w:divsChild>
            <w:div w:id="235554644">
              <w:marLeft w:val="0"/>
              <w:marRight w:val="0"/>
              <w:marTop w:val="0"/>
              <w:marBottom w:val="0"/>
              <w:divBdr>
                <w:top w:val="none" w:sz="0" w:space="0" w:color="auto"/>
                <w:left w:val="none" w:sz="0" w:space="0" w:color="auto"/>
                <w:bottom w:val="none" w:sz="0" w:space="0" w:color="auto"/>
                <w:right w:val="none" w:sz="0" w:space="0" w:color="auto"/>
              </w:divBdr>
              <w:divsChild>
                <w:div w:id="816653508">
                  <w:marLeft w:val="3450"/>
                  <w:marRight w:val="0"/>
                  <w:marTop w:val="0"/>
                  <w:marBottom w:val="0"/>
                  <w:divBdr>
                    <w:top w:val="none" w:sz="0" w:space="0" w:color="auto"/>
                    <w:left w:val="none" w:sz="0" w:space="0" w:color="auto"/>
                    <w:bottom w:val="none" w:sz="0" w:space="0" w:color="auto"/>
                    <w:right w:val="none" w:sz="0" w:space="0" w:color="auto"/>
                  </w:divBdr>
                  <w:divsChild>
                    <w:div w:id="1105149450">
                      <w:marLeft w:val="0"/>
                      <w:marRight w:val="0"/>
                      <w:marTop w:val="0"/>
                      <w:marBottom w:val="0"/>
                      <w:divBdr>
                        <w:top w:val="none" w:sz="0" w:space="0" w:color="auto"/>
                        <w:left w:val="none" w:sz="0" w:space="0" w:color="auto"/>
                        <w:bottom w:val="none" w:sz="0" w:space="0" w:color="auto"/>
                        <w:right w:val="none" w:sz="0" w:space="0" w:color="auto"/>
                      </w:divBdr>
                      <w:divsChild>
                        <w:div w:id="1807163696">
                          <w:marLeft w:val="0"/>
                          <w:marRight w:val="0"/>
                          <w:marTop w:val="240"/>
                          <w:marBottom w:val="240"/>
                          <w:divBdr>
                            <w:top w:val="none" w:sz="0" w:space="0" w:color="auto"/>
                            <w:left w:val="none" w:sz="0" w:space="0" w:color="auto"/>
                            <w:bottom w:val="none" w:sz="0" w:space="0" w:color="auto"/>
                            <w:right w:val="none" w:sz="0" w:space="0" w:color="auto"/>
                          </w:divBdr>
                          <w:divsChild>
                            <w:div w:id="2140953599">
                              <w:marLeft w:val="0"/>
                              <w:marRight w:val="0"/>
                              <w:marTop w:val="0"/>
                              <w:marBottom w:val="0"/>
                              <w:divBdr>
                                <w:top w:val="none" w:sz="0" w:space="0" w:color="auto"/>
                                <w:left w:val="none" w:sz="0" w:space="0" w:color="auto"/>
                                <w:bottom w:val="none" w:sz="0" w:space="0" w:color="auto"/>
                                <w:right w:val="none" w:sz="0" w:space="0" w:color="auto"/>
                              </w:divBdr>
                            </w:div>
                          </w:divsChild>
                        </w:div>
                        <w:div w:id="1779762561">
                          <w:marLeft w:val="0"/>
                          <w:marRight w:val="0"/>
                          <w:marTop w:val="240"/>
                          <w:marBottom w:val="240"/>
                          <w:divBdr>
                            <w:top w:val="none" w:sz="0" w:space="0" w:color="auto"/>
                            <w:left w:val="none" w:sz="0" w:space="0" w:color="auto"/>
                            <w:bottom w:val="none" w:sz="0" w:space="0" w:color="auto"/>
                            <w:right w:val="none" w:sz="0" w:space="0" w:color="auto"/>
                          </w:divBdr>
                          <w:divsChild>
                            <w:div w:id="1225874101">
                              <w:marLeft w:val="0"/>
                              <w:marRight w:val="0"/>
                              <w:marTop w:val="0"/>
                              <w:marBottom w:val="0"/>
                              <w:divBdr>
                                <w:top w:val="none" w:sz="0" w:space="0" w:color="auto"/>
                                <w:left w:val="none" w:sz="0" w:space="0" w:color="auto"/>
                                <w:bottom w:val="none" w:sz="0" w:space="0" w:color="auto"/>
                                <w:right w:val="none" w:sz="0" w:space="0" w:color="auto"/>
                              </w:divBdr>
                            </w:div>
                          </w:divsChild>
                        </w:div>
                        <w:div w:id="101725508">
                          <w:marLeft w:val="0"/>
                          <w:marRight w:val="0"/>
                          <w:marTop w:val="240"/>
                          <w:marBottom w:val="240"/>
                          <w:divBdr>
                            <w:top w:val="none" w:sz="0" w:space="0" w:color="auto"/>
                            <w:left w:val="none" w:sz="0" w:space="0" w:color="auto"/>
                            <w:bottom w:val="none" w:sz="0" w:space="0" w:color="auto"/>
                            <w:right w:val="none" w:sz="0" w:space="0" w:color="auto"/>
                          </w:divBdr>
                          <w:divsChild>
                            <w:div w:id="686979271">
                              <w:marLeft w:val="0"/>
                              <w:marRight w:val="0"/>
                              <w:marTop w:val="0"/>
                              <w:marBottom w:val="0"/>
                              <w:divBdr>
                                <w:top w:val="none" w:sz="0" w:space="0" w:color="auto"/>
                                <w:left w:val="none" w:sz="0" w:space="0" w:color="auto"/>
                                <w:bottom w:val="none" w:sz="0" w:space="0" w:color="auto"/>
                                <w:right w:val="none" w:sz="0" w:space="0" w:color="auto"/>
                              </w:divBdr>
                            </w:div>
                          </w:divsChild>
                        </w:div>
                        <w:div w:id="278417912">
                          <w:marLeft w:val="0"/>
                          <w:marRight w:val="0"/>
                          <w:marTop w:val="240"/>
                          <w:marBottom w:val="240"/>
                          <w:divBdr>
                            <w:top w:val="none" w:sz="0" w:space="0" w:color="auto"/>
                            <w:left w:val="none" w:sz="0" w:space="0" w:color="auto"/>
                            <w:bottom w:val="none" w:sz="0" w:space="0" w:color="auto"/>
                            <w:right w:val="none" w:sz="0" w:space="0" w:color="auto"/>
                          </w:divBdr>
                          <w:divsChild>
                            <w:div w:id="2088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02">
              <w:marLeft w:val="27871"/>
              <w:marRight w:val="0"/>
              <w:marTop w:val="0"/>
              <w:marBottom w:val="0"/>
              <w:divBdr>
                <w:top w:val="none" w:sz="0" w:space="0" w:color="auto"/>
                <w:left w:val="none" w:sz="0" w:space="0" w:color="auto"/>
                <w:bottom w:val="none" w:sz="0" w:space="0" w:color="auto"/>
                <w:right w:val="none" w:sz="0" w:space="0" w:color="auto"/>
              </w:divBdr>
              <w:divsChild>
                <w:div w:id="186599726">
                  <w:marLeft w:val="0"/>
                  <w:marRight w:val="0"/>
                  <w:marTop w:val="0"/>
                  <w:marBottom w:val="0"/>
                  <w:divBdr>
                    <w:top w:val="none" w:sz="0" w:space="0" w:color="auto"/>
                    <w:left w:val="none" w:sz="0" w:space="0" w:color="auto"/>
                    <w:bottom w:val="none" w:sz="0" w:space="0" w:color="auto"/>
                    <w:right w:val="none" w:sz="0" w:space="0" w:color="auto"/>
                  </w:divBdr>
                  <w:divsChild>
                    <w:div w:id="724531230">
                      <w:marLeft w:val="0"/>
                      <w:marRight w:val="0"/>
                      <w:marTop w:val="0"/>
                      <w:marBottom w:val="0"/>
                      <w:divBdr>
                        <w:top w:val="none" w:sz="0" w:space="0" w:color="auto"/>
                        <w:left w:val="none" w:sz="0" w:space="0" w:color="auto"/>
                        <w:bottom w:val="none" w:sz="0" w:space="0" w:color="auto"/>
                        <w:right w:val="none" w:sz="0" w:space="0" w:color="auto"/>
                      </w:divBdr>
                      <w:divsChild>
                        <w:div w:id="2024671027">
                          <w:marLeft w:val="0"/>
                          <w:marRight w:val="0"/>
                          <w:marTop w:val="0"/>
                          <w:marBottom w:val="0"/>
                          <w:divBdr>
                            <w:top w:val="none" w:sz="0" w:space="0" w:color="auto"/>
                            <w:left w:val="none" w:sz="0" w:space="0" w:color="auto"/>
                            <w:bottom w:val="none" w:sz="0" w:space="0" w:color="auto"/>
                            <w:right w:val="none" w:sz="0" w:space="0" w:color="auto"/>
                          </w:divBdr>
                        </w:div>
                      </w:divsChild>
                    </w:div>
                    <w:div w:id="917711138">
                      <w:marLeft w:val="0"/>
                      <w:marRight w:val="0"/>
                      <w:marTop w:val="0"/>
                      <w:marBottom w:val="0"/>
                      <w:divBdr>
                        <w:top w:val="none" w:sz="0" w:space="0" w:color="auto"/>
                        <w:left w:val="none" w:sz="0" w:space="0" w:color="auto"/>
                        <w:bottom w:val="none" w:sz="0" w:space="0" w:color="auto"/>
                        <w:right w:val="none" w:sz="0" w:space="0" w:color="auto"/>
                      </w:divBdr>
                    </w:div>
                  </w:divsChild>
                </w:div>
                <w:div w:id="194462273">
                  <w:marLeft w:val="0"/>
                  <w:marRight w:val="0"/>
                  <w:marTop w:val="0"/>
                  <w:marBottom w:val="0"/>
                  <w:divBdr>
                    <w:top w:val="none" w:sz="0" w:space="0" w:color="auto"/>
                    <w:left w:val="single" w:sz="6" w:space="0" w:color="FFFFFF"/>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rel.github.io/GEOPHIRES-X/Monte-Carlo-User-Guid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rel.github.io/GEOPHIRES-X/Monte-Carlo-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1758</Words>
  <Characters>7686</Characters>
  <Application>Microsoft Office Word</Application>
  <DocSecurity>0</DocSecurity>
  <Lines>102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Malcolm</dc:creator>
  <cp:keywords/>
  <dc:description/>
  <cp:lastModifiedBy>Ross, Malcolm</cp:lastModifiedBy>
  <cp:revision>5</cp:revision>
  <dcterms:created xsi:type="dcterms:W3CDTF">2024-04-08T18:12:00Z</dcterms:created>
  <dcterms:modified xsi:type="dcterms:W3CDTF">2024-04-09T19:52:00Z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e6a041af-ed62-4056-9f6b-3140160c36b0</vt:lpwstr>
  </property>
</Properties>
</file>