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28D6D6" w14:textId="77777777" w:rsidR="00502F8B" w:rsidRDefault="00502F8B" w:rsidP="007B3F92">
      <w:pPr>
        <w:pStyle w:val="Heading2"/>
        <w:jc w:val="center"/>
      </w:pPr>
    </w:p>
    <w:p w14:paraId="1EC68924" w14:textId="48A3E54D" w:rsidR="00502F8B" w:rsidRDefault="007B3F92" w:rsidP="007B3F92">
      <w:pPr>
        <w:pStyle w:val="Heading2"/>
        <w:jc w:val="center"/>
      </w:pPr>
      <w:r>
        <w:t>HYPSTAT</w:t>
      </w:r>
      <w:r w:rsidR="00CB0470">
        <w:t xml:space="preserve">: </w:t>
      </w:r>
      <w:r w:rsidR="00502F8B">
        <w:t>Hydrogen</w:t>
      </w:r>
      <w:r>
        <w:t xml:space="preserve"> </w:t>
      </w:r>
      <w:r w:rsidR="00CB0470">
        <w:t xml:space="preserve">Example </w:t>
      </w:r>
      <w:r w:rsidR="00502F8B">
        <w:t>Study</w:t>
      </w:r>
      <w:r w:rsidR="00CB0470">
        <w:t xml:space="preserve"> Documentation</w:t>
      </w:r>
    </w:p>
    <w:p w14:paraId="16481F15" w14:textId="77777777" w:rsidR="007B3F92" w:rsidRDefault="007B3F92" w:rsidP="00502F8B"/>
    <w:p w14:paraId="1861EE9F" w14:textId="1ED32933" w:rsidR="00BF255D" w:rsidRPr="00BF255D" w:rsidRDefault="00BF255D" w:rsidP="00BF255D">
      <w:pPr>
        <w:pStyle w:val="Subtitle"/>
        <w:rPr>
          <w:rFonts w:eastAsiaTheme="minorHAnsi" w:cstheme="minorBidi"/>
          <w:color w:val="auto"/>
          <w:spacing w:val="0"/>
          <w:sz w:val="24"/>
          <w:szCs w:val="24"/>
        </w:rPr>
      </w:pPr>
      <w:r w:rsidRPr="00BF255D">
        <w:rPr>
          <w:rFonts w:eastAsiaTheme="minorHAnsi" w:cstheme="minorBidi"/>
          <w:color w:val="auto"/>
          <w:spacing w:val="0"/>
          <w:sz w:val="24"/>
          <w:szCs w:val="24"/>
        </w:rPr>
        <w:t>The case study examines the infrastructure network for hydrogen demand, production, storage, and transmission across various nodes, each with distinct characteristics and demand profiles. The demand nodes evaluated include a connection point, industrial site, city, inland area, suburb, and coastal area. Each node’s potential to support renewable energy sources—such as onshore wind, offshore wind, solar, and nuclear energy—is assessed, along with their grid connectivity, export/import capacity, and storage capabilities. The case study is designed to demonstrate the modeling capabilities of the Hydrogen Production, Storage, and Transmission Analysis Tool (HYPSTAT).</w:t>
      </w:r>
    </w:p>
    <w:p w14:paraId="69A733E6" w14:textId="4B2F8CF9" w:rsidR="00BF255D" w:rsidRDefault="00BF255D" w:rsidP="00BF255D">
      <w:pPr>
        <w:pStyle w:val="Subtitle"/>
        <w:rPr>
          <w:rFonts w:eastAsiaTheme="minorHAnsi" w:cstheme="minorBidi"/>
          <w:color w:val="auto"/>
          <w:spacing w:val="0"/>
          <w:sz w:val="24"/>
          <w:szCs w:val="24"/>
        </w:rPr>
      </w:pPr>
      <w:r w:rsidRPr="00BF255D">
        <w:rPr>
          <w:rFonts w:eastAsiaTheme="minorHAnsi" w:cstheme="minorBidi"/>
          <w:color w:val="auto"/>
          <w:spacing w:val="0"/>
          <w:sz w:val="24"/>
          <w:szCs w:val="24"/>
        </w:rPr>
        <w:t xml:space="preserve">This documentation provides an overview of key concepts, formulas, and methodologies needed to derive essential results from HYPSTAT for hydrogen system balancing and dynamics. By analyzing direct model outputs, such as renewable, </w:t>
      </w:r>
      <w:proofErr w:type="spellStart"/>
      <w:r w:rsidRPr="00BF255D">
        <w:rPr>
          <w:rFonts w:eastAsiaTheme="minorHAnsi" w:cstheme="minorBidi"/>
          <w:color w:val="auto"/>
          <w:spacing w:val="0"/>
          <w:sz w:val="24"/>
          <w:szCs w:val="24"/>
        </w:rPr>
        <w:t>electrolyzer</w:t>
      </w:r>
      <w:proofErr w:type="spellEnd"/>
      <w:r w:rsidRPr="00BF255D">
        <w:rPr>
          <w:rFonts w:eastAsiaTheme="minorHAnsi" w:cstheme="minorBidi"/>
          <w:color w:val="auto"/>
          <w:spacing w:val="0"/>
          <w:sz w:val="24"/>
          <w:szCs w:val="24"/>
        </w:rPr>
        <w:t xml:space="preserve">, transmission, and storage builds and locations, as well as by calculating Total CAPEX (Capital Expenditure), OPEX (Operational Expenditure), Levelized Hydrogen Cost (LCOH), Levelized Cost of Electricity (LCOE), and Capacity Factors for both </w:t>
      </w:r>
      <w:proofErr w:type="spellStart"/>
      <w:r w:rsidRPr="00BF255D">
        <w:rPr>
          <w:rFonts w:eastAsiaTheme="minorHAnsi" w:cstheme="minorBidi"/>
          <w:color w:val="auto"/>
          <w:spacing w:val="0"/>
          <w:sz w:val="24"/>
          <w:szCs w:val="24"/>
        </w:rPr>
        <w:t>electrolyzers</w:t>
      </w:r>
      <w:proofErr w:type="spellEnd"/>
      <w:r w:rsidRPr="00BF255D">
        <w:rPr>
          <w:rFonts w:eastAsiaTheme="minorHAnsi" w:cstheme="minorBidi"/>
          <w:color w:val="auto"/>
          <w:spacing w:val="0"/>
          <w:sz w:val="24"/>
          <w:szCs w:val="24"/>
        </w:rPr>
        <w:t xml:space="preserve"> and renewable resources, users can evaluate the technical and economic performance of hydrogen production facilities based on renewable energy sources and optimize the system for cost-effective, large-scale hydrogen production.</w:t>
      </w:r>
    </w:p>
    <w:p w14:paraId="7582325E" w14:textId="77777777" w:rsidR="00BF255D" w:rsidRDefault="00BF255D" w:rsidP="00BF255D">
      <w:pPr>
        <w:pStyle w:val="Subtitle"/>
        <w:rPr>
          <w:rFonts w:eastAsiaTheme="minorHAnsi" w:cstheme="minorBidi"/>
          <w:color w:val="auto"/>
          <w:spacing w:val="0"/>
          <w:sz w:val="24"/>
          <w:szCs w:val="24"/>
        </w:rPr>
      </w:pPr>
    </w:p>
    <w:p w14:paraId="7EC1A3DA" w14:textId="4E7EE774" w:rsidR="00B75F8C" w:rsidRPr="00B75F8C" w:rsidRDefault="00B75F8C" w:rsidP="00BF255D">
      <w:pPr>
        <w:pStyle w:val="Subtitle"/>
        <w:rPr>
          <w:b/>
          <w:bCs/>
        </w:rPr>
      </w:pPr>
      <w:r w:rsidRPr="00B75F8C">
        <w:rPr>
          <w:b/>
          <w:bCs/>
        </w:rPr>
        <w:t>Case Design:</w:t>
      </w:r>
    </w:p>
    <w:p w14:paraId="07B55463" w14:textId="77777777" w:rsidR="007B3F92" w:rsidRDefault="007B3F92" w:rsidP="00502F8B"/>
    <w:tbl>
      <w:tblPr>
        <w:tblStyle w:val="GridTable1Light-Accent1"/>
        <w:tblW w:w="11582" w:type="dxa"/>
        <w:jc w:val="center"/>
        <w:tblLook w:val="04A0" w:firstRow="1" w:lastRow="0" w:firstColumn="1" w:lastColumn="0" w:noHBand="0" w:noVBand="1"/>
      </w:tblPr>
      <w:tblGrid>
        <w:gridCol w:w="704"/>
        <w:gridCol w:w="1247"/>
        <w:gridCol w:w="990"/>
        <w:gridCol w:w="998"/>
        <w:gridCol w:w="826"/>
        <w:gridCol w:w="1017"/>
        <w:gridCol w:w="942"/>
        <w:gridCol w:w="1276"/>
        <w:gridCol w:w="816"/>
        <w:gridCol w:w="830"/>
        <w:gridCol w:w="1025"/>
        <w:gridCol w:w="920"/>
      </w:tblGrid>
      <w:tr w:rsidR="00405AFE" w:rsidRPr="007B3F92" w14:paraId="1BEDD533" w14:textId="77777777" w:rsidTr="00405AFE">
        <w:trPr>
          <w:cnfStyle w:val="100000000000" w:firstRow="1" w:lastRow="0" w:firstColumn="0" w:lastColumn="0" w:oddVBand="0" w:evenVBand="0" w:oddHBand="0" w:evenHBand="0" w:firstRowFirstColumn="0" w:firstRowLastColumn="0" w:lastRowFirstColumn="0" w:lastRowLastColumn="0"/>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48D3E43" w14:textId="77777777" w:rsidR="007B3F92" w:rsidRPr="007B3F92" w:rsidRDefault="007B3F92" w:rsidP="00405AFE">
            <w:pPr>
              <w:jc w:val="center"/>
              <w:rPr>
                <w:color w:val="000000"/>
                <w:sz w:val="20"/>
                <w:szCs w:val="20"/>
              </w:rPr>
            </w:pPr>
            <w:r w:rsidRPr="007B3F92">
              <w:rPr>
                <w:color w:val="000000"/>
                <w:sz w:val="20"/>
                <w:szCs w:val="20"/>
              </w:rPr>
              <w:t>Node</w:t>
            </w:r>
          </w:p>
        </w:tc>
        <w:tc>
          <w:tcPr>
            <w:tcW w:w="1247" w:type="dxa"/>
            <w:noWrap/>
            <w:hideMark/>
          </w:tcPr>
          <w:p w14:paraId="299A50DB"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Descriptor</w:t>
            </w:r>
          </w:p>
        </w:tc>
        <w:tc>
          <w:tcPr>
            <w:tcW w:w="990" w:type="dxa"/>
            <w:noWrap/>
            <w:hideMark/>
          </w:tcPr>
          <w:p w14:paraId="201CA41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Demand</w:t>
            </w:r>
          </w:p>
        </w:tc>
        <w:tc>
          <w:tcPr>
            <w:tcW w:w="998" w:type="dxa"/>
            <w:noWrap/>
            <w:hideMark/>
          </w:tcPr>
          <w:p w14:paraId="05D011F3" w14:textId="2FE0DA81"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405AFE">
              <w:rPr>
                <w:color w:val="000000"/>
                <w:sz w:val="20"/>
                <w:szCs w:val="20"/>
              </w:rPr>
              <w:t>Onshore Wind</w:t>
            </w:r>
          </w:p>
        </w:tc>
        <w:tc>
          <w:tcPr>
            <w:tcW w:w="826" w:type="dxa"/>
            <w:noWrap/>
            <w:hideMark/>
          </w:tcPr>
          <w:p w14:paraId="1A4D59F7"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Solar</w:t>
            </w:r>
          </w:p>
        </w:tc>
        <w:tc>
          <w:tcPr>
            <w:tcW w:w="1017" w:type="dxa"/>
            <w:noWrap/>
            <w:hideMark/>
          </w:tcPr>
          <w:p w14:paraId="24812589" w14:textId="2367071A"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O</w:t>
            </w:r>
            <w:r w:rsidRPr="00405AFE">
              <w:rPr>
                <w:color w:val="000000"/>
                <w:sz w:val="20"/>
                <w:szCs w:val="20"/>
              </w:rPr>
              <w:t>ffshore Wind</w:t>
            </w:r>
          </w:p>
        </w:tc>
        <w:tc>
          <w:tcPr>
            <w:tcW w:w="942" w:type="dxa"/>
            <w:noWrap/>
            <w:hideMark/>
          </w:tcPr>
          <w:p w14:paraId="0989B338"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Nuclear</w:t>
            </w:r>
          </w:p>
        </w:tc>
        <w:tc>
          <w:tcPr>
            <w:tcW w:w="1276" w:type="dxa"/>
            <w:noWrap/>
            <w:hideMark/>
          </w:tcPr>
          <w:p w14:paraId="02AD1289"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Grid</w:t>
            </w:r>
          </w:p>
        </w:tc>
        <w:tc>
          <w:tcPr>
            <w:tcW w:w="807" w:type="dxa"/>
            <w:noWrap/>
            <w:hideMark/>
          </w:tcPr>
          <w:p w14:paraId="44ACC52C"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sz w:val="20"/>
                <w:szCs w:val="20"/>
              </w:rPr>
            </w:pPr>
            <w:r w:rsidRPr="007B3F92">
              <w:rPr>
                <w:sz w:val="20"/>
                <w:szCs w:val="20"/>
              </w:rPr>
              <w:t>Export</w:t>
            </w:r>
          </w:p>
        </w:tc>
        <w:tc>
          <w:tcPr>
            <w:tcW w:w="830" w:type="dxa"/>
            <w:noWrap/>
            <w:hideMark/>
          </w:tcPr>
          <w:p w14:paraId="3314F3B1"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Import</w:t>
            </w:r>
          </w:p>
        </w:tc>
        <w:tc>
          <w:tcPr>
            <w:tcW w:w="1025" w:type="dxa"/>
            <w:noWrap/>
            <w:hideMark/>
          </w:tcPr>
          <w:p w14:paraId="45D59B73"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Geologic Storage</w:t>
            </w:r>
          </w:p>
        </w:tc>
        <w:tc>
          <w:tcPr>
            <w:tcW w:w="920" w:type="dxa"/>
            <w:noWrap/>
            <w:hideMark/>
          </w:tcPr>
          <w:p w14:paraId="2EB975ED" w14:textId="77777777" w:rsidR="007B3F92" w:rsidRPr="007B3F92" w:rsidRDefault="007B3F92" w:rsidP="007B3F92">
            <w:pPr>
              <w:cnfStyle w:val="100000000000" w:firstRow="1"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Tank Storage</w:t>
            </w:r>
          </w:p>
        </w:tc>
      </w:tr>
      <w:tr w:rsidR="00405AFE" w:rsidRPr="007B3F92" w14:paraId="76ABA7BB"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E18BFAD" w14:textId="77777777" w:rsidR="007B3F92" w:rsidRPr="007B3F92" w:rsidRDefault="007B3F92" w:rsidP="007B3F92">
            <w:pPr>
              <w:rPr>
                <w:color w:val="000000"/>
                <w:sz w:val="20"/>
                <w:szCs w:val="20"/>
              </w:rPr>
            </w:pPr>
            <w:r w:rsidRPr="007B3F92">
              <w:rPr>
                <w:color w:val="000000"/>
                <w:sz w:val="20"/>
                <w:szCs w:val="20"/>
              </w:rPr>
              <w:t>A</w:t>
            </w:r>
          </w:p>
        </w:tc>
        <w:tc>
          <w:tcPr>
            <w:tcW w:w="1247" w:type="dxa"/>
            <w:noWrap/>
            <w:hideMark/>
          </w:tcPr>
          <w:p w14:paraId="667E018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Connection point</w:t>
            </w:r>
          </w:p>
        </w:tc>
        <w:tc>
          <w:tcPr>
            <w:tcW w:w="990" w:type="dxa"/>
            <w:noWrap/>
            <w:hideMark/>
          </w:tcPr>
          <w:p w14:paraId="0B0D5BE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98" w:type="dxa"/>
            <w:noWrap/>
            <w:hideMark/>
          </w:tcPr>
          <w:p w14:paraId="1A8C82A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826" w:type="dxa"/>
            <w:noWrap/>
            <w:hideMark/>
          </w:tcPr>
          <w:p w14:paraId="1B7D9F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1017" w:type="dxa"/>
            <w:noWrap/>
            <w:hideMark/>
          </w:tcPr>
          <w:p w14:paraId="3D57399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5649B71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6501C7A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lower)</w:t>
            </w:r>
          </w:p>
        </w:tc>
        <w:tc>
          <w:tcPr>
            <w:tcW w:w="807" w:type="dxa"/>
            <w:noWrap/>
            <w:hideMark/>
          </w:tcPr>
          <w:p w14:paraId="1054DA1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YES</w:t>
            </w:r>
          </w:p>
        </w:tc>
        <w:tc>
          <w:tcPr>
            <w:tcW w:w="830" w:type="dxa"/>
            <w:noWrap/>
            <w:hideMark/>
          </w:tcPr>
          <w:p w14:paraId="223E587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1025" w:type="dxa"/>
            <w:noWrap/>
            <w:hideMark/>
          </w:tcPr>
          <w:p w14:paraId="4CD51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24F218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079859BE"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324E9D0E" w14:textId="77777777" w:rsidR="007B3F92" w:rsidRPr="007B3F92" w:rsidRDefault="007B3F92" w:rsidP="007B3F92">
            <w:pPr>
              <w:rPr>
                <w:color w:val="000000"/>
                <w:sz w:val="20"/>
                <w:szCs w:val="20"/>
              </w:rPr>
            </w:pPr>
            <w:r w:rsidRPr="007B3F92">
              <w:rPr>
                <w:color w:val="000000"/>
                <w:sz w:val="20"/>
                <w:szCs w:val="20"/>
              </w:rPr>
              <w:t>B</w:t>
            </w:r>
          </w:p>
        </w:tc>
        <w:tc>
          <w:tcPr>
            <w:tcW w:w="1247" w:type="dxa"/>
            <w:noWrap/>
            <w:hideMark/>
          </w:tcPr>
          <w:p w14:paraId="0CEC002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Industrial site</w:t>
            </w:r>
          </w:p>
        </w:tc>
        <w:tc>
          <w:tcPr>
            <w:tcW w:w="990" w:type="dxa"/>
            <w:noWrap/>
            <w:hideMark/>
          </w:tcPr>
          <w:p w14:paraId="54CD7D8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A557CD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826" w:type="dxa"/>
            <w:noWrap/>
            <w:hideMark/>
          </w:tcPr>
          <w:p w14:paraId="6CA2DA9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1017" w:type="dxa"/>
            <w:noWrap/>
            <w:hideMark/>
          </w:tcPr>
          <w:p w14:paraId="3EA872D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5F4ADE4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1276" w:type="dxa"/>
            <w:noWrap/>
            <w:hideMark/>
          </w:tcPr>
          <w:p w14:paraId="563D1A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(Fixed industrial)</w:t>
            </w:r>
          </w:p>
        </w:tc>
        <w:tc>
          <w:tcPr>
            <w:tcW w:w="807" w:type="dxa"/>
            <w:noWrap/>
            <w:hideMark/>
          </w:tcPr>
          <w:p w14:paraId="013E387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4B07C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0391A16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04E95CC3"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0F6747BA"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AB78AA3" w14:textId="77777777" w:rsidR="007B3F92" w:rsidRPr="007B3F92" w:rsidRDefault="007B3F92" w:rsidP="007B3F92">
            <w:pPr>
              <w:rPr>
                <w:color w:val="000000"/>
                <w:sz w:val="20"/>
                <w:szCs w:val="20"/>
              </w:rPr>
            </w:pPr>
            <w:r w:rsidRPr="007B3F92">
              <w:rPr>
                <w:color w:val="000000"/>
                <w:sz w:val="20"/>
                <w:szCs w:val="20"/>
              </w:rPr>
              <w:t>C</w:t>
            </w:r>
          </w:p>
        </w:tc>
        <w:tc>
          <w:tcPr>
            <w:tcW w:w="1247" w:type="dxa"/>
            <w:noWrap/>
            <w:hideMark/>
          </w:tcPr>
          <w:p w14:paraId="6E4E8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City</w:t>
            </w:r>
          </w:p>
        </w:tc>
        <w:tc>
          <w:tcPr>
            <w:tcW w:w="990" w:type="dxa"/>
            <w:noWrap/>
            <w:hideMark/>
          </w:tcPr>
          <w:p w14:paraId="5693310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7CCFB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3DE90B1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17" w:type="dxa"/>
            <w:noWrap/>
            <w:hideMark/>
          </w:tcPr>
          <w:p w14:paraId="305B24F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33A690C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180D8CE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07" w:type="dxa"/>
            <w:noWrap/>
            <w:hideMark/>
          </w:tcPr>
          <w:p w14:paraId="5AE2FC2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50F0C254" w14:textId="09509314" w:rsidR="007B3F92" w:rsidRPr="007B3F92" w:rsidRDefault="00BF255D"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BF255D">
              <w:rPr>
                <w:color w:val="FF0000"/>
                <w:sz w:val="20"/>
                <w:szCs w:val="20"/>
                <w:highlight w:val="yellow"/>
              </w:rPr>
              <w:t>YES</w:t>
            </w:r>
            <w:r>
              <w:rPr>
                <w:color w:val="FF0000"/>
                <w:sz w:val="20"/>
                <w:szCs w:val="20"/>
              </w:rPr>
              <w:t>(?)</w:t>
            </w:r>
          </w:p>
        </w:tc>
        <w:tc>
          <w:tcPr>
            <w:tcW w:w="1025" w:type="dxa"/>
            <w:noWrap/>
            <w:hideMark/>
          </w:tcPr>
          <w:p w14:paraId="3F5C000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4779315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r>
      <w:tr w:rsidR="00405AFE" w:rsidRPr="007B3F92" w14:paraId="620E6DBD"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083771FB" w14:textId="77777777" w:rsidR="007B3F92" w:rsidRPr="007B3F92" w:rsidRDefault="007B3F92" w:rsidP="007B3F92">
            <w:pPr>
              <w:rPr>
                <w:color w:val="000000"/>
                <w:sz w:val="20"/>
                <w:szCs w:val="20"/>
              </w:rPr>
            </w:pPr>
            <w:r w:rsidRPr="007B3F92">
              <w:rPr>
                <w:color w:val="000000"/>
                <w:sz w:val="20"/>
                <w:szCs w:val="20"/>
              </w:rPr>
              <w:t>D</w:t>
            </w:r>
          </w:p>
        </w:tc>
        <w:tc>
          <w:tcPr>
            <w:tcW w:w="1247" w:type="dxa"/>
            <w:noWrap/>
            <w:hideMark/>
          </w:tcPr>
          <w:p w14:paraId="521C61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Inland</w:t>
            </w:r>
          </w:p>
        </w:tc>
        <w:tc>
          <w:tcPr>
            <w:tcW w:w="990" w:type="dxa"/>
            <w:noWrap/>
            <w:hideMark/>
          </w:tcPr>
          <w:p w14:paraId="25DA473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41EAC7C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(Poor)</w:t>
            </w:r>
          </w:p>
        </w:tc>
        <w:tc>
          <w:tcPr>
            <w:tcW w:w="826" w:type="dxa"/>
            <w:noWrap/>
            <w:hideMark/>
          </w:tcPr>
          <w:p w14:paraId="66FEB2A5"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54185B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4570A08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0CCA45F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higher)</w:t>
            </w:r>
          </w:p>
        </w:tc>
        <w:tc>
          <w:tcPr>
            <w:tcW w:w="807" w:type="dxa"/>
            <w:noWrap/>
            <w:hideMark/>
          </w:tcPr>
          <w:p w14:paraId="46E9D03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12E4D6FF"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7018BD6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 xml:space="preserve">YES (20 </w:t>
            </w:r>
            <w:proofErr w:type="spellStart"/>
            <w:r w:rsidRPr="007B3F92">
              <w:rPr>
                <w:color w:val="000000"/>
                <w:sz w:val="20"/>
                <w:szCs w:val="20"/>
              </w:rPr>
              <w:t>kT</w:t>
            </w:r>
            <w:proofErr w:type="spellEnd"/>
            <w:r w:rsidRPr="007B3F92">
              <w:rPr>
                <w:color w:val="000000"/>
                <w:sz w:val="20"/>
                <w:szCs w:val="20"/>
              </w:rPr>
              <w:t>)</w:t>
            </w:r>
          </w:p>
        </w:tc>
        <w:tc>
          <w:tcPr>
            <w:tcW w:w="920" w:type="dxa"/>
            <w:noWrap/>
            <w:hideMark/>
          </w:tcPr>
          <w:p w14:paraId="00268D7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6CEDBBCC"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5E94E57E" w14:textId="77777777" w:rsidR="007B3F92" w:rsidRPr="007B3F92" w:rsidRDefault="007B3F92" w:rsidP="007B3F92">
            <w:pPr>
              <w:rPr>
                <w:color w:val="000000"/>
                <w:sz w:val="20"/>
                <w:szCs w:val="20"/>
              </w:rPr>
            </w:pPr>
            <w:r w:rsidRPr="007B3F92">
              <w:rPr>
                <w:color w:val="000000"/>
                <w:sz w:val="20"/>
                <w:szCs w:val="20"/>
              </w:rPr>
              <w:t>E</w:t>
            </w:r>
          </w:p>
        </w:tc>
        <w:tc>
          <w:tcPr>
            <w:tcW w:w="1247" w:type="dxa"/>
            <w:noWrap/>
            <w:hideMark/>
          </w:tcPr>
          <w:p w14:paraId="1135085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 xml:space="preserve">Suburb, </w:t>
            </w:r>
            <w:proofErr w:type="spellStart"/>
            <w:r w:rsidRPr="007B3F92">
              <w:rPr>
                <w:color w:val="000000"/>
                <w:sz w:val="20"/>
                <w:szCs w:val="20"/>
              </w:rPr>
              <w:t>peaker</w:t>
            </w:r>
            <w:proofErr w:type="spellEnd"/>
            <w:r w:rsidRPr="007B3F92">
              <w:rPr>
                <w:color w:val="000000"/>
                <w:sz w:val="20"/>
                <w:szCs w:val="20"/>
              </w:rPr>
              <w:t xml:space="preserve"> plant</w:t>
            </w:r>
          </w:p>
        </w:tc>
        <w:tc>
          <w:tcPr>
            <w:tcW w:w="990" w:type="dxa"/>
            <w:noWrap/>
            <w:hideMark/>
          </w:tcPr>
          <w:p w14:paraId="3A8DA4D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6FA48B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2AC36DB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2653EC67"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42" w:type="dxa"/>
            <w:noWrap/>
            <w:hideMark/>
          </w:tcPr>
          <w:p w14:paraId="7CA101BB"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47CC6CB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(Fixed residential)</w:t>
            </w:r>
          </w:p>
        </w:tc>
        <w:tc>
          <w:tcPr>
            <w:tcW w:w="807" w:type="dxa"/>
            <w:noWrap/>
            <w:hideMark/>
          </w:tcPr>
          <w:p w14:paraId="0873F6E9"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63D40C3A"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58E6072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0BAC52B6"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r w:rsidR="00405AFE" w:rsidRPr="007B3F92" w14:paraId="71E509F5" w14:textId="77777777" w:rsidTr="00405AFE">
        <w:trPr>
          <w:trHeight w:val="435"/>
          <w:jc w:val="center"/>
        </w:trPr>
        <w:tc>
          <w:tcPr>
            <w:cnfStyle w:val="001000000000" w:firstRow="0" w:lastRow="0" w:firstColumn="1" w:lastColumn="0" w:oddVBand="0" w:evenVBand="0" w:oddHBand="0" w:evenHBand="0" w:firstRowFirstColumn="0" w:firstRowLastColumn="0" w:lastRowFirstColumn="0" w:lastRowLastColumn="0"/>
            <w:tcW w:w="704" w:type="dxa"/>
            <w:noWrap/>
            <w:hideMark/>
          </w:tcPr>
          <w:p w14:paraId="774A7D56" w14:textId="77777777" w:rsidR="007B3F92" w:rsidRPr="007B3F92" w:rsidRDefault="007B3F92" w:rsidP="007B3F92">
            <w:pPr>
              <w:rPr>
                <w:color w:val="000000"/>
                <w:sz w:val="20"/>
                <w:szCs w:val="20"/>
              </w:rPr>
            </w:pPr>
            <w:r w:rsidRPr="007B3F92">
              <w:rPr>
                <w:color w:val="000000"/>
                <w:sz w:val="20"/>
                <w:szCs w:val="20"/>
              </w:rPr>
              <w:t>F</w:t>
            </w:r>
          </w:p>
        </w:tc>
        <w:tc>
          <w:tcPr>
            <w:tcW w:w="1247" w:type="dxa"/>
            <w:noWrap/>
            <w:hideMark/>
          </w:tcPr>
          <w:p w14:paraId="7FB752B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Coastal</w:t>
            </w:r>
          </w:p>
        </w:tc>
        <w:tc>
          <w:tcPr>
            <w:tcW w:w="990" w:type="dxa"/>
            <w:noWrap/>
            <w:hideMark/>
          </w:tcPr>
          <w:p w14:paraId="36EDF84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98" w:type="dxa"/>
            <w:noWrap/>
            <w:hideMark/>
          </w:tcPr>
          <w:p w14:paraId="625B5B24"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826" w:type="dxa"/>
            <w:noWrap/>
            <w:hideMark/>
          </w:tcPr>
          <w:p w14:paraId="65C4649E"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(Good)</w:t>
            </w:r>
          </w:p>
        </w:tc>
        <w:tc>
          <w:tcPr>
            <w:tcW w:w="1017" w:type="dxa"/>
            <w:noWrap/>
            <w:hideMark/>
          </w:tcPr>
          <w:p w14:paraId="3A54FAD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c>
          <w:tcPr>
            <w:tcW w:w="942" w:type="dxa"/>
            <w:noWrap/>
            <w:hideMark/>
          </w:tcPr>
          <w:p w14:paraId="69288E4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276" w:type="dxa"/>
            <w:noWrap/>
            <w:hideMark/>
          </w:tcPr>
          <w:p w14:paraId="53E646A1"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 (Wholesale, higher)</w:t>
            </w:r>
          </w:p>
        </w:tc>
        <w:tc>
          <w:tcPr>
            <w:tcW w:w="807" w:type="dxa"/>
            <w:noWrap/>
            <w:hideMark/>
          </w:tcPr>
          <w:p w14:paraId="4430615C"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sz w:val="20"/>
                <w:szCs w:val="20"/>
              </w:rPr>
            </w:pPr>
            <w:r w:rsidRPr="007B3F92">
              <w:rPr>
                <w:sz w:val="20"/>
                <w:szCs w:val="20"/>
              </w:rPr>
              <w:t>NO</w:t>
            </w:r>
          </w:p>
        </w:tc>
        <w:tc>
          <w:tcPr>
            <w:tcW w:w="830" w:type="dxa"/>
            <w:noWrap/>
            <w:hideMark/>
          </w:tcPr>
          <w:p w14:paraId="0F13DC38"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1025" w:type="dxa"/>
            <w:noWrap/>
            <w:hideMark/>
          </w:tcPr>
          <w:p w14:paraId="07F40300"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NO</w:t>
            </w:r>
          </w:p>
        </w:tc>
        <w:tc>
          <w:tcPr>
            <w:tcW w:w="920" w:type="dxa"/>
            <w:noWrap/>
            <w:hideMark/>
          </w:tcPr>
          <w:p w14:paraId="3723C262" w14:textId="77777777" w:rsidR="007B3F92" w:rsidRPr="007B3F92" w:rsidRDefault="007B3F92" w:rsidP="007B3F92">
            <w:pPr>
              <w:cnfStyle w:val="000000000000" w:firstRow="0" w:lastRow="0" w:firstColumn="0" w:lastColumn="0" w:oddVBand="0" w:evenVBand="0" w:oddHBand="0" w:evenHBand="0" w:firstRowFirstColumn="0" w:firstRowLastColumn="0" w:lastRowFirstColumn="0" w:lastRowLastColumn="0"/>
              <w:rPr>
                <w:color w:val="000000"/>
                <w:sz w:val="20"/>
                <w:szCs w:val="20"/>
              </w:rPr>
            </w:pPr>
            <w:r w:rsidRPr="007B3F92">
              <w:rPr>
                <w:color w:val="000000"/>
                <w:sz w:val="20"/>
                <w:szCs w:val="20"/>
              </w:rPr>
              <w:t>YES</w:t>
            </w:r>
          </w:p>
        </w:tc>
      </w:tr>
    </w:tbl>
    <w:p w14:paraId="15149935" w14:textId="77777777" w:rsidR="00502F8B" w:rsidRDefault="00502F8B" w:rsidP="00502F8B"/>
    <w:p w14:paraId="308A8B83" w14:textId="7E979636" w:rsidR="00193926" w:rsidRDefault="00405AFE" w:rsidP="00405AFE">
      <w:pPr>
        <w:jc w:val="center"/>
      </w:pPr>
      <w:r w:rsidRPr="00405AFE">
        <w:rPr>
          <w:noProof/>
        </w:rPr>
        <w:lastRenderedPageBreak/>
        <w:drawing>
          <wp:inline distT="0" distB="0" distL="0" distR="0" wp14:anchorId="62F3EDAC" wp14:editId="5B054D7E">
            <wp:extent cx="4253948" cy="2727960"/>
            <wp:effectExtent l="0" t="0" r="635" b="2540"/>
            <wp:docPr id="131538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8506" name=""/>
                    <pic:cNvPicPr/>
                  </pic:nvPicPr>
                  <pic:blipFill rotWithShape="1">
                    <a:blip r:embed="rId5"/>
                    <a:srcRect l="4800" t="2783" r="5867" b="1739"/>
                    <a:stretch/>
                  </pic:blipFill>
                  <pic:spPr bwMode="auto">
                    <a:xfrm>
                      <a:off x="0" y="0"/>
                      <a:ext cx="4254464" cy="2728291"/>
                    </a:xfrm>
                    <a:prstGeom prst="rect">
                      <a:avLst/>
                    </a:prstGeom>
                    <a:ln>
                      <a:noFill/>
                    </a:ln>
                    <a:extLst>
                      <a:ext uri="{53640926-AAD7-44D8-BBD7-CCE9431645EC}">
                        <a14:shadowObscured xmlns:a14="http://schemas.microsoft.com/office/drawing/2010/main"/>
                      </a:ext>
                    </a:extLst>
                  </pic:spPr>
                </pic:pic>
              </a:graphicData>
            </a:graphic>
          </wp:inline>
        </w:drawing>
      </w:r>
    </w:p>
    <w:p w14:paraId="50BBEFC6" w14:textId="2C35877A" w:rsidR="008B15E4" w:rsidRDefault="008B15E4" w:rsidP="008B15E4">
      <w:r>
        <w:t>Node A (Connection Point): This node serves as a major junction in the hydrogen network, with no local demand but significant import and export capabilities. It has good onshore wind resources and modest solar potential. It connects to the wholesale grid at a lower price and has tank storage facilities.</w:t>
      </w:r>
    </w:p>
    <w:p w14:paraId="3CF4D3E5" w14:textId="1C9B2D89" w:rsidR="008B15E4" w:rsidRDefault="008B15E4" w:rsidP="008B15E4">
      <w:r>
        <w:t>Node B (Industrial Site): Characterized by a relatively large and flat demand profile, this site supports both onshore wind and solar (though with poor offshore wind potential). It pays a fixed industrial price, allowing it to manage stable hydrogen production and storage.</w:t>
      </w:r>
    </w:p>
    <w:p w14:paraId="03BE9827" w14:textId="082EAEEC" w:rsidR="008B15E4" w:rsidRDefault="008B15E4" w:rsidP="008B15E4">
      <w:r>
        <w:t>Node C (City): The city experiences medium demand, peaking in winter for heating and maintaining a consistent baseline for fleet vehicles. It lacks renewable energy resources, grid electricity, or hydrogen storage facilities to meet local H2 demand; all H2 is expected to be met by imports from other regions.</w:t>
      </w:r>
    </w:p>
    <w:p w14:paraId="400566C1" w14:textId="01F95886" w:rsidR="008B15E4" w:rsidRDefault="008B15E4" w:rsidP="008B15E4">
      <w:r>
        <w:t xml:space="preserve">Node D (Inland): With small demand primarily for heavy-duty fuel cell electric vehicles (HD FCEVs), this node has poor onshore wind resources but good solar potential. It connects to the wholesale grid at a higher price and has significant geologic storage (20 </w:t>
      </w:r>
      <w:proofErr w:type="spellStart"/>
      <w:r>
        <w:t>kT</w:t>
      </w:r>
      <w:proofErr w:type="spellEnd"/>
      <w:r>
        <w:t>) alongside tank storage.</w:t>
      </w:r>
    </w:p>
    <w:p w14:paraId="03D9EF57" w14:textId="55C5B66A" w:rsidR="008B15E4" w:rsidRDefault="008B15E4" w:rsidP="008B15E4">
      <w:r>
        <w:t>Node E (Suburb, Peaker Plant): This node has a large demand, especially in summer for power generation. It has good offshore wind potential and a fixed residential grid connection, though it lacks geological storage.</w:t>
      </w:r>
    </w:p>
    <w:p w14:paraId="7F8EE3C0" w14:textId="1CF3E105" w:rsidR="008B15E4" w:rsidRDefault="008B15E4" w:rsidP="008B15E4">
      <w:r>
        <w:t>Node F (Coastal): The coastal node features medium demand for port operations with relatively flat consumption patterns. It harnesses good offshore wind resources and is connected to the wholesale grid at a higher price. Tank storage is available, but there is no geologic storage.</w:t>
      </w:r>
    </w:p>
    <w:p w14:paraId="1C318B2A" w14:textId="77777777" w:rsidR="00BB584B" w:rsidRDefault="00BB584B" w:rsidP="00BB584B">
      <w:pPr>
        <w:pStyle w:val="Subtitle"/>
        <w:rPr>
          <w:rFonts w:eastAsiaTheme="minorHAnsi" w:cstheme="minorBidi"/>
          <w:color w:val="auto"/>
          <w:spacing w:val="0"/>
          <w:sz w:val="24"/>
          <w:szCs w:val="24"/>
        </w:rPr>
      </w:pPr>
      <w:r w:rsidRPr="00BB584B">
        <w:rPr>
          <w:rFonts w:eastAsiaTheme="minorHAnsi" w:cstheme="minorBidi"/>
          <w:color w:val="auto"/>
          <w:spacing w:val="0"/>
          <w:sz w:val="24"/>
          <w:szCs w:val="24"/>
        </w:rPr>
        <w:t>The system network and the relative locations of each node are shown above. This structured network serves as input for potential locations and connections. The HYPSTAT evaluation aims to identify optimal configurations and strategies for hydrogen production, storage, and distribution, ensuring the lowest system-wide costs (objective function).</w:t>
      </w:r>
    </w:p>
    <w:p w14:paraId="3C90F40D" w14:textId="67F77ADE" w:rsidR="00502F8B" w:rsidRPr="00B75F8C" w:rsidRDefault="00502F8B" w:rsidP="00BB584B">
      <w:pPr>
        <w:pStyle w:val="Subtitle"/>
        <w:rPr>
          <w:b/>
          <w:bCs/>
        </w:rPr>
      </w:pPr>
      <w:r w:rsidRPr="00B75F8C">
        <w:rPr>
          <w:b/>
          <w:bCs/>
        </w:rPr>
        <w:t>Technologies</w:t>
      </w:r>
      <w:r w:rsidR="00B46B16" w:rsidRPr="00B75F8C">
        <w:rPr>
          <w:b/>
          <w:bCs/>
        </w:rPr>
        <w:t xml:space="preserve"> and Cost Reference</w:t>
      </w:r>
      <w:r w:rsidRPr="00B75F8C">
        <w:rPr>
          <w:b/>
          <w:bCs/>
        </w:rPr>
        <w:t>:</w:t>
      </w:r>
    </w:p>
    <w:tbl>
      <w:tblPr>
        <w:tblStyle w:val="TableGrid"/>
        <w:tblW w:w="0" w:type="auto"/>
        <w:tblLook w:val="04A0" w:firstRow="1" w:lastRow="0" w:firstColumn="1" w:lastColumn="0" w:noHBand="0" w:noVBand="1"/>
      </w:tblPr>
      <w:tblGrid>
        <w:gridCol w:w="1724"/>
        <w:gridCol w:w="2231"/>
        <w:gridCol w:w="5395"/>
      </w:tblGrid>
      <w:tr w:rsidR="007B3F92" w:rsidRPr="007B3F92" w14:paraId="4E629957" w14:textId="77777777" w:rsidTr="007B3F92">
        <w:trPr>
          <w:trHeight w:val="320"/>
        </w:trPr>
        <w:tc>
          <w:tcPr>
            <w:tcW w:w="1724" w:type="dxa"/>
            <w:noWrap/>
            <w:hideMark/>
          </w:tcPr>
          <w:p w14:paraId="423CA2F5" w14:textId="77777777" w:rsidR="007B3F92" w:rsidRPr="007B3F92" w:rsidRDefault="007B3F92">
            <w:r w:rsidRPr="007B3F92">
              <w:t>Type</w:t>
            </w:r>
          </w:p>
        </w:tc>
        <w:tc>
          <w:tcPr>
            <w:tcW w:w="2231" w:type="dxa"/>
            <w:noWrap/>
            <w:hideMark/>
          </w:tcPr>
          <w:p w14:paraId="2B446A3F" w14:textId="77777777" w:rsidR="007B3F92" w:rsidRPr="007B3F92" w:rsidRDefault="007B3F92">
            <w:r w:rsidRPr="007B3F92">
              <w:t>Tech</w:t>
            </w:r>
          </w:p>
        </w:tc>
        <w:tc>
          <w:tcPr>
            <w:tcW w:w="5395" w:type="dxa"/>
            <w:noWrap/>
            <w:hideMark/>
          </w:tcPr>
          <w:p w14:paraId="7AACB32C" w14:textId="77777777" w:rsidR="007B3F92" w:rsidRPr="007B3F92" w:rsidRDefault="007B3F92">
            <w:r w:rsidRPr="007B3F92">
              <w:t>Cost Reference</w:t>
            </w:r>
          </w:p>
        </w:tc>
      </w:tr>
      <w:tr w:rsidR="007B3F92" w:rsidRPr="007B3F92" w14:paraId="492F464E" w14:textId="77777777" w:rsidTr="007B3F92">
        <w:trPr>
          <w:trHeight w:val="320"/>
        </w:trPr>
        <w:tc>
          <w:tcPr>
            <w:tcW w:w="1724" w:type="dxa"/>
            <w:noWrap/>
            <w:hideMark/>
          </w:tcPr>
          <w:p w14:paraId="37A19046" w14:textId="77777777" w:rsidR="007B3F92" w:rsidRPr="007B3F92" w:rsidRDefault="007B3F92">
            <w:r w:rsidRPr="007B3F92">
              <w:t>Renewable</w:t>
            </w:r>
          </w:p>
        </w:tc>
        <w:tc>
          <w:tcPr>
            <w:tcW w:w="2231" w:type="dxa"/>
            <w:noWrap/>
            <w:hideMark/>
          </w:tcPr>
          <w:p w14:paraId="4C2895F6" w14:textId="77777777" w:rsidR="007B3F92" w:rsidRPr="007B3F92" w:rsidRDefault="007B3F92">
            <w:r w:rsidRPr="007B3F92">
              <w:t>Onshore wind</w:t>
            </w:r>
          </w:p>
        </w:tc>
        <w:tc>
          <w:tcPr>
            <w:tcW w:w="5395" w:type="dxa"/>
            <w:noWrap/>
            <w:hideMark/>
          </w:tcPr>
          <w:p w14:paraId="4C0DD19D" w14:textId="77777777" w:rsidR="007B3F92" w:rsidRPr="007B3F92" w:rsidRDefault="007B3F92">
            <w:r w:rsidRPr="007B3F92">
              <w:t>NREL ATB moderate</w:t>
            </w:r>
          </w:p>
        </w:tc>
      </w:tr>
      <w:tr w:rsidR="007B3F92" w:rsidRPr="007B3F92" w14:paraId="76D30A4D" w14:textId="77777777" w:rsidTr="007B3F92">
        <w:trPr>
          <w:trHeight w:val="320"/>
        </w:trPr>
        <w:tc>
          <w:tcPr>
            <w:tcW w:w="1724" w:type="dxa"/>
            <w:noWrap/>
            <w:hideMark/>
          </w:tcPr>
          <w:p w14:paraId="35A9091C" w14:textId="77777777" w:rsidR="007B3F92" w:rsidRPr="007B3F92" w:rsidRDefault="007B3F92">
            <w:r w:rsidRPr="007B3F92">
              <w:t>Renewable</w:t>
            </w:r>
          </w:p>
        </w:tc>
        <w:tc>
          <w:tcPr>
            <w:tcW w:w="2231" w:type="dxa"/>
            <w:noWrap/>
            <w:hideMark/>
          </w:tcPr>
          <w:p w14:paraId="30CF4ACB" w14:textId="77777777" w:rsidR="007B3F92" w:rsidRPr="007B3F92" w:rsidRDefault="007B3F92">
            <w:r w:rsidRPr="007B3F92">
              <w:t>Offshore Wind</w:t>
            </w:r>
          </w:p>
        </w:tc>
        <w:tc>
          <w:tcPr>
            <w:tcW w:w="5395" w:type="dxa"/>
            <w:noWrap/>
            <w:hideMark/>
          </w:tcPr>
          <w:p w14:paraId="1B751C80" w14:textId="77777777" w:rsidR="007B3F92" w:rsidRPr="007B3F92" w:rsidRDefault="007B3F92">
            <w:r w:rsidRPr="007B3F92">
              <w:t>NREL ATB moderate</w:t>
            </w:r>
          </w:p>
        </w:tc>
      </w:tr>
      <w:tr w:rsidR="007B3F92" w:rsidRPr="007B3F92" w14:paraId="62FF7E9C" w14:textId="77777777" w:rsidTr="007B3F92">
        <w:trPr>
          <w:trHeight w:val="320"/>
        </w:trPr>
        <w:tc>
          <w:tcPr>
            <w:tcW w:w="1724" w:type="dxa"/>
            <w:noWrap/>
            <w:hideMark/>
          </w:tcPr>
          <w:p w14:paraId="193F27D5" w14:textId="77777777" w:rsidR="007B3F92" w:rsidRPr="007B3F92" w:rsidRDefault="007B3F92">
            <w:r w:rsidRPr="007B3F92">
              <w:t>Renewable</w:t>
            </w:r>
          </w:p>
        </w:tc>
        <w:tc>
          <w:tcPr>
            <w:tcW w:w="2231" w:type="dxa"/>
            <w:noWrap/>
            <w:hideMark/>
          </w:tcPr>
          <w:p w14:paraId="26E7D399" w14:textId="77777777" w:rsidR="007B3F92" w:rsidRPr="007B3F92" w:rsidRDefault="007B3F92">
            <w:r w:rsidRPr="007B3F92">
              <w:t>Solar</w:t>
            </w:r>
          </w:p>
        </w:tc>
        <w:tc>
          <w:tcPr>
            <w:tcW w:w="5395" w:type="dxa"/>
            <w:noWrap/>
            <w:hideMark/>
          </w:tcPr>
          <w:p w14:paraId="26AD576C" w14:textId="77777777" w:rsidR="007B3F92" w:rsidRPr="007B3F92" w:rsidRDefault="007B3F92">
            <w:r w:rsidRPr="007B3F92">
              <w:t>NREL ATB moderate</w:t>
            </w:r>
          </w:p>
        </w:tc>
      </w:tr>
      <w:tr w:rsidR="007B3F92" w:rsidRPr="007B3F92" w14:paraId="2FCB2295" w14:textId="77777777" w:rsidTr="007B3F92">
        <w:trPr>
          <w:trHeight w:val="320"/>
        </w:trPr>
        <w:tc>
          <w:tcPr>
            <w:tcW w:w="1724" w:type="dxa"/>
            <w:noWrap/>
            <w:hideMark/>
          </w:tcPr>
          <w:p w14:paraId="7EA8FF3C" w14:textId="77777777" w:rsidR="007B3F92" w:rsidRPr="007B3F92" w:rsidRDefault="007B3F92">
            <w:r w:rsidRPr="007B3F92">
              <w:lastRenderedPageBreak/>
              <w:t>Renewable</w:t>
            </w:r>
          </w:p>
        </w:tc>
        <w:tc>
          <w:tcPr>
            <w:tcW w:w="2231" w:type="dxa"/>
            <w:noWrap/>
            <w:hideMark/>
          </w:tcPr>
          <w:p w14:paraId="34549576" w14:textId="77777777" w:rsidR="007B3F92" w:rsidRPr="007B3F92" w:rsidRDefault="007B3F92">
            <w:r w:rsidRPr="007B3F92">
              <w:t>Nuclear</w:t>
            </w:r>
          </w:p>
        </w:tc>
        <w:tc>
          <w:tcPr>
            <w:tcW w:w="5395" w:type="dxa"/>
            <w:noWrap/>
            <w:hideMark/>
          </w:tcPr>
          <w:p w14:paraId="2BF6A2AA" w14:textId="77777777" w:rsidR="007B3F92" w:rsidRPr="007B3F92" w:rsidRDefault="007B3F92">
            <w:commentRangeStart w:id="0"/>
            <w:r w:rsidRPr="007B3F92">
              <w:t>LCOE from H2@Scale</w:t>
            </w:r>
            <w:commentRangeEnd w:id="0"/>
            <w:r w:rsidR="008B15E4">
              <w:rPr>
                <w:rStyle w:val="CommentReference"/>
              </w:rPr>
              <w:commentReference w:id="0"/>
            </w:r>
          </w:p>
        </w:tc>
      </w:tr>
      <w:tr w:rsidR="007B3F92" w:rsidRPr="007B3F92" w14:paraId="6DD16C5D" w14:textId="77777777" w:rsidTr="007B3F92">
        <w:trPr>
          <w:trHeight w:val="320"/>
        </w:trPr>
        <w:tc>
          <w:tcPr>
            <w:tcW w:w="1724" w:type="dxa"/>
            <w:noWrap/>
            <w:hideMark/>
          </w:tcPr>
          <w:p w14:paraId="1EFA8B44" w14:textId="77777777" w:rsidR="007B3F92" w:rsidRPr="007B3F92" w:rsidRDefault="007B3F92">
            <w:r w:rsidRPr="007B3F92">
              <w:t>Renewable</w:t>
            </w:r>
          </w:p>
        </w:tc>
        <w:tc>
          <w:tcPr>
            <w:tcW w:w="2231" w:type="dxa"/>
            <w:noWrap/>
            <w:hideMark/>
          </w:tcPr>
          <w:p w14:paraId="0CBD8114" w14:textId="77777777" w:rsidR="007B3F92" w:rsidRPr="007B3F92" w:rsidRDefault="007B3F92">
            <w:r w:rsidRPr="007B3F92">
              <w:t>Grid</w:t>
            </w:r>
          </w:p>
        </w:tc>
        <w:tc>
          <w:tcPr>
            <w:tcW w:w="5395" w:type="dxa"/>
            <w:noWrap/>
            <w:hideMark/>
          </w:tcPr>
          <w:p w14:paraId="5D0D99C8" w14:textId="7A44C957" w:rsidR="007B3F92" w:rsidRPr="007B3F92" w:rsidRDefault="007B3F92">
            <w:r w:rsidRPr="007B3F92">
              <w:t>NREL Cambium (Mid-case) for US national in hourly resolution (</w:t>
            </w:r>
            <w:r w:rsidR="00BB584B">
              <w:t>column name: ‘</w:t>
            </w:r>
            <w:proofErr w:type="spellStart"/>
            <w:r w:rsidRPr="007B3F92">
              <w:t>total_cost_enduse</w:t>
            </w:r>
            <w:proofErr w:type="spellEnd"/>
            <w:r w:rsidR="00BB584B">
              <w:t>’</w:t>
            </w:r>
            <w:r w:rsidRPr="007B3F92">
              <w:t>)</w:t>
            </w:r>
          </w:p>
        </w:tc>
      </w:tr>
      <w:tr w:rsidR="007B3F92" w:rsidRPr="007B3F92" w14:paraId="3D6AFF42" w14:textId="77777777" w:rsidTr="007B3F92">
        <w:trPr>
          <w:trHeight w:val="320"/>
        </w:trPr>
        <w:tc>
          <w:tcPr>
            <w:tcW w:w="1724" w:type="dxa"/>
            <w:noWrap/>
            <w:hideMark/>
          </w:tcPr>
          <w:p w14:paraId="16371C68" w14:textId="77777777" w:rsidR="007B3F92" w:rsidRPr="007B3F92" w:rsidRDefault="007B3F92">
            <w:r w:rsidRPr="007B3F92">
              <w:t>H2 production</w:t>
            </w:r>
          </w:p>
        </w:tc>
        <w:tc>
          <w:tcPr>
            <w:tcW w:w="2231" w:type="dxa"/>
            <w:noWrap/>
            <w:hideMark/>
          </w:tcPr>
          <w:p w14:paraId="5B49758E" w14:textId="77777777" w:rsidR="007B3F92" w:rsidRPr="007B3F92" w:rsidRDefault="007B3F92">
            <w:r w:rsidRPr="007B3F92">
              <w:t xml:space="preserve">PEM </w:t>
            </w:r>
            <w:proofErr w:type="spellStart"/>
            <w:r w:rsidRPr="007B3F92">
              <w:t>Electrolyzer</w:t>
            </w:r>
            <w:proofErr w:type="spellEnd"/>
          </w:p>
        </w:tc>
        <w:tc>
          <w:tcPr>
            <w:tcW w:w="5395" w:type="dxa"/>
            <w:noWrap/>
            <w:hideMark/>
          </w:tcPr>
          <w:p w14:paraId="2C2FB622" w14:textId="77777777" w:rsidR="007B3F92" w:rsidRPr="007B3F92" w:rsidRDefault="007B3F92">
            <w:r w:rsidRPr="007B3F92">
              <w:t>H2A</w:t>
            </w:r>
          </w:p>
        </w:tc>
      </w:tr>
      <w:tr w:rsidR="007B3F92" w:rsidRPr="007B3F92" w14:paraId="34E21C4F" w14:textId="77777777" w:rsidTr="007B3F92">
        <w:trPr>
          <w:trHeight w:val="320"/>
        </w:trPr>
        <w:tc>
          <w:tcPr>
            <w:tcW w:w="1724" w:type="dxa"/>
            <w:noWrap/>
            <w:hideMark/>
          </w:tcPr>
          <w:p w14:paraId="4CCF56B3" w14:textId="77777777" w:rsidR="007B3F92" w:rsidRPr="007B3F92" w:rsidRDefault="007B3F92">
            <w:r w:rsidRPr="007B3F92">
              <w:t>Storage</w:t>
            </w:r>
          </w:p>
        </w:tc>
        <w:tc>
          <w:tcPr>
            <w:tcW w:w="2231" w:type="dxa"/>
            <w:noWrap/>
            <w:hideMark/>
          </w:tcPr>
          <w:p w14:paraId="493DF50E" w14:textId="77777777" w:rsidR="007B3F92" w:rsidRPr="007B3F92" w:rsidRDefault="007B3F92">
            <w:r w:rsidRPr="007B3F92">
              <w:t>Geologic</w:t>
            </w:r>
          </w:p>
        </w:tc>
        <w:tc>
          <w:tcPr>
            <w:tcW w:w="5395" w:type="dxa"/>
            <w:noWrap/>
            <w:hideMark/>
          </w:tcPr>
          <w:p w14:paraId="68EF06BB"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720F6D14" w14:textId="77777777" w:rsidTr="007B3F92">
        <w:trPr>
          <w:trHeight w:val="320"/>
        </w:trPr>
        <w:tc>
          <w:tcPr>
            <w:tcW w:w="1724" w:type="dxa"/>
            <w:noWrap/>
            <w:hideMark/>
          </w:tcPr>
          <w:p w14:paraId="6164DD83" w14:textId="77777777" w:rsidR="007B3F92" w:rsidRPr="007B3F92" w:rsidRDefault="007B3F92">
            <w:r w:rsidRPr="007B3F92">
              <w:t>Storage</w:t>
            </w:r>
          </w:p>
        </w:tc>
        <w:tc>
          <w:tcPr>
            <w:tcW w:w="2231" w:type="dxa"/>
            <w:noWrap/>
            <w:hideMark/>
          </w:tcPr>
          <w:p w14:paraId="7592CA1F" w14:textId="77777777" w:rsidR="007B3F92" w:rsidRPr="007B3F92" w:rsidRDefault="007B3F92">
            <w:r w:rsidRPr="007B3F92">
              <w:t>Tank</w:t>
            </w:r>
          </w:p>
        </w:tc>
        <w:tc>
          <w:tcPr>
            <w:tcW w:w="5395" w:type="dxa"/>
            <w:noWrap/>
            <w:hideMark/>
          </w:tcPr>
          <w:p w14:paraId="1B60F7CE"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0FDF2540" w14:textId="77777777" w:rsidTr="007B3F92">
        <w:trPr>
          <w:trHeight w:val="320"/>
        </w:trPr>
        <w:tc>
          <w:tcPr>
            <w:tcW w:w="1724" w:type="dxa"/>
            <w:noWrap/>
            <w:hideMark/>
          </w:tcPr>
          <w:p w14:paraId="54D890E6" w14:textId="77777777" w:rsidR="007B3F92" w:rsidRPr="007B3F92" w:rsidRDefault="007B3F92">
            <w:r w:rsidRPr="007B3F92">
              <w:t>H2 Delivery</w:t>
            </w:r>
          </w:p>
        </w:tc>
        <w:tc>
          <w:tcPr>
            <w:tcW w:w="2231" w:type="dxa"/>
            <w:noWrap/>
            <w:hideMark/>
          </w:tcPr>
          <w:p w14:paraId="133BB27B" w14:textId="77777777" w:rsidR="007B3F92" w:rsidRPr="007B3F92" w:rsidRDefault="007B3F92">
            <w:r w:rsidRPr="007B3F92">
              <w:t>Pipeline</w:t>
            </w:r>
          </w:p>
        </w:tc>
        <w:tc>
          <w:tcPr>
            <w:tcW w:w="5395" w:type="dxa"/>
            <w:noWrap/>
            <w:hideMark/>
          </w:tcPr>
          <w:p w14:paraId="743AD3E0"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r w:rsidR="007B3F92" w:rsidRPr="007B3F92" w14:paraId="77084E86" w14:textId="77777777" w:rsidTr="007B3F92">
        <w:trPr>
          <w:trHeight w:val="320"/>
        </w:trPr>
        <w:tc>
          <w:tcPr>
            <w:tcW w:w="1724" w:type="dxa"/>
            <w:noWrap/>
            <w:hideMark/>
          </w:tcPr>
          <w:p w14:paraId="7EA4B8E0" w14:textId="77777777" w:rsidR="007B3F92" w:rsidRPr="007B3F92" w:rsidRDefault="007B3F92">
            <w:r w:rsidRPr="007B3F92">
              <w:t>H2 Delivery</w:t>
            </w:r>
          </w:p>
        </w:tc>
        <w:tc>
          <w:tcPr>
            <w:tcW w:w="2231" w:type="dxa"/>
            <w:noWrap/>
            <w:hideMark/>
          </w:tcPr>
          <w:p w14:paraId="10556529" w14:textId="77777777" w:rsidR="007B3F92" w:rsidRPr="007B3F92" w:rsidRDefault="007B3F92">
            <w:r w:rsidRPr="007B3F92">
              <w:t>Truck</w:t>
            </w:r>
          </w:p>
        </w:tc>
        <w:tc>
          <w:tcPr>
            <w:tcW w:w="5395" w:type="dxa"/>
            <w:noWrap/>
            <w:hideMark/>
          </w:tcPr>
          <w:p w14:paraId="37168C12" w14:textId="77777777" w:rsidR="007B3F92" w:rsidRPr="007B3F92" w:rsidRDefault="007B3F92">
            <w:r w:rsidRPr="007B3F92">
              <w:t xml:space="preserve">US number </w:t>
            </w:r>
            <w:proofErr w:type="gramStart"/>
            <w:r w:rsidRPr="007B3F92">
              <w:t>similar to</w:t>
            </w:r>
            <w:proofErr w:type="gramEnd"/>
            <w:r w:rsidRPr="007B3F92">
              <w:t xml:space="preserve"> NYSERDA, reference check with Jesse</w:t>
            </w:r>
          </w:p>
        </w:tc>
      </w:tr>
    </w:tbl>
    <w:p w14:paraId="1FEF6254" w14:textId="77777777" w:rsidR="00502F8B" w:rsidRDefault="00502F8B" w:rsidP="00502F8B"/>
    <w:p w14:paraId="6F603B48" w14:textId="71E793B9" w:rsidR="00BB584B" w:rsidRDefault="00BB584B" w:rsidP="00BB584B">
      <w:r>
        <w:t>Renewable Energy: Includes onshore wind, offshore wind, solar, and nuclear energy.</w:t>
      </w:r>
    </w:p>
    <w:p w14:paraId="7D769490" w14:textId="5C1B1FF5" w:rsidR="00BB584B" w:rsidRDefault="00BB584B" w:rsidP="00BB584B">
      <w:r>
        <w:t xml:space="preserve">H2 Production: Primarily relies on PEM (Proton Exchange Membrane) </w:t>
      </w:r>
      <w:proofErr w:type="spellStart"/>
      <w:r>
        <w:t>electrolyzers</w:t>
      </w:r>
      <w:proofErr w:type="spellEnd"/>
      <w:r>
        <w:t xml:space="preserve"> to convert renewable energy into hydrogen.</w:t>
      </w:r>
    </w:p>
    <w:p w14:paraId="1100FD66" w14:textId="17A5EEAC" w:rsidR="00BB584B" w:rsidRDefault="00BB584B" w:rsidP="00BB584B">
      <w:r>
        <w:t>Storage: Hydrogen can be stored in geological formations or tanks, providing flexibility and resilience to the supply chain.</w:t>
      </w:r>
    </w:p>
    <w:p w14:paraId="510E6E53" w14:textId="77777777" w:rsidR="00BB584B" w:rsidRDefault="00BB584B" w:rsidP="00BB584B">
      <w:r>
        <w:t>H2 Delivery: Includes pipelines and trucks, facilitating the distribution of hydrogen across various nodes and to end users.</w:t>
      </w:r>
    </w:p>
    <w:p w14:paraId="504D79E4" w14:textId="77777777" w:rsidR="00B75F8C" w:rsidRDefault="00B75F8C" w:rsidP="00502F8B"/>
    <w:p w14:paraId="7DD07F92" w14:textId="2A51CD2B" w:rsidR="00B75F8C" w:rsidRDefault="00B75F8C" w:rsidP="00B75F8C">
      <w:pPr>
        <w:pStyle w:val="Subtitle"/>
        <w:rPr>
          <w:b/>
          <w:bCs/>
        </w:rPr>
      </w:pPr>
      <w:r w:rsidRPr="00B75F8C">
        <w:rPr>
          <w:b/>
          <w:bCs/>
        </w:rPr>
        <w:t>Example Results:</w:t>
      </w:r>
    </w:p>
    <w:p w14:paraId="7D3E019D" w14:textId="77777777" w:rsidR="00717B42" w:rsidRPr="00717B42" w:rsidRDefault="00717B42" w:rsidP="00717B42"/>
    <w:p w14:paraId="117649BF" w14:textId="77777777" w:rsidR="00F26990" w:rsidRPr="00F26990" w:rsidRDefault="00F26990" w:rsidP="00F26990">
      <w:pPr>
        <w:spacing w:after="160" w:line="278" w:lineRule="auto"/>
        <w:rPr>
          <w:b/>
          <w:bCs/>
        </w:rPr>
      </w:pPr>
      <w:r w:rsidRPr="00F26990">
        <w:rPr>
          <w:b/>
          <w:bCs/>
        </w:rPr>
        <w:t>1.</w:t>
      </w:r>
      <w:r w:rsidRPr="00F26990">
        <w:rPr>
          <w:rFonts w:eastAsiaTheme="majorEastAsia"/>
          <w:b/>
          <w:bCs/>
        </w:rPr>
        <w:t> Hydrogen Cost Calculation: Total CAPEX, OPEX, and Levelized Costs</w:t>
      </w:r>
    </w:p>
    <w:p w14:paraId="01F7ECB2" w14:textId="77777777" w:rsidR="00F26990" w:rsidRPr="00F26990" w:rsidRDefault="00F26990" w:rsidP="00F26990">
      <w:pPr>
        <w:spacing w:after="160" w:line="278" w:lineRule="auto"/>
        <w:rPr>
          <w:b/>
          <w:bCs/>
        </w:rPr>
      </w:pPr>
      <w:r w:rsidRPr="00F26990">
        <w:rPr>
          <w:b/>
          <w:bCs/>
        </w:rPr>
        <w:t>a.</w:t>
      </w:r>
      <w:r w:rsidRPr="00F26990">
        <w:rPr>
          <w:rFonts w:eastAsiaTheme="majorEastAsia"/>
          <w:b/>
          <w:bCs/>
        </w:rPr>
        <w:t> Total CAPEX (Capital Expenditure)</w:t>
      </w:r>
    </w:p>
    <w:p w14:paraId="1F402702" w14:textId="133D2799" w:rsidR="00F26990" w:rsidRPr="00F26990" w:rsidRDefault="00F26990" w:rsidP="00F26990">
      <w:pPr>
        <w:spacing w:after="160" w:line="278" w:lineRule="auto"/>
      </w:pPr>
      <w:r w:rsidRPr="00F26990">
        <w:t>The total</w:t>
      </w:r>
      <w:r w:rsidRPr="00F26990">
        <w:rPr>
          <w:rFonts w:eastAsiaTheme="majorEastAsia"/>
        </w:rPr>
        <w:t> </w:t>
      </w:r>
      <w:r w:rsidRPr="00F26990">
        <w:rPr>
          <w:rFonts w:eastAsiaTheme="majorEastAsia"/>
          <w:b/>
          <w:bCs/>
        </w:rPr>
        <w:t>CAPEX</w:t>
      </w:r>
      <w:r w:rsidRPr="00F26990">
        <w:rPr>
          <w:rFonts w:eastAsiaTheme="majorEastAsia"/>
        </w:rPr>
        <w:t> </w:t>
      </w:r>
      <w:r w:rsidRPr="00F26990">
        <w:t xml:space="preserve">is the upfront cost required to build and install hydrogen production facilities, including the cost of renewable energy plants, </w:t>
      </w:r>
      <w:proofErr w:type="spellStart"/>
      <w:r w:rsidRPr="00F26990">
        <w:t>electrolyzers</w:t>
      </w:r>
      <w:proofErr w:type="spellEnd"/>
      <w:r w:rsidRPr="00F26990">
        <w:t xml:space="preserve">, storage units, and </w:t>
      </w:r>
      <w:r w:rsidR="00BB584B">
        <w:t>pipelines</w:t>
      </w:r>
      <w:r w:rsidRPr="00F26990">
        <w:t xml:space="preserve"> lines.</w:t>
      </w:r>
    </w:p>
    <w:p w14:paraId="6E1426F7" w14:textId="4C73360C" w:rsidR="009F30DA" w:rsidRPr="00F26990" w:rsidRDefault="009F30DA" w:rsidP="009F30DA">
      <w:pPr>
        <w:spacing w:after="160" w:line="278" w:lineRule="auto"/>
      </w:pPr>
      <m:oMathPara>
        <m:oMath>
          <m:r>
            <w:rPr>
              <w:rFonts w:ascii="Cambria Math" w:hAnsi="Cambria Math"/>
            </w:rPr>
            <m:t xml:space="preserve">Total </m:t>
          </m:r>
          <m:r>
            <w:rPr>
              <w:rFonts w:ascii="Cambria Math" w:hAnsi="Cambria Math"/>
            </w:rPr>
            <m:t>CAPEX</m:t>
          </m:r>
          <m:r>
            <w:rPr>
              <w:rFonts w:ascii="Cambria Math" w:hAnsi="Cambria Math"/>
            </w:rPr>
            <m:t xml:space="preserve">= </m:t>
          </m:r>
          <m:nary>
            <m:naryPr>
              <m:chr m:val="∑"/>
              <m:limLoc m:val="undOvr"/>
              <m:subHide m:val="1"/>
              <m:supHide m:val="1"/>
              <m:ctrlPr>
                <w:rPr>
                  <w:rFonts w:ascii="Cambria Math" w:eastAsiaTheme="minorHAnsi" w:hAnsi="Cambria Math" w:cstheme="minorBidi"/>
                  <w:i/>
                  <w:kern w:val="2"/>
                  <w14:ligatures w14:val="standardContextual"/>
                </w:rPr>
              </m:ctrlPr>
            </m:naryPr>
            <m:sub/>
            <m:sup/>
            <m:e>
              <m:sSub>
                <m:sSubPr>
                  <m:ctrlPr>
                    <w:rPr>
                      <w:rFonts w:ascii="Cambria Math" w:eastAsiaTheme="minorHAnsi" w:hAnsi="Cambria Math" w:cstheme="minorBidi"/>
                      <w:i/>
                      <w:kern w:val="2"/>
                      <w14:ligatures w14:val="standardContextual"/>
                    </w:rPr>
                  </m:ctrlPr>
                </m:sSubPr>
                <m:e>
                  <m:r>
                    <w:rPr>
                      <w:rFonts w:ascii="Cambria Math" w:hAnsi="Cambria Math"/>
                    </w:rPr>
                    <m:t>(</m:t>
                  </m:r>
                  <m:r>
                    <w:rPr>
                      <w:rFonts w:ascii="Cambria Math" w:hAnsi="Cambria Math"/>
                    </w:rPr>
                    <m:t>CAPEX</m:t>
                  </m:r>
                </m:e>
                <m:sub>
                  <m:r>
                    <w:rPr>
                      <w:rFonts w:ascii="Cambria Math" w:hAnsi="Cambria Math"/>
                    </w:rPr>
                    <m:t>RE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Electrolyzer</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Storage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CAPEX</m:t>
                  </m:r>
                </m:e>
                <m:sub>
                  <m:r>
                    <w:rPr>
                      <w:rFonts w:ascii="Cambria Math" w:hAnsi="Cambria Math"/>
                    </w:rPr>
                    <m:t>Transmission )</m:t>
                  </m:r>
                </m:sub>
              </m:sSub>
            </m:e>
          </m:nary>
        </m:oMath>
      </m:oMathPara>
    </w:p>
    <w:p w14:paraId="010A0814" w14:textId="44C5FEA8" w:rsidR="00B4020F" w:rsidRPr="00B4020F" w:rsidRDefault="00B4020F" w:rsidP="00B4020F">
      <w:r>
        <w:t xml:space="preserve">For RE, </w:t>
      </w:r>
      <w:proofErr w:type="spellStart"/>
      <w:r>
        <w:t>electrolyzer</w:t>
      </w:r>
      <w:proofErr w:type="spellEnd"/>
      <w:r>
        <w:t xml:space="preserve"> and storage units. </w:t>
      </w:r>
      <w:r w:rsidRPr="00B4020F">
        <w:rPr>
          <w:b/>
          <w:bCs/>
        </w:rPr>
        <w:t>Build costs</w:t>
      </w:r>
      <w:r>
        <w:t xml:space="preserve"> are inputs which are </w:t>
      </w:r>
      <w:r>
        <w:rPr>
          <w:color w:val="000000"/>
        </w:rPr>
        <w:t>t</w:t>
      </w:r>
      <w:r>
        <w:rPr>
          <w:color w:val="000000"/>
        </w:rPr>
        <w:t xml:space="preserve">he initial cost per unit capacity (e.g., dollars per kW or </w:t>
      </w:r>
      <w:r>
        <w:rPr>
          <w:color w:val="000000"/>
        </w:rPr>
        <w:t>kg</w:t>
      </w:r>
      <w:r>
        <w:rPr>
          <w:color w:val="000000"/>
        </w:rPr>
        <w:t>) for each type of technology is used. This can be derived from historical data, industry reports, or project-specific estimates.</w:t>
      </w:r>
      <w:r>
        <w:t xml:space="preserve"> </w:t>
      </w:r>
      <w:r>
        <w:rPr>
          <w:rStyle w:val="Strong"/>
          <w:rFonts w:eastAsiaTheme="majorEastAsia"/>
          <w:color w:val="000000"/>
        </w:rPr>
        <w:t>Zone Capacities</w:t>
      </w:r>
      <w:r>
        <w:rPr>
          <w:color w:val="000000"/>
        </w:rPr>
        <w:t xml:space="preserve"> is t</w:t>
      </w:r>
      <w:r>
        <w:rPr>
          <w:color w:val="000000"/>
        </w:rPr>
        <w:t>he total installed capacity in each zone</w:t>
      </w:r>
      <w:r>
        <w:rPr>
          <w:color w:val="000000"/>
        </w:rPr>
        <w:t>, which is the direct output from the model, this is multiplied</w:t>
      </w:r>
      <w:r>
        <w:rPr>
          <w:color w:val="000000"/>
        </w:rPr>
        <w:t xml:space="preserve"> by the</w:t>
      </w:r>
      <w:r>
        <w:rPr>
          <w:color w:val="000000"/>
        </w:rPr>
        <w:t xml:space="preserve"> annualized</w:t>
      </w:r>
      <w:r>
        <w:rPr>
          <w:color w:val="000000"/>
        </w:rPr>
        <w:t xml:space="preserve"> build cost</w:t>
      </w:r>
      <w:r>
        <w:rPr>
          <w:color w:val="000000"/>
        </w:rPr>
        <w:t xml:space="preserve"> based on project recovery </w:t>
      </w:r>
      <w:proofErr w:type="spellStart"/>
      <w:r>
        <w:rPr>
          <w:color w:val="000000"/>
        </w:rPr>
        <w:t>tme</w:t>
      </w:r>
      <w:proofErr w:type="spellEnd"/>
      <w:r>
        <w:rPr>
          <w:color w:val="000000"/>
        </w:rPr>
        <w:t xml:space="preserve"> to obtain the total CAPEX for each technology.</w:t>
      </w:r>
    </w:p>
    <w:p w14:paraId="78E49A24" w14:textId="77777777" w:rsidR="00B4020F" w:rsidRPr="00B4020F" w:rsidRDefault="00B4020F" w:rsidP="00B4020F">
      <w:pPr>
        <w:numPr>
          <w:ilvl w:val="0"/>
          <w:numId w:val="14"/>
        </w:numPr>
        <w:spacing w:before="100" w:beforeAutospacing="1" w:after="100" w:afterAutospacing="1"/>
        <w:rPr>
          <w:rStyle w:val="Strong"/>
          <w:b w:val="0"/>
          <w:bCs w:val="0"/>
          <w:color w:val="000000"/>
        </w:rPr>
      </w:pPr>
      <w:r>
        <w:rPr>
          <w:rStyle w:val="Strong"/>
          <w:rFonts w:eastAsiaTheme="majorEastAsia"/>
          <w:color w:val="000000"/>
        </w:rPr>
        <w:t>Formula:</w:t>
      </w:r>
    </w:p>
    <w:p w14:paraId="4D0A8DFB" w14:textId="4DB56791" w:rsidR="00B4020F" w:rsidRDefault="00B4020F" w:rsidP="00B4020F">
      <w:pPr>
        <w:numPr>
          <w:ilvl w:val="0"/>
          <w:numId w:val="14"/>
        </w:numPr>
        <w:spacing w:before="100" w:beforeAutospacing="1" w:after="100" w:afterAutospacing="1"/>
        <w:rPr>
          <w:color w:val="000000"/>
        </w:rPr>
      </w:pPr>
      <w:r w:rsidRPr="00B4020F">
        <w:rPr>
          <w:color w:val="000000"/>
        </w:rPr>
        <w:t>CAPEXRE​=Build </w:t>
      </w:r>
      <w:proofErr w:type="spellStart"/>
      <w:r w:rsidRPr="00B4020F">
        <w:rPr>
          <w:color w:val="000000"/>
        </w:rPr>
        <w:t>CostRE</w:t>
      </w:r>
      <w:proofErr w:type="spellEnd"/>
      <w:r w:rsidRPr="00B4020F">
        <w:rPr>
          <w:color w:val="000000"/>
        </w:rPr>
        <w:t>​×Zone </w:t>
      </w:r>
      <w:proofErr w:type="spellStart"/>
      <w:r w:rsidRPr="00B4020F">
        <w:rPr>
          <w:color w:val="000000"/>
        </w:rPr>
        <w:t>CapacitiesRE</w:t>
      </w:r>
      <w:proofErr w:type="spellEnd"/>
      <w:r w:rsidRPr="00B4020F">
        <w:rPr>
          <w:color w:val="000000"/>
        </w:rPr>
        <w:t>​</w:t>
      </w:r>
    </w:p>
    <w:p w14:paraId="1620A36B" w14:textId="77777777" w:rsidR="00B4020F" w:rsidRPr="00F26990" w:rsidRDefault="00B4020F" w:rsidP="00F26990">
      <w:pPr>
        <w:spacing w:after="160" w:line="278" w:lineRule="auto"/>
      </w:pPr>
    </w:p>
    <w:p w14:paraId="4BC1CE13" w14:textId="75A5AC15" w:rsidR="00F26990" w:rsidRPr="00F26990" w:rsidRDefault="00F26990" w:rsidP="00F26990">
      <w:pPr>
        <w:spacing w:after="160" w:line="278" w:lineRule="auto"/>
        <w:rPr>
          <w:b/>
          <w:bCs/>
        </w:rPr>
      </w:pPr>
      <w:r w:rsidRPr="00F26990">
        <w:rPr>
          <w:b/>
          <w:bCs/>
        </w:rPr>
        <w:t>b.</w:t>
      </w:r>
      <w:r w:rsidRPr="00F26990">
        <w:rPr>
          <w:rFonts w:eastAsiaTheme="majorEastAsia"/>
          <w:b/>
          <w:bCs/>
        </w:rPr>
        <w:t> OPEX (Operational Expenditure)</w:t>
      </w:r>
    </w:p>
    <w:p w14:paraId="650B9CE5" w14:textId="064B30DD" w:rsidR="00F26990" w:rsidRDefault="00F26990" w:rsidP="00F26990">
      <w:r w:rsidRPr="00F26990">
        <w:rPr>
          <w:rFonts w:eastAsiaTheme="majorEastAsia"/>
          <w:b/>
          <w:bCs/>
        </w:rPr>
        <w:lastRenderedPageBreak/>
        <w:t>OPEX</w:t>
      </w:r>
      <w:r w:rsidRPr="00F26990">
        <w:rPr>
          <w:rFonts w:eastAsiaTheme="majorEastAsia"/>
        </w:rPr>
        <w:t> </w:t>
      </w:r>
      <w:r w:rsidRPr="00F26990">
        <w:t xml:space="preserve">represents the ongoing costs of operating and maintaining the hydrogen production system, including fuel costs, maintenance, and operational labor for each component (renewables, </w:t>
      </w:r>
      <w:proofErr w:type="spellStart"/>
      <w:r w:rsidRPr="00F26990">
        <w:t>electrolyzers</w:t>
      </w:r>
      <w:proofErr w:type="spellEnd"/>
      <w:r w:rsidRPr="00F26990">
        <w:t>, storage, transmission).</w:t>
      </w:r>
      <w:r w:rsidR="00BB584B">
        <w:t xml:space="preserve"> </w:t>
      </w:r>
    </w:p>
    <w:p w14:paraId="08F4E28B" w14:textId="3759B15B" w:rsidR="00BB584B" w:rsidRPr="00F26990" w:rsidRDefault="00BB584B" w:rsidP="00F26990">
      <w:pPr>
        <w:spacing w:after="160" w:line="278" w:lineRule="auto"/>
      </w:pPr>
      <m:oMathPara>
        <m:oMath>
          <m:r>
            <w:rPr>
              <w:rFonts w:ascii="Cambria Math" w:hAnsi="Cambria Math"/>
            </w:rPr>
            <m:t xml:space="preserve">Total OPEX= </m:t>
          </m:r>
          <m:nary>
            <m:naryPr>
              <m:chr m:val="∑"/>
              <m:limLoc m:val="undOvr"/>
              <m:subHide m:val="1"/>
              <m:supHide m:val="1"/>
              <m:ctrlPr>
                <w:rPr>
                  <w:rFonts w:ascii="Cambria Math" w:eastAsiaTheme="minorHAnsi" w:hAnsi="Cambria Math" w:cstheme="minorBidi"/>
                  <w:i/>
                  <w:kern w:val="2"/>
                  <w14:ligatures w14:val="standardContextual"/>
                </w:rPr>
              </m:ctrlPr>
            </m:naryPr>
            <m:sub/>
            <m:sup/>
            <m:e>
              <m:sSub>
                <m:sSubPr>
                  <m:ctrlPr>
                    <w:rPr>
                      <w:rFonts w:ascii="Cambria Math" w:eastAsiaTheme="minorHAnsi" w:hAnsi="Cambria Math" w:cstheme="minorBidi"/>
                      <w:i/>
                      <w:kern w:val="2"/>
                      <w14:ligatures w14:val="standardContextual"/>
                    </w:rPr>
                  </m:ctrlPr>
                </m:sSubPr>
                <m:e>
                  <m:r>
                    <w:rPr>
                      <w:rFonts w:ascii="Cambria Math" w:hAnsi="Cambria Math"/>
                    </w:rPr>
                    <m:t>(</m:t>
                  </m:r>
                  <m:r>
                    <w:rPr>
                      <w:rFonts w:ascii="Cambria Math" w:hAnsi="Cambria Math"/>
                    </w:rPr>
                    <m:t>OPEX</m:t>
                  </m:r>
                </m:e>
                <m:sub>
                  <m:r>
                    <w:rPr>
                      <w:rFonts w:ascii="Cambria Math" w:hAnsi="Cambria Math"/>
                    </w:rPr>
                    <m:t>RE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Electrolyzer</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Storage</m:t>
                  </m:r>
                </m:sub>
              </m:sSub>
              <m:r>
                <w:rPr>
                  <w:rFonts w:ascii="Cambria Math" w:hAnsi="Cambria Math"/>
                </w:rPr>
                <m:t>+</m:t>
              </m:r>
              <m:sSub>
                <m:sSubPr>
                  <m:ctrlPr>
                    <w:rPr>
                      <w:rFonts w:ascii="Cambria Math" w:eastAsiaTheme="minorHAnsi" w:hAnsi="Cambria Math" w:cstheme="minorBidi"/>
                      <w:i/>
                      <w:kern w:val="2"/>
                      <w14:ligatures w14:val="standardContextual"/>
                    </w:rPr>
                  </m:ctrlPr>
                </m:sSubPr>
                <m:e>
                  <m:r>
                    <w:rPr>
                      <w:rFonts w:ascii="Cambria Math" w:hAnsi="Cambria Math"/>
                    </w:rPr>
                    <m:t>OPEX</m:t>
                  </m:r>
                </m:e>
                <m:sub>
                  <m:r>
                    <w:rPr>
                      <w:rFonts w:ascii="Cambria Math" w:hAnsi="Cambria Math"/>
                    </w:rPr>
                    <m:t xml:space="preserve">Transmission </m:t>
                  </m:r>
                  <m:r>
                    <w:rPr>
                      <w:rFonts w:ascii="Cambria Math" w:hAnsi="Cambria Math"/>
                    </w:rPr>
                    <m:t>)</m:t>
                  </m:r>
                </m:sub>
              </m:sSub>
            </m:e>
          </m:nary>
        </m:oMath>
      </m:oMathPara>
    </w:p>
    <w:p w14:paraId="0F7D75CB" w14:textId="77777777" w:rsidR="00B4020F" w:rsidRDefault="00B4020F" w:rsidP="00F26990">
      <w:pPr>
        <w:spacing w:after="160" w:line="278" w:lineRule="auto"/>
        <w:rPr>
          <w:rFonts w:eastAsiaTheme="majorEastAsia"/>
        </w:rPr>
      </w:pPr>
    </w:p>
    <w:p w14:paraId="4B9674A4" w14:textId="477931EF" w:rsidR="00F26990" w:rsidRPr="00F26990" w:rsidRDefault="00F26990" w:rsidP="00F26990">
      <w:pPr>
        <w:spacing w:after="160" w:line="278" w:lineRule="auto"/>
      </w:pPr>
      <w:r w:rsidRPr="00F26990">
        <w:t>The OPEX is typically expressed as a percentage of the CAPEX, depending on the specific component.</w:t>
      </w:r>
    </w:p>
    <w:p w14:paraId="66059DDA" w14:textId="77777777" w:rsidR="00F26990" w:rsidRPr="00F26990" w:rsidRDefault="00F26990" w:rsidP="00F26990">
      <w:pPr>
        <w:spacing w:after="160" w:line="278" w:lineRule="auto"/>
        <w:rPr>
          <w:b/>
          <w:bCs/>
        </w:rPr>
      </w:pPr>
      <w:r w:rsidRPr="00F26990">
        <w:rPr>
          <w:b/>
          <w:bCs/>
        </w:rPr>
        <w:t>c.</w:t>
      </w:r>
      <w:r w:rsidRPr="00F26990">
        <w:rPr>
          <w:rFonts w:eastAsiaTheme="majorEastAsia"/>
          <w:b/>
          <w:bCs/>
        </w:rPr>
        <w:t> Levelized Hydrogen Cost (LCOH)</w:t>
      </w:r>
    </w:p>
    <w:p w14:paraId="0085B214" w14:textId="77777777" w:rsidR="00F26990" w:rsidRPr="00F26990" w:rsidRDefault="00F26990" w:rsidP="00F26990">
      <w:pPr>
        <w:spacing w:after="160" w:line="278" w:lineRule="auto"/>
      </w:pPr>
      <w:r w:rsidRPr="00F26990">
        <w:t>The</w:t>
      </w:r>
      <w:r w:rsidRPr="00F26990">
        <w:rPr>
          <w:rFonts w:eastAsiaTheme="majorEastAsia"/>
        </w:rPr>
        <w:t> </w:t>
      </w:r>
      <w:r w:rsidRPr="00F26990">
        <w:rPr>
          <w:rFonts w:eastAsiaTheme="majorEastAsia"/>
          <w:b/>
          <w:bCs/>
        </w:rPr>
        <w:t>Levelized Cost of Hydrogen (LCOH)</w:t>
      </w:r>
      <w:r w:rsidRPr="00F26990">
        <w:rPr>
          <w:rFonts w:eastAsiaTheme="majorEastAsia"/>
        </w:rPr>
        <w:t> </w:t>
      </w:r>
      <w:r w:rsidRPr="00F26990">
        <w:t>is the average cost per unit of hydrogen produced, accounting for all capital and operating expenses over the system's lifetime. It combines both CAPEX and OPEX, divided by the total amount of hydrogen produced over the project's operational life.</w:t>
      </w:r>
    </w:p>
    <w:p w14:paraId="240D62BD" w14:textId="77777777" w:rsidR="00F26990" w:rsidRPr="00F26990" w:rsidRDefault="00F26990" w:rsidP="00F26990">
      <w:pPr>
        <w:spacing w:after="160" w:line="278" w:lineRule="auto"/>
      </w:pPr>
      <w:r w:rsidRPr="00F26990">
        <w:rPr>
          <w:rFonts w:eastAsiaTheme="majorEastAsia"/>
        </w:rPr>
        <w:t>LCOH=∑(CAPEX+</w:t>
      </w:r>
      <w:proofErr w:type="gramStart"/>
      <w:r w:rsidRPr="00F26990">
        <w:rPr>
          <w:rFonts w:eastAsiaTheme="majorEastAsia"/>
        </w:rPr>
        <w:t>OPEX)Total</w:t>
      </w:r>
      <w:proofErr w:type="gramEnd"/>
      <w:r w:rsidRPr="00F26990">
        <w:rPr>
          <w:rFonts w:eastAsiaTheme="majorEastAsia"/>
        </w:rPr>
        <w:t> Hydrogen Production (kg)LCOH</w:t>
      </w:r>
      <w:r w:rsidRPr="00F26990">
        <w:t>=</w:t>
      </w:r>
      <w:r w:rsidRPr="00F26990">
        <w:rPr>
          <w:rFonts w:eastAsiaTheme="majorEastAsia"/>
        </w:rPr>
        <w:t>Total Hydrogen Production (kg)</w:t>
      </w:r>
      <w:r w:rsidRPr="00F26990">
        <w:t>∑(</w:t>
      </w:r>
      <w:r w:rsidRPr="00F26990">
        <w:rPr>
          <w:rFonts w:eastAsiaTheme="majorEastAsia"/>
        </w:rPr>
        <w:t>CAPEX</w:t>
      </w:r>
      <w:r w:rsidRPr="00F26990">
        <w:t>+</w:t>
      </w:r>
      <w:r w:rsidRPr="00F26990">
        <w:rPr>
          <w:rFonts w:eastAsiaTheme="majorEastAsia"/>
        </w:rPr>
        <w:t>OPEX</w:t>
      </w:r>
      <w:r w:rsidRPr="00F26990">
        <w:t>)</w:t>
      </w:r>
      <w:r w:rsidRPr="00F26990">
        <w:rPr>
          <w:rFonts w:ascii="Arial" w:hAnsi="Arial" w:cs="Arial"/>
        </w:rPr>
        <w:t>​</w:t>
      </w:r>
    </w:p>
    <w:p w14:paraId="3091AC5A" w14:textId="77777777" w:rsidR="00F26990" w:rsidRPr="00F26990" w:rsidRDefault="00F26990" w:rsidP="00F26990">
      <w:pPr>
        <w:spacing w:after="160" w:line="278" w:lineRule="auto"/>
      </w:pPr>
      <w:r w:rsidRPr="00F26990">
        <w:t>The LCOH helps compare different hydrogen production methods by providing a single cost metric.</w:t>
      </w:r>
    </w:p>
    <w:p w14:paraId="5F8DC6CE" w14:textId="77777777" w:rsidR="00F26990" w:rsidRPr="00F26990" w:rsidRDefault="00F900F1" w:rsidP="00F26990">
      <w:pPr>
        <w:spacing w:after="160" w:line="278" w:lineRule="auto"/>
      </w:pPr>
      <w:r w:rsidRPr="00F900F1">
        <w:rPr>
          <w:noProof/>
          <w14:ligatures w14:val="standardContextual"/>
        </w:rPr>
        <w:pict w14:anchorId="3958FAE1">
          <v:rect id="_x0000_i1030" alt="" style="width:468pt;height:.05pt;mso-width-percent:0;mso-height-percent:0;mso-width-percent:0;mso-height-percent:0" o:hralign="center" o:hrstd="t" o:hr="t" fillcolor="#a0a0a0" stroked="f"/>
        </w:pict>
      </w:r>
    </w:p>
    <w:p w14:paraId="5D10C7AE" w14:textId="77777777" w:rsidR="00F26990" w:rsidRPr="00F26990" w:rsidRDefault="00F26990" w:rsidP="00F26990">
      <w:pPr>
        <w:spacing w:after="160" w:line="278" w:lineRule="auto"/>
        <w:rPr>
          <w:b/>
          <w:bCs/>
        </w:rPr>
      </w:pPr>
      <w:r w:rsidRPr="00F26990">
        <w:rPr>
          <w:b/>
          <w:bCs/>
        </w:rPr>
        <w:t>2.</w:t>
      </w:r>
      <w:r w:rsidRPr="00F26990">
        <w:rPr>
          <w:rFonts w:eastAsiaTheme="majorEastAsia"/>
          <w:b/>
          <w:bCs/>
        </w:rPr>
        <w:t> Transmission Infrastructure</w:t>
      </w:r>
    </w:p>
    <w:p w14:paraId="67C94383" w14:textId="77777777" w:rsidR="00F26990" w:rsidRPr="00F26990" w:rsidRDefault="00F26990" w:rsidP="00F26990">
      <w:pPr>
        <w:spacing w:after="160" w:line="278" w:lineRule="auto"/>
        <w:rPr>
          <w:b/>
          <w:bCs/>
        </w:rPr>
      </w:pPr>
      <w:r w:rsidRPr="00F26990">
        <w:rPr>
          <w:b/>
          <w:bCs/>
        </w:rPr>
        <w:t>a.</w:t>
      </w:r>
      <w:r w:rsidRPr="00F26990">
        <w:rPr>
          <w:rFonts w:eastAsiaTheme="majorEastAsia"/>
          <w:b/>
          <w:bCs/>
        </w:rPr>
        <w:t> Transmission Line Buildout</w:t>
      </w:r>
    </w:p>
    <w:p w14:paraId="2F2FE89C" w14:textId="77777777" w:rsidR="00F26990" w:rsidRPr="00F26990" w:rsidRDefault="00F26990" w:rsidP="00F26990">
      <w:pPr>
        <w:spacing w:after="160" w:line="278" w:lineRule="auto"/>
      </w:pPr>
      <w:r w:rsidRPr="00F26990">
        <w:t xml:space="preserve">The transmission infrastructure refers to the power lines required to transport renewable electricity from the generation sites to the </w:t>
      </w:r>
      <w:proofErr w:type="spellStart"/>
      <w:r w:rsidRPr="00F26990">
        <w:t>electrolyzers</w:t>
      </w:r>
      <w:proofErr w:type="spellEnd"/>
      <w:r w:rsidRPr="00F26990">
        <w:t>. The cost of transmission lines depends on their length and capacity, and the power losses incurred during transmission.</w:t>
      </w:r>
    </w:p>
    <w:p w14:paraId="5BFB715A" w14:textId="77777777" w:rsidR="00F26990" w:rsidRPr="00F26990" w:rsidRDefault="00F26990" w:rsidP="00F26990">
      <w:pPr>
        <w:spacing w:after="160" w:line="278" w:lineRule="auto"/>
      </w:pPr>
      <w:r w:rsidRPr="00F26990">
        <w:rPr>
          <w:rFonts w:eastAsiaTheme="majorEastAsia"/>
        </w:rPr>
        <w:t>Transmission Cost=</w:t>
      </w:r>
      <w:proofErr w:type="gramStart"/>
      <w:r w:rsidRPr="00F26990">
        <w:rPr>
          <w:rFonts w:eastAsiaTheme="majorEastAsia"/>
        </w:rPr>
        <w:t>∑(</w:t>
      </w:r>
      <w:proofErr w:type="gramEnd"/>
      <w:r w:rsidRPr="00F26990">
        <w:rPr>
          <w:rFonts w:eastAsiaTheme="majorEastAsia"/>
        </w:rPr>
        <w:t>Length of Transmission Line (km)×Cost per km)Transmission Cost</w:t>
      </w:r>
      <w:r w:rsidRPr="00F26990">
        <w:t>=∑(</w:t>
      </w:r>
      <w:r w:rsidRPr="00F26990">
        <w:rPr>
          <w:rFonts w:eastAsiaTheme="majorEastAsia"/>
        </w:rPr>
        <w:t>Length of Transmission Line (km)</w:t>
      </w:r>
      <w:r w:rsidRPr="00F26990">
        <w:t>×</w:t>
      </w:r>
      <w:r w:rsidRPr="00F26990">
        <w:rPr>
          <w:rFonts w:eastAsiaTheme="majorEastAsia"/>
        </w:rPr>
        <w:t>Cost per km</w:t>
      </w:r>
      <w:r w:rsidRPr="00F26990">
        <w:t>)</w:t>
      </w:r>
    </w:p>
    <w:p w14:paraId="58386AE0" w14:textId="77777777" w:rsidR="00F26990" w:rsidRPr="00F26990" w:rsidRDefault="00F26990" w:rsidP="00F26990">
      <w:pPr>
        <w:spacing w:after="160" w:line="278" w:lineRule="auto"/>
      </w:pPr>
      <w:r w:rsidRPr="00F26990">
        <w:t>Transmission losses must also be accounted for:</w:t>
      </w:r>
    </w:p>
    <w:p w14:paraId="076903C5" w14:textId="77777777" w:rsidR="00F26990" w:rsidRPr="00F26990" w:rsidRDefault="00F26990" w:rsidP="00F26990">
      <w:pPr>
        <w:spacing w:after="160" w:line="278" w:lineRule="auto"/>
      </w:pPr>
      <w:r w:rsidRPr="00F26990">
        <w:rPr>
          <w:rFonts w:eastAsiaTheme="majorEastAsia"/>
        </w:rPr>
        <w:t>Transmission Losses=Pinitial×(1−η</w:t>
      </w:r>
      <w:proofErr w:type="gramStart"/>
      <w:r w:rsidRPr="00F26990">
        <w:rPr>
          <w:rFonts w:eastAsiaTheme="majorEastAsia"/>
        </w:rPr>
        <w:t>transmission)Transmission</w:t>
      </w:r>
      <w:proofErr w:type="gramEnd"/>
      <w:r w:rsidRPr="00F26990">
        <w:rPr>
          <w:rFonts w:eastAsiaTheme="majorEastAsia"/>
        </w:rPr>
        <w:t> Losses</w:t>
      </w:r>
      <w:r w:rsidRPr="00F26990">
        <w:t>=</w:t>
      </w:r>
      <w:r w:rsidRPr="00F26990">
        <w:rPr>
          <w:rFonts w:eastAsiaTheme="majorEastAsia"/>
        </w:rPr>
        <w:t>Pinitial</w:t>
      </w:r>
      <w:r w:rsidRPr="00F26990">
        <w:rPr>
          <w:rFonts w:ascii="Arial" w:hAnsi="Arial" w:cs="Arial"/>
        </w:rPr>
        <w:t>​</w:t>
      </w:r>
      <w:r w:rsidRPr="00F26990">
        <w:t>×(</w:t>
      </w:r>
      <w:r w:rsidRPr="00F26990">
        <w:rPr>
          <w:rFonts w:eastAsiaTheme="majorEastAsia"/>
        </w:rPr>
        <w:t>1</w:t>
      </w:r>
      <w:r w:rsidRPr="00F26990">
        <w:t>−</w:t>
      </w:r>
      <w:r w:rsidRPr="00F26990">
        <w:rPr>
          <w:rFonts w:eastAsiaTheme="majorEastAsia"/>
        </w:rPr>
        <w:t>ηtransmission</w:t>
      </w:r>
      <w:r w:rsidRPr="00F26990">
        <w:rPr>
          <w:rFonts w:ascii="Arial" w:hAnsi="Arial" w:cs="Arial"/>
        </w:rPr>
        <w:t>​</w:t>
      </w:r>
      <w:r w:rsidRPr="00F26990">
        <w:t>)</w:t>
      </w:r>
    </w:p>
    <w:p w14:paraId="62C261B9" w14:textId="77777777" w:rsidR="00F26990" w:rsidRPr="00F26990" w:rsidRDefault="00F26990" w:rsidP="00F26990">
      <w:pPr>
        <w:spacing w:after="160" w:line="278" w:lineRule="auto"/>
      </w:pPr>
      <w:r w:rsidRPr="00F26990">
        <w:t>Where</w:t>
      </w:r>
      <w:r w:rsidRPr="00F26990">
        <w:rPr>
          <w:rFonts w:eastAsiaTheme="majorEastAsia"/>
        </w:rPr>
        <w:t> </w:t>
      </w:r>
      <w:proofErr w:type="spellStart"/>
      <w:r w:rsidRPr="00F26990">
        <w:rPr>
          <w:rFonts w:eastAsiaTheme="majorEastAsia"/>
        </w:rPr>
        <w:t>ηtransmissionηtransmission</w:t>
      </w:r>
      <w:proofErr w:type="spellEnd"/>
      <w:r w:rsidRPr="00F26990">
        <w:rPr>
          <w:rFonts w:ascii="Arial" w:hAnsi="Arial" w:cs="Arial"/>
        </w:rPr>
        <w:t>​</w:t>
      </w:r>
      <w:r w:rsidRPr="00F26990">
        <w:rPr>
          <w:rFonts w:eastAsiaTheme="majorEastAsia"/>
        </w:rPr>
        <w:t> </w:t>
      </w:r>
      <w:r w:rsidRPr="00F26990">
        <w:t>is the efficiency of the transmission system.</w:t>
      </w:r>
    </w:p>
    <w:p w14:paraId="562BE925" w14:textId="77777777" w:rsidR="00F26990" w:rsidRPr="00F26990" w:rsidRDefault="00F900F1" w:rsidP="00F26990">
      <w:pPr>
        <w:spacing w:after="160" w:line="278" w:lineRule="auto"/>
      </w:pPr>
      <w:r w:rsidRPr="00F900F1">
        <w:rPr>
          <w:noProof/>
          <w14:ligatures w14:val="standardContextual"/>
        </w:rPr>
        <w:pict w14:anchorId="259D5964">
          <v:rect id="_x0000_i1029" alt="" style="width:468pt;height:.05pt;mso-width-percent:0;mso-height-percent:0;mso-width-percent:0;mso-height-percent:0" o:hralign="center" o:hrstd="t" o:hr="t" fillcolor="#a0a0a0" stroked="f"/>
        </w:pict>
      </w:r>
    </w:p>
    <w:p w14:paraId="6D9C22B4" w14:textId="77777777" w:rsidR="00F26990" w:rsidRPr="00F26990" w:rsidRDefault="00F26990" w:rsidP="00F26990">
      <w:pPr>
        <w:spacing w:after="160" w:line="278" w:lineRule="auto"/>
        <w:rPr>
          <w:b/>
          <w:bCs/>
        </w:rPr>
      </w:pPr>
      <w:r w:rsidRPr="00F26990">
        <w:rPr>
          <w:b/>
          <w:bCs/>
        </w:rPr>
        <w:t>3.</w:t>
      </w:r>
      <w:r w:rsidRPr="00F26990">
        <w:rPr>
          <w:rFonts w:eastAsiaTheme="majorEastAsia"/>
          <w:b/>
          <w:bCs/>
        </w:rPr>
        <w:t xml:space="preserve"> Buildout Map and Capacity (Renewables + </w:t>
      </w:r>
      <w:proofErr w:type="spellStart"/>
      <w:r w:rsidRPr="00F26990">
        <w:rPr>
          <w:rFonts w:eastAsiaTheme="majorEastAsia"/>
          <w:b/>
          <w:bCs/>
        </w:rPr>
        <w:t>Electrolyzers</w:t>
      </w:r>
      <w:proofErr w:type="spellEnd"/>
      <w:r w:rsidRPr="00F26990">
        <w:rPr>
          <w:rFonts w:eastAsiaTheme="majorEastAsia"/>
          <w:b/>
          <w:bCs/>
        </w:rPr>
        <w:t>)</w:t>
      </w:r>
    </w:p>
    <w:p w14:paraId="19EC53AC" w14:textId="77777777" w:rsidR="00F26990" w:rsidRPr="00F26990" w:rsidRDefault="00F26990" w:rsidP="00F26990">
      <w:pPr>
        <w:spacing w:after="160" w:line="278" w:lineRule="auto"/>
        <w:rPr>
          <w:b/>
          <w:bCs/>
        </w:rPr>
      </w:pPr>
      <w:r w:rsidRPr="00F26990">
        <w:rPr>
          <w:b/>
          <w:bCs/>
        </w:rPr>
        <w:t>a.</w:t>
      </w:r>
      <w:r w:rsidRPr="00F26990">
        <w:rPr>
          <w:rFonts w:eastAsiaTheme="majorEastAsia"/>
          <w:b/>
          <w:bCs/>
        </w:rPr>
        <w:t> Renewable Energy Capacity</w:t>
      </w:r>
    </w:p>
    <w:p w14:paraId="1A529FC4" w14:textId="77777777" w:rsidR="00F26990" w:rsidRPr="00F26990" w:rsidRDefault="00F26990" w:rsidP="00F26990">
      <w:pPr>
        <w:spacing w:after="160" w:line="278" w:lineRule="auto"/>
      </w:pPr>
      <w:r w:rsidRPr="00F26990">
        <w:lastRenderedPageBreak/>
        <w:t>The capacity of renewable energy (RE) sources—such as solar, wind (onshore and offshore)—is an important factor in hydrogen production. The installed capacity is the maximum amount of electricity these sources can generate.</w:t>
      </w:r>
    </w:p>
    <w:p w14:paraId="6EC7D11B" w14:textId="77777777" w:rsidR="00F26990" w:rsidRPr="00F26990" w:rsidRDefault="00F26990" w:rsidP="00F26990">
      <w:pPr>
        <w:spacing w:after="160" w:line="278" w:lineRule="auto"/>
      </w:pPr>
      <w:r w:rsidRPr="00F26990">
        <w:rPr>
          <w:rFonts w:eastAsiaTheme="majorEastAsia"/>
        </w:rPr>
        <w:t>RE Capacity=</w:t>
      </w:r>
      <w:proofErr w:type="gramStart"/>
      <w:r w:rsidRPr="00F26990">
        <w:rPr>
          <w:rFonts w:eastAsiaTheme="majorEastAsia"/>
        </w:rPr>
        <w:t>∑(</w:t>
      </w:r>
      <w:proofErr w:type="gramEnd"/>
      <w:r w:rsidRPr="00F26990">
        <w:rPr>
          <w:rFonts w:eastAsiaTheme="majorEastAsia"/>
        </w:rPr>
        <w:t>Installed CapacitySolar+Installed CapacityOnshore Wind+Installed CapacityOffshore Wind)RE Capacity</w:t>
      </w:r>
      <w:r w:rsidRPr="00F26990">
        <w:t>=∑(</w:t>
      </w:r>
      <w:r w:rsidRPr="00F26990">
        <w:rPr>
          <w:rFonts w:eastAsiaTheme="majorEastAsia"/>
        </w:rPr>
        <w:t>Installed CapacitySolar</w:t>
      </w:r>
      <w:r w:rsidRPr="00F26990">
        <w:rPr>
          <w:rFonts w:ascii="Arial" w:hAnsi="Arial" w:cs="Arial"/>
        </w:rPr>
        <w:t>​</w:t>
      </w:r>
      <w:r w:rsidRPr="00F26990">
        <w:t>+</w:t>
      </w:r>
      <w:r w:rsidRPr="00F26990">
        <w:rPr>
          <w:rFonts w:eastAsiaTheme="majorEastAsia"/>
        </w:rPr>
        <w:t>Installed CapacityOnshore Wind</w:t>
      </w:r>
      <w:r w:rsidRPr="00F26990">
        <w:rPr>
          <w:rFonts w:ascii="Arial" w:hAnsi="Arial" w:cs="Arial"/>
        </w:rPr>
        <w:t>​</w:t>
      </w:r>
      <w:r w:rsidRPr="00F26990">
        <w:t>+</w:t>
      </w:r>
      <w:r w:rsidRPr="00F26990">
        <w:rPr>
          <w:rFonts w:eastAsiaTheme="majorEastAsia"/>
        </w:rPr>
        <w:t>Installed CapacityOffshore Wind</w:t>
      </w:r>
      <w:r w:rsidRPr="00F26990">
        <w:rPr>
          <w:rFonts w:ascii="Arial" w:hAnsi="Arial" w:cs="Arial"/>
        </w:rPr>
        <w:t>​</w:t>
      </w:r>
      <w:r w:rsidRPr="00F26990">
        <w:t>)</w:t>
      </w:r>
    </w:p>
    <w:p w14:paraId="02ADEDC7" w14:textId="77777777" w:rsidR="00F26990" w:rsidRPr="00F26990" w:rsidRDefault="00F26990" w:rsidP="00F26990">
      <w:pPr>
        <w:spacing w:after="160" w:line="278" w:lineRule="auto"/>
      </w:pPr>
      <w:r w:rsidRPr="00F26990">
        <w:t>The capacity determines the total potential for renewable energy production, but actual production is dependent on the capacity factor.</w:t>
      </w:r>
    </w:p>
    <w:p w14:paraId="65878D3C" w14:textId="77777777" w:rsidR="00F26990" w:rsidRPr="00F26990" w:rsidRDefault="00F26990" w:rsidP="00F26990">
      <w:pPr>
        <w:spacing w:after="160" w:line="278" w:lineRule="auto"/>
        <w:rPr>
          <w:b/>
          <w:bCs/>
        </w:rPr>
      </w:pPr>
      <w:r w:rsidRPr="00F26990">
        <w:rPr>
          <w:b/>
          <w:bCs/>
        </w:rPr>
        <w:t>b.</w:t>
      </w:r>
      <w:r w:rsidRPr="00F26990">
        <w:rPr>
          <w:rFonts w:eastAsiaTheme="majorEastAsia"/>
          <w:b/>
          <w:bCs/>
        </w:rPr>
        <w:t> </w:t>
      </w:r>
      <w:proofErr w:type="spellStart"/>
      <w:r w:rsidRPr="00F26990">
        <w:rPr>
          <w:rFonts w:eastAsiaTheme="majorEastAsia"/>
          <w:b/>
          <w:bCs/>
        </w:rPr>
        <w:t>Electrolyzer</w:t>
      </w:r>
      <w:proofErr w:type="spellEnd"/>
      <w:r w:rsidRPr="00F26990">
        <w:rPr>
          <w:rFonts w:eastAsiaTheme="majorEastAsia"/>
          <w:b/>
          <w:bCs/>
        </w:rPr>
        <w:t xml:space="preserve"> Capacity</w:t>
      </w:r>
    </w:p>
    <w:p w14:paraId="1C421B81" w14:textId="77777777" w:rsidR="00F26990" w:rsidRPr="00F26990" w:rsidRDefault="00F26990" w:rsidP="00F26990">
      <w:pPr>
        <w:spacing w:after="160" w:line="278" w:lineRule="auto"/>
      </w:pPr>
      <w:r w:rsidRPr="00F26990">
        <w:t xml:space="preserve">The </w:t>
      </w:r>
      <w:proofErr w:type="spellStart"/>
      <w:r w:rsidRPr="00F26990">
        <w:t>electrolyzer</w:t>
      </w:r>
      <w:proofErr w:type="spellEnd"/>
      <w:r w:rsidRPr="00F26990">
        <w:t xml:space="preserve"> capacity dictates how much hydrogen can be produced from electricity. The total installed </w:t>
      </w:r>
      <w:proofErr w:type="spellStart"/>
      <w:r w:rsidRPr="00F26990">
        <w:t>electrolyzer</w:t>
      </w:r>
      <w:proofErr w:type="spellEnd"/>
      <w:r w:rsidRPr="00F26990">
        <w:t xml:space="preserve"> capacity across all zones is:</w:t>
      </w:r>
    </w:p>
    <w:p w14:paraId="2F25F324" w14:textId="77777777" w:rsidR="00F26990" w:rsidRPr="00F26990" w:rsidRDefault="00F26990" w:rsidP="00F26990">
      <w:pPr>
        <w:spacing w:after="160" w:line="278" w:lineRule="auto"/>
      </w:pPr>
      <w:r w:rsidRPr="00F26990">
        <w:rPr>
          <w:rFonts w:eastAsiaTheme="majorEastAsia"/>
        </w:rPr>
        <w:t>Electrolyzer Capacity=</w:t>
      </w:r>
      <w:proofErr w:type="gramStart"/>
      <w:r w:rsidRPr="00F26990">
        <w:rPr>
          <w:rFonts w:eastAsiaTheme="majorEastAsia"/>
        </w:rPr>
        <w:t>∑(</w:t>
      </w:r>
      <w:proofErr w:type="gramEnd"/>
      <w:r w:rsidRPr="00F26990">
        <w:rPr>
          <w:rFonts w:eastAsiaTheme="majorEastAsia"/>
        </w:rPr>
        <w:t>Installed CapacityPEM Electrolyzer)Electrolyzer Capacity</w:t>
      </w:r>
      <w:r w:rsidRPr="00F26990">
        <w:t>=∑(</w:t>
      </w:r>
      <w:r w:rsidRPr="00F26990">
        <w:rPr>
          <w:rFonts w:eastAsiaTheme="majorEastAsia"/>
        </w:rPr>
        <w:t>Installed CapacityPEM Electrolyzer</w:t>
      </w:r>
      <w:r w:rsidRPr="00F26990">
        <w:rPr>
          <w:rFonts w:ascii="Arial" w:hAnsi="Arial" w:cs="Arial"/>
        </w:rPr>
        <w:t>​</w:t>
      </w:r>
      <w:r w:rsidRPr="00F26990">
        <w:t>)</w:t>
      </w:r>
    </w:p>
    <w:p w14:paraId="5DED664C" w14:textId="77777777" w:rsidR="00F26990" w:rsidRPr="00F26990" w:rsidRDefault="00F26990" w:rsidP="00F26990">
      <w:pPr>
        <w:spacing w:after="160" w:line="278" w:lineRule="auto"/>
      </w:pPr>
      <w:r w:rsidRPr="00F26990">
        <w:t xml:space="preserve">This capacity directly affects the hydrogen production rate, which is limited by both available electricity and </w:t>
      </w:r>
      <w:proofErr w:type="spellStart"/>
      <w:r w:rsidRPr="00F26990">
        <w:t>electrolyzer</w:t>
      </w:r>
      <w:proofErr w:type="spellEnd"/>
      <w:r w:rsidRPr="00F26990">
        <w:t xml:space="preserve"> capacity.</w:t>
      </w:r>
    </w:p>
    <w:p w14:paraId="777A509E" w14:textId="77777777" w:rsidR="00F26990" w:rsidRPr="00F26990" w:rsidRDefault="00F26990" w:rsidP="00F26990">
      <w:pPr>
        <w:spacing w:after="160" w:line="278" w:lineRule="auto"/>
        <w:rPr>
          <w:b/>
          <w:bCs/>
        </w:rPr>
      </w:pPr>
      <w:r w:rsidRPr="00F26990">
        <w:rPr>
          <w:b/>
          <w:bCs/>
        </w:rPr>
        <w:t>c.</w:t>
      </w:r>
      <w:r w:rsidRPr="00F26990">
        <w:rPr>
          <w:rFonts w:eastAsiaTheme="majorEastAsia"/>
          <w:b/>
          <w:bCs/>
        </w:rPr>
        <w:t> Buildout Map</w:t>
      </w:r>
    </w:p>
    <w:p w14:paraId="2A73A387" w14:textId="77777777" w:rsidR="00F26990" w:rsidRPr="00F26990" w:rsidRDefault="00F26990" w:rsidP="00F26990">
      <w:pPr>
        <w:spacing w:after="160" w:line="278" w:lineRule="auto"/>
      </w:pPr>
      <w:r w:rsidRPr="00F26990">
        <w:t xml:space="preserve">The buildout map visualizes where renewable energy plants, </w:t>
      </w:r>
      <w:proofErr w:type="spellStart"/>
      <w:r w:rsidRPr="00F26990">
        <w:t>electrolyzers</w:t>
      </w:r>
      <w:proofErr w:type="spellEnd"/>
      <w:r w:rsidRPr="00F26990">
        <w:t xml:space="preserve">, transmission lines, and storage units are located, along with their capacities. This helps optimize the system by reducing distances between components and ensuring an efficient supply of electricity to the </w:t>
      </w:r>
      <w:proofErr w:type="spellStart"/>
      <w:r w:rsidRPr="00F26990">
        <w:t>electrolyzers</w:t>
      </w:r>
      <w:proofErr w:type="spellEnd"/>
      <w:r w:rsidRPr="00F26990">
        <w:t>.</w:t>
      </w:r>
    </w:p>
    <w:p w14:paraId="31553BB3" w14:textId="77777777" w:rsidR="00F26990" w:rsidRPr="00F26990" w:rsidRDefault="00F900F1" w:rsidP="00F26990">
      <w:pPr>
        <w:spacing w:after="160" w:line="278" w:lineRule="auto"/>
      </w:pPr>
      <w:r w:rsidRPr="00F900F1">
        <w:rPr>
          <w:noProof/>
          <w14:ligatures w14:val="standardContextual"/>
        </w:rPr>
        <w:pict w14:anchorId="207B0807">
          <v:rect id="_x0000_i1028" alt="" style="width:468pt;height:.05pt;mso-width-percent:0;mso-height-percent:0;mso-width-percent:0;mso-height-percent:0" o:hralign="center" o:hrstd="t" o:hr="t" fillcolor="#a0a0a0" stroked="f"/>
        </w:pict>
      </w:r>
    </w:p>
    <w:p w14:paraId="2DE00AB6" w14:textId="77777777" w:rsidR="00F26990" w:rsidRPr="00F26990" w:rsidRDefault="00F26990" w:rsidP="00F26990">
      <w:pPr>
        <w:spacing w:after="160" w:line="278" w:lineRule="auto"/>
        <w:rPr>
          <w:b/>
          <w:bCs/>
        </w:rPr>
      </w:pPr>
      <w:r w:rsidRPr="00F26990">
        <w:rPr>
          <w:b/>
          <w:bCs/>
        </w:rPr>
        <w:t>4.</w:t>
      </w:r>
      <w:r w:rsidRPr="00F26990">
        <w:rPr>
          <w:rFonts w:eastAsiaTheme="majorEastAsia"/>
          <w:b/>
          <w:bCs/>
        </w:rPr>
        <w:t> Storage Buildout and Capacity</w:t>
      </w:r>
    </w:p>
    <w:p w14:paraId="0707A2F1" w14:textId="77777777" w:rsidR="00F26990" w:rsidRPr="00F26990" w:rsidRDefault="00F26990" w:rsidP="00F26990">
      <w:pPr>
        <w:spacing w:after="160" w:line="278" w:lineRule="auto"/>
        <w:rPr>
          <w:b/>
          <w:bCs/>
        </w:rPr>
      </w:pPr>
      <w:r w:rsidRPr="00F26990">
        <w:rPr>
          <w:b/>
          <w:bCs/>
        </w:rPr>
        <w:t>a.</w:t>
      </w:r>
      <w:r w:rsidRPr="00F26990">
        <w:rPr>
          <w:rFonts w:eastAsiaTheme="majorEastAsia"/>
          <w:b/>
          <w:bCs/>
        </w:rPr>
        <w:t> Storage Capacity</w:t>
      </w:r>
    </w:p>
    <w:p w14:paraId="4B029B37" w14:textId="77777777" w:rsidR="00F26990" w:rsidRPr="00F26990" w:rsidRDefault="00F26990" w:rsidP="00F26990">
      <w:pPr>
        <w:spacing w:after="160" w:line="278" w:lineRule="auto"/>
      </w:pPr>
      <w:r w:rsidRPr="00F26990">
        <w:t>Energy storage is used to smooth fluctuations in renewable electricity generation. Storage technologies (e.g., batteries, hydrogen storage tanks) are critical for balancing supply and demand in the hydrogen production process. The total installed storage capacity is:</w:t>
      </w:r>
    </w:p>
    <w:p w14:paraId="3E097881" w14:textId="77777777" w:rsidR="00F26990" w:rsidRPr="00F26990" w:rsidRDefault="00F26990" w:rsidP="00F26990">
      <w:pPr>
        <w:spacing w:after="160" w:line="278" w:lineRule="auto"/>
      </w:pPr>
      <w:r w:rsidRPr="00F26990">
        <w:rPr>
          <w:rFonts w:eastAsiaTheme="majorEastAsia"/>
        </w:rPr>
        <w:t>Storage Capacity=</w:t>
      </w:r>
      <w:proofErr w:type="gramStart"/>
      <w:r w:rsidRPr="00F26990">
        <w:rPr>
          <w:rFonts w:eastAsiaTheme="majorEastAsia"/>
        </w:rPr>
        <w:t>∑(</w:t>
      </w:r>
      <w:proofErr w:type="gramEnd"/>
      <w:r w:rsidRPr="00F26990">
        <w:rPr>
          <w:rFonts w:eastAsiaTheme="majorEastAsia"/>
        </w:rPr>
        <w:t>Installed CapacityBattery+Installed CapacityHydrogen Storage)Storage Capacity</w:t>
      </w:r>
      <w:r w:rsidRPr="00F26990">
        <w:t>=∑(</w:t>
      </w:r>
      <w:r w:rsidRPr="00F26990">
        <w:rPr>
          <w:rFonts w:eastAsiaTheme="majorEastAsia"/>
        </w:rPr>
        <w:t>Installed CapacityBattery</w:t>
      </w:r>
      <w:r w:rsidRPr="00F26990">
        <w:rPr>
          <w:rFonts w:ascii="Arial" w:hAnsi="Arial" w:cs="Arial"/>
        </w:rPr>
        <w:t>​</w:t>
      </w:r>
      <w:r w:rsidRPr="00F26990">
        <w:t>+</w:t>
      </w:r>
      <w:r w:rsidRPr="00F26990">
        <w:rPr>
          <w:rFonts w:eastAsiaTheme="majorEastAsia"/>
        </w:rPr>
        <w:t>Installed CapacityHydrogen Storage</w:t>
      </w:r>
      <w:r w:rsidRPr="00F26990">
        <w:rPr>
          <w:rFonts w:ascii="Arial" w:hAnsi="Arial" w:cs="Arial"/>
        </w:rPr>
        <w:t>​</w:t>
      </w:r>
      <w:r w:rsidRPr="00F26990">
        <w:t>)</w:t>
      </w:r>
    </w:p>
    <w:p w14:paraId="0C60B972" w14:textId="77777777" w:rsidR="00F26990" w:rsidRPr="00F26990" w:rsidRDefault="00F26990" w:rsidP="00F26990">
      <w:pPr>
        <w:spacing w:after="160" w:line="278" w:lineRule="auto"/>
      </w:pPr>
      <w:r w:rsidRPr="00F26990">
        <w:t>Storage is typically measured in MWh for batteries or kg for hydrogen storage.</w:t>
      </w:r>
    </w:p>
    <w:p w14:paraId="75B6EFF3" w14:textId="77777777" w:rsidR="00F26990" w:rsidRPr="00F26990" w:rsidRDefault="00F26990" w:rsidP="00F26990">
      <w:pPr>
        <w:spacing w:after="160" w:line="278" w:lineRule="auto"/>
        <w:rPr>
          <w:b/>
          <w:bCs/>
        </w:rPr>
      </w:pPr>
      <w:r w:rsidRPr="00F26990">
        <w:rPr>
          <w:b/>
          <w:bCs/>
        </w:rPr>
        <w:t>b.</w:t>
      </w:r>
      <w:r w:rsidRPr="00F26990">
        <w:rPr>
          <w:rFonts w:eastAsiaTheme="majorEastAsia"/>
          <w:b/>
          <w:bCs/>
        </w:rPr>
        <w:t> Storage Buildout Costs</w:t>
      </w:r>
    </w:p>
    <w:p w14:paraId="06203D8F" w14:textId="77777777" w:rsidR="00F26990" w:rsidRPr="00F26990" w:rsidRDefault="00F26990" w:rsidP="00F26990">
      <w:pPr>
        <w:spacing w:after="160" w:line="278" w:lineRule="auto"/>
      </w:pPr>
      <w:r w:rsidRPr="00F26990">
        <w:t xml:space="preserve">The cost of building storage infrastructure includes both CAPEX and OPEX, </w:t>
      </w:r>
      <w:proofErr w:type="gramStart"/>
      <w:r w:rsidRPr="00F26990">
        <w:t>similar to</w:t>
      </w:r>
      <w:proofErr w:type="gramEnd"/>
      <w:r w:rsidRPr="00F26990">
        <w:t xml:space="preserve"> other system components:</w:t>
      </w:r>
    </w:p>
    <w:p w14:paraId="1DE6493A" w14:textId="77777777" w:rsidR="00F26990" w:rsidRPr="00F26990" w:rsidRDefault="00F26990" w:rsidP="00F26990">
      <w:pPr>
        <w:spacing w:after="160" w:line="278" w:lineRule="auto"/>
      </w:pPr>
      <w:r w:rsidRPr="00F26990">
        <w:rPr>
          <w:rFonts w:eastAsiaTheme="majorEastAsia"/>
        </w:rPr>
        <w:lastRenderedPageBreak/>
        <w:t>Storage Buildout Cost=∑(CAPEXStorage+</w:t>
      </w:r>
      <w:proofErr w:type="gramStart"/>
      <w:r w:rsidRPr="00F26990">
        <w:rPr>
          <w:rFonts w:eastAsiaTheme="majorEastAsia"/>
        </w:rPr>
        <w:t>OPEXStorage)Storage</w:t>
      </w:r>
      <w:proofErr w:type="gramEnd"/>
      <w:r w:rsidRPr="00F26990">
        <w:rPr>
          <w:rFonts w:eastAsiaTheme="majorEastAsia"/>
        </w:rPr>
        <w:t> Buildout Cost</w:t>
      </w:r>
      <w:r w:rsidRPr="00F26990">
        <w:t>=∑(</w:t>
      </w:r>
      <w:r w:rsidRPr="00F26990">
        <w:rPr>
          <w:rFonts w:eastAsiaTheme="majorEastAsia"/>
        </w:rPr>
        <w:t>CAPEXStorage</w:t>
      </w:r>
      <w:r w:rsidRPr="00F26990">
        <w:rPr>
          <w:rFonts w:ascii="Arial" w:hAnsi="Arial" w:cs="Arial"/>
        </w:rPr>
        <w:t>​</w:t>
      </w:r>
      <w:r w:rsidRPr="00F26990">
        <w:t>+</w:t>
      </w:r>
      <w:r w:rsidRPr="00F26990">
        <w:rPr>
          <w:rFonts w:eastAsiaTheme="majorEastAsia"/>
        </w:rPr>
        <w:t>OPEXStorage</w:t>
      </w:r>
      <w:r w:rsidRPr="00F26990">
        <w:rPr>
          <w:rFonts w:ascii="Arial" w:hAnsi="Arial" w:cs="Arial"/>
        </w:rPr>
        <w:t>​</w:t>
      </w:r>
      <w:r w:rsidRPr="00F26990">
        <w:t>)</w:t>
      </w:r>
    </w:p>
    <w:p w14:paraId="26940B57" w14:textId="77777777" w:rsidR="00F26990" w:rsidRPr="00F26990" w:rsidRDefault="00F26990" w:rsidP="00F26990">
      <w:pPr>
        <w:spacing w:after="160" w:line="278" w:lineRule="auto"/>
      </w:pPr>
      <w:r w:rsidRPr="00F26990">
        <w:t>Storage systems enable the system to maintain continuous hydrogen production even during periods of low renewable generation.</w:t>
      </w:r>
    </w:p>
    <w:p w14:paraId="1883D735" w14:textId="77777777" w:rsidR="00F26990" w:rsidRPr="00F26990" w:rsidRDefault="00F900F1" w:rsidP="00F26990">
      <w:pPr>
        <w:spacing w:after="160" w:line="278" w:lineRule="auto"/>
      </w:pPr>
      <w:r w:rsidRPr="00F900F1">
        <w:rPr>
          <w:noProof/>
          <w14:ligatures w14:val="standardContextual"/>
        </w:rPr>
        <w:pict w14:anchorId="2AEFBEF3">
          <v:rect id="_x0000_i1027" alt="" style="width:468pt;height:.05pt;mso-width-percent:0;mso-height-percent:0;mso-width-percent:0;mso-height-percent:0" o:hralign="center" o:hrstd="t" o:hr="t" fillcolor="#a0a0a0" stroked="f"/>
        </w:pict>
      </w:r>
    </w:p>
    <w:p w14:paraId="14E3D47D" w14:textId="77777777" w:rsidR="00F26990" w:rsidRPr="00F26990" w:rsidRDefault="00F26990" w:rsidP="00F26990">
      <w:pPr>
        <w:spacing w:after="160" w:line="278" w:lineRule="auto"/>
        <w:rPr>
          <w:b/>
          <w:bCs/>
        </w:rPr>
      </w:pPr>
      <w:r w:rsidRPr="00F26990">
        <w:rPr>
          <w:b/>
          <w:bCs/>
        </w:rPr>
        <w:t>5.</w:t>
      </w:r>
      <w:r w:rsidRPr="00F26990">
        <w:rPr>
          <w:rFonts w:eastAsiaTheme="majorEastAsia"/>
          <w:b/>
          <w:bCs/>
        </w:rPr>
        <w:t xml:space="preserve"> Operating Dynamics for RE, </w:t>
      </w:r>
      <w:proofErr w:type="spellStart"/>
      <w:r w:rsidRPr="00F26990">
        <w:rPr>
          <w:rFonts w:eastAsiaTheme="majorEastAsia"/>
          <w:b/>
          <w:bCs/>
        </w:rPr>
        <w:t>Electrolyzers</w:t>
      </w:r>
      <w:proofErr w:type="spellEnd"/>
      <w:r w:rsidRPr="00F26990">
        <w:rPr>
          <w:rFonts w:eastAsiaTheme="majorEastAsia"/>
          <w:b/>
          <w:bCs/>
        </w:rPr>
        <w:t>, Transmission, and Storage</w:t>
      </w:r>
    </w:p>
    <w:p w14:paraId="035B76C9" w14:textId="77777777" w:rsidR="00F26990" w:rsidRPr="00F26990" w:rsidRDefault="00F26990" w:rsidP="00F26990">
      <w:pPr>
        <w:spacing w:after="160" w:line="278" w:lineRule="auto"/>
        <w:rPr>
          <w:b/>
          <w:bCs/>
        </w:rPr>
      </w:pPr>
      <w:r w:rsidRPr="00F26990">
        <w:rPr>
          <w:b/>
          <w:bCs/>
        </w:rPr>
        <w:t>a.</w:t>
      </w:r>
      <w:r w:rsidRPr="00F26990">
        <w:rPr>
          <w:rFonts w:eastAsiaTheme="majorEastAsia"/>
          <w:b/>
          <w:bCs/>
        </w:rPr>
        <w:t> Renewable Energy Operation</w:t>
      </w:r>
    </w:p>
    <w:p w14:paraId="66E8B969" w14:textId="77777777" w:rsidR="00F26990" w:rsidRPr="00F26990" w:rsidRDefault="00F26990" w:rsidP="00F26990">
      <w:pPr>
        <w:spacing w:after="160" w:line="278" w:lineRule="auto"/>
      </w:pPr>
      <w:r w:rsidRPr="00F26990">
        <w:t>Renewable energy sources operate intermittently depending on resource availability (sunlight for solar, wind speed for wind farms). Their operation is governed by the installed capacity and capacity factor:</w:t>
      </w:r>
    </w:p>
    <w:p w14:paraId="091DDA6C" w14:textId="77777777" w:rsidR="00F26990" w:rsidRPr="00F26990" w:rsidRDefault="00F26990" w:rsidP="00F26990">
      <w:pPr>
        <w:spacing w:after="160" w:line="278" w:lineRule="auto"/>
      </w:pPr>
      <w:r w:rsidRPr="00F26990">
        <w:rPr>
          <w:rFonts w:eastAsiaTheme="majorEastAsia"/>
        </w:rPr>
        <w:t>RE Operation (MWh)=Installed Capacity×Capacity Factor×8760 hours/yearRE Operation (MWh)</w:t>
      </w:r>
      <w:r w:rsidRPr="00F26990">
        <w:t>=</w:t>
      </w:r>
      <w:r w:rsidRPr="00F26990">
        <w:rPr>
          <w:rFonts w:eastAsiaTheme="majorEastAsia"/>
        </w:rPr>
        <w:t>Installed Capacity</w:t>
      </w:r>
      <w:r w:rsidRPr="00F26990">
        <w:t>×</w:t>
      </w:r>
      <w:r w:rsidRPr="00F26990">
        <w:rPr>
          <w:rFonts w:eastAsiaTheme="majorEastAsia"/>
        </w:rPr>
        <w:t>Capacity Factor</w:t>
      </w:r>
      <w:r w:rsidRPr="00F26990">
        <w:t>×</w:t>
      </w:r>
      <w:r w:rsidRPr="00F26990">
        <w:rPr>
          <w:rFonts w:eastAsiaTheme="majorEastAsia"/>
        </w:rPr>
        <w:t>8760 hours/year</w:t>
      </w:r>
    </w:p>
    <w:p w14:paraId="59511C94" w14:textId="77777777" w:rsidR="00F26990" w:rsidRPr="00F26990" w:rsidRDefault="00F26990" w:rsidP="00F26990">
      <w:pPr>
        <w:spacing w:after="160" w:line="278" w:lineRule="auto"/>
      </w:pPr>
      <w:r w:rsidRPr="00F26990">
        <w:t>The actual energy output depends on the hourly or seasonal resource availability and weather patterns.</w:t>
      </w:r>
    </w:p>
    <w:p w14:paraId="17C22E36" w14:textId="77777777" w:rsidR="00F26990" w:rsidRPr="00F26990" w:rsidRDefault="00F26990" w:rsidP="00F26990">
      <w:pPr>
        <w:spacing w:after="160" w:line="278" w:lineRule="auto"/>
        <w:rPr>
          <w:b/>
          <w:bCs/>
        </w:rPr>
      </w:pPr>
      <w:r w:rsidRPr="00F26990">
        <w:rPr>
          <w:b/>
          <w:bCs/>
        </w:rPr>
        <w:t>b.</w:t>
      </w:r>
      <w:r w:rsidRPr="00F26990">
        <w:rPr>
          <w:rFonts w:eastAsiaTheme="majorEastAsia"/>
          <w:b/>
          <w:bCs/>
        </w:rPr>
        <w:t> </w:t>
      </w:r>
      <w:proofErr w:type="spellStart"/>
      <w:r w:rsidRPr="00F26990">
        <w:rPr>
          <w:rFonts w:eastAsiaTheme="majorEastAsia"/>
          <w:b/>
          <w:bCs/>
        </w:rPr>
        <w:t>Electrolyzer</w:t>
      </w:r>
      <w:proofErr w:type="spellEnd"/>
      <w:r w:rsidRPr="00F26990">
        <w:rPr>
          <w:rFonts w:eastAsiaTheme="majorEastAsia"/>
          <w:b/>
          <w:bCs/>
        </w:rPr>
        <w:t xml:space="preserve"> Operation</w:t>
      </w:r>
    </w:p>
    <w:p w14:paraId="0F739C4C" w14:textId="77777777" w:rsidR="00F26990" w:rsidRPr="00F26990" w:rsidRDefault="00F26990" w:rsidP="00F26990">
      <w:pPr>
        <w:spacing w:after="160" w:line="278" w:lineRule="auto"/>
      </w:pPr>
      <w:proofErr w:type="spellStart"/>
      <w:r w:rsidRPr="00F26990">
        <w:t>Electrolyzers</w:t>
      </w:r>
      <w:proofErr w:type="spellEnd"/>
      <w:r w:rsidRPr="00F26990">
        <w:t xml:space="preserve"> operate based on the availability of electricity from renewable sources and grid electricity (if available). Their operational efficiency and capacity determine hydrogen production:</w:t>
      </w:r>
    </w:p>
    <w:p w14:paraId="613FB872" w14:textId="77777777" w:rsidR="00F26990" w:rsidRPr="00F26990" w:rsidRDefault="00F26990" w:rsidP="00F26990">
      <w:pPr>
        <w:spacing w:after="160" w:line="278" w:lineRule="auto"/>
      </w:pPr>
      <w:r w:rsidRPr="00F26990">
        <w:rPr>
          <w:rFonts w:eastAsiaTheme="majorEastAsia"/>
        </w:rPr>
        <w:t>Electrolyzer Operation (kg H</w:t>
      </w:r>
      <w:proofErr w:type="gramStart"/>
      <w:r w:rsidRPr="00F26990">
        <w:rPr>
          <w:rFonts w:eastAsiaTheme="majorEastAsia"/>
        </w:rPr>
        <w:t>2)=</w:t>
      </w:r>
      <w:proofErr w:type="gramEnd"/>
      <w:r w:rsidRPr="00F26990">
        <w:rPr>
          <w:rFonts w:eastAsiaTheme="majorEastAsia"/>
        </w:rPr>
        <w:t>Electricity Input (MWh)×ηelectrolyzerHydrogen Energy Content (MWh/kg)Electrolyzer Operation (kg H2</w:t>
      </w:r>
      <w:r w:rsidRPr="00F26990">
        <w:rPr>
          <w:rFonts w:ascii="Arial" w:hAnsi="Arial" w:cs="Arial"/>
        </w:rPr>
        <w:t>​</w:t>
      </w:r>
      <w:r w:rsidRPr="00F26990">
        <w:rPr>
          <w:rFonts w:eastAsiaTheme="majorEastAsia"/>
        </w:rPr>
        <w:t>)</w:t>
      </w:r>
      <w:r w:rsidRPr="00F26990">
        <w:t>=</w:t>
      </w:r>
      <w:r w:rsidRPr="00F26990">
        <w:rPr>
          <w:rFonts w:eastAsiaTheme="majorEastAsia"/>
        </w:rPr>
        <w:t>Hydrogen Energy Content (MWh/kg)Electricity Input (MWh)</w:t>
      </w:r>
      <w:r w:rsidRPr="00F26990">
        <w:t>×</w:t>
      </w:r>
      <w:r w:rsidRPr="00F26990">
        <w:rPr>
          <w:rFonts w:eastAsiaTheme="majorEastAsia"/>
        </w:rPr>
        <w:t>ηelectrolyzer</w:t>
      </w:r>
      <w:r w:rsidRPr="00F26990">
        <w:rPr>
          <w:rFonts w:ascii="Arial" w:hAnsi="Arial" w:cs="Arial"/>
        </w:rPr>
        <w:t>​​</w:t>
      </w:r>
    </w:p>
    <w:p w14:paraId="6493C707" w14:textId="77777777" w:rsidR="00F26990" w:rsidRPr="00F26990" w:rsidRDefault="00F26990" w:rsidP="00F26990">
      <w:pPr>
        <w:spacing w:after="160" w:line="278" w:lineRule="auto"/>
      </w:pPr>
      <w:r w:rsidRPr="00F26990">
        <w:t>Where</w:t>
      </w:r>
      <w:r w:rsidRPr="00F26990">
        <w:rPr>
          <w:rFonts w:eastAsiaTheme="majorEastAsia"/>
        </w:rPr>
        <w:t> </w:t>
      </w:r>
      <w:proofErr w:type="spellStart"/>
      <w:r w:rsidRPr="00F26990">
        <w:rPr>
          <w:rFonts w:eastAsiaTheme="majorEastAsia"/>
        </w:rPr>
        <w:t>ηelectrolyzerηelectrolyzer</w:t>
      </w:r>
      <w:proofErr w:type="spellEnd"/>
      <w:r w:rsidRPr="00F26990">
        <w:rPr>
          <w:rFonts w:ascii="Arial" w:hAnsi="Arial" w:cs="Arial"/>
        </w:rPr>
        <w:t>​</w:t>
      </w:r>
      <w:r w:rsidRPr="00F26990">
        <w:rPr>
          <w:rFonts w:eastAsiaTheme="majorEastAsia"/>
        </w:rPr>
        <w:t> </w:t>
      </w:r>
      <w:r w:rsidRPr="00F26990">
        <w:t xml:space="preserve">is the </w:t>
      </w:r>
      <w:proofErr w:type="spellStart"/>
      <w:r w:rsidRPr="00F26990">
        <w:t>electrolyzer</w:t>
      </w:r>
      <w:proofErr w:type="spellEnd"/>
      <w:r w:rsidRPr="00F26990">
        <w:t xml:space="preserve"> efficiency, and hydrogen energy content is 33.33 kWh/kg.</w:t>
      </w:r>
    </w:p>
    <w:p w14:paraId="14473AAD" w14:textId="77777777" w:rsidR="00F26990" w:rsidRPr="00F26990" w:rsidRDefault="00F26990" w:rsidP="00F26990">
      <w:pPr>
        <w:spacing w:after="160" w:line="278" w:lineRule="auto"/>
        <w:rPr>
          <w:b/>
          <w:bCs/>
        </w:rPr>
      </w:pPr>
      <w:r w:rsidRPr="00F26990">
        <w:rPr>
          <w:b/>
          <w:bCs/>
        </w:rPr>
        <w:t>c.</w:t>
      </w:r>
      <w:r w:rsidRPr="00F26990">
        <w:rPr>
          <w:rFonts w:eastAsiaTheme="majorEastAsia"/>
          <w:b/>
          <w:bCs/>
        </w:rPr>
        <w:t> Storage Operation</w:t>
      </w:r>
    </w:p>
    <w:p w14:paraId="0BA2BE3E" w14:textId="77777777" w:rsidR="00F26990" w:rsidRPr="00F26990" w:rsidRDefault="00F26990" w:rsidP="00F26990">
      <w:pPr>
        <w:spacing w:after="160" w:line="278" w:lineRule="auto"/>
      </w:pPr>
      <w:r w:rsidRPr="00F26990">
        <w:t>Storage systems store excess renewable energy or hydrogen and discharge it when required. Their operation depends on the state of charge or fill level and the round-trip efficiency:</w:t>
      </w:r>
    </w:p>
    <w:p w14:paraId="7D68F742" w14:textId="77777777" w:rsidR="00F26990" w:rsidRPr="00F26990" w:rsidRDefault="00F26990" w:rsidP="00F26990">
      <w:pPr>
        <w:spacing w:after="160" w:line="278" w:lineRule="auto"/>
      </w:pPr>
      <w:r w:rsidRPr="00F26990">
        <w:rPr>
          <w:rFonts w:eastAsiaTheme="majorEastAsia"/>
        </w:rPr>
        <w:t>Energy Discharged (MWh)=Energy Stored (MWh)×ηround-tripEnergy Discharged (MWh)</w:t>
      </w:r>
      <w:r w:rsidRPr="00F26990">
        <w:t>=</w:t>
      </w:r>
      <w:r w:rsidRPr="00F26990">
        <w:rPr>
          <w:rFonts w:eastAsiaTheme="majorEastAsia"/>
        </w:rPr>
        <w:t>Energy Stored (MWh)</w:t>
      </w:r>
      <w:r w:rsidRPr="00F26990">
        <w:t>×</w:t>
      </w:r>
      <w:r w:rsidRPr="00F26990">
        <w:rPr>
          <w:rFonts w:eastAsiaTheme="majorEastAsia"/>
        </w:rPr>
        <w:t>ηround-trip</w:t>
      </w:r>
      <w:r w:rsidRPr="00F26990">
        <w:rPr>
          <w:rFonts w:ascii="Arial" w:hAnsi="Arial" w:cs="Arial"/>
        </w:rPr>
        <w:t>​</w:t>
      </w:r>
    </w:p>
    <w:p w14:paraId="3EE29BA8" w14:textId="77777777" w:rsidR="00F26990" w:rsidRPr="00F26990" w:rsidRDefault="00F26990" w:rsidP="00F26990">
      <w:pPr>
        <w:spacing w:after="160" w:line="278" w:lineRule="auto"/>
      </w:pPr>
      <w:r w:rsidRPr="00F26990">
        <w:t>Where</w:t>
      </w:r>
      <w:r w:rsidRPr="00F26990">
        <w:rPr>
          <w:rFonts w:eastAsiaTheme="majorEastAsia"/>
        </w:rPr>
        <w:t> </w:t>
      </w:r>
      <w:proofErr w:type="spellStart"/>
      <w:r w:rsidRPr="00F26990">
        <w:rPr>
          <w:rFonts w:eastAsiaTheme="majorEastAsia"/>
        </w:rPr>
        <w:t>ηround</w:t>
      </w:r>
      <w:proofErr w:type="spellEnd"/>
      <w:r w:rsidRPr="00F26990">
        <w:rPr>
          <w:rFonts w:eastAsiaTheme="majorEastAsia"/>
        </w:rPr>
        <w:t>-</w:t>
      </w:r>
      <w:proofErr w:type="spellStart"/>
      <w:r w:rsidRPr="00F26990">
        <w:rPr>
          <w:rFonts w:eastAsiaTheme="majorEastAsia"/>
        </w:rPr>
        <w:t>tripηround</w:t>
      </w:r>
      <w:proofErr w:type="spellEnd"/>
      <w:r w:rsidRPr="00F26990">
        <w:rPr>
          <w:rFonts w:eastAsiaTheme="majorEastAsia"/>
        </w:rPr>
        <w:t>-trip</w:t>
      </w:r>
      <w:r w:rsidRPr="00F26990">
        <w:rPr>
          <w:rFonts w:ascii="Arial" w:hAnsi="Arial" w:cs="Arial"/>
        </w:rPr>
        <w:t>​</w:t>
      </w:r>
      <w:r w:rsidRPr="00F26990">
        <w:rPr>
          <w:rFonts w:eastAsiaTheme="majorEastAsia"/>
        </w:rPr>
        <w:t> </w:t>
      </w:r>
      <w:r w:rsidRPr="00F26990">
        <w:t>is the storage system's efficiency during the charge-discharge cycle.</w:t>
      </w:r>
    </w:p>
    <w:p w14:paraId="167A5F77" w14:textId="77777777" w:rsidR="00F26990" w:rsidRPr="00F26990" w:rsidRDefault="00F900F1" w:rsidP="00F26990">
      <w:pPr>
        <w:spacing w:after="160" w:line="278" w:lineRule="auto"/>
      </w:pPr>
      <w:r w:rsidRPr="00F900F1">
        <w:rPr>
          <w:noProof/>
          <w14:ligatures w14:val="standardContextual"/>
        </w:rPr>
        <w:pict w14:anchorId="4A7D31EA">
          <v:rect id="_x0000_i1026" alt="" style="width:468pt;height:.05pt;mso-width-percent:0;mso-height-percent:0;mso-width-percent:0;mso-height-percent:0" o:hralign="center" o:hrstd="t" o:hr="t" fillcolor="#a0a0a0" stroked="f"/>
        </w:pict>
      </w:r>
    </w:p>
    <w:p w14:paraId="6FAD0D21" w14:textId="77777777" w:rsidR="00F26990" w:rsidRPr="00F26990" w:rsidRDefault="00F26990" w:rsidP="00F26990">
      <w:pPr>
        <w:spacing w:after="160" w:line="278" w:lineRule="auto"/>
        <w:rPr>
          <w:b/>
          <w:bCs/>
        </w:rPr>
      </w:pPr>
      <w:r w:rsidRPr="00F26990">
        <w:rPr>
          <w:b/>
          <w:bCs/>
        </w:rPr>
        <w:t>6.</w:t>
      </w:r>
      <w:r w:rsidRPr="00F26990">
        <w:rPr>
          <w:rFonts w:eastAsiaTheme="majorEastAsia"/>
          <w:b/>
          <w:bCs/>
        </w:rPr>
        <w:t> Levelized Cost of Electricity (LCOE) and Capacity Factors</w:t>
      </w:r>
    </w:p>
    <w:p w14:paraId="5CDD8DF8" w14:textId="77777777" w:rsidR="00F26990" w:rsidRPr="00F26990" w:rsidRDefault="00F26990" w:rsidP="00F26990">
      <w:pPr>
        <w:spacing w:after="160" w:line="278" w:lineRule="auto"/>
        <w:rPr>
          <w:b/>
          <w:bCs/>
        </w:rPr>
      </w:pPr>
      <w:r w:rsidRPr="00F26990">
        <w:rPr>
          <w:b/>
          <w:bCs/>
        </w:rPr>
        <w:lastRenderedPageBreak/>
        <w:t>a.</w:t>
      </w:r>
      <w:r w:rsidRPr="00F26990">
        <w:rPr>
          <w:rFonts w:eastAsiaTheme="majorEastAsia"/>
          <w:b/>
          <w:bCs/>
        </w:rPr>
        <w:t> Levelized Cost of Electricity (LCOE)</w:t>
      </w:r>
    </w:p>
    <w:p w14:paraId="3A9C3AFC" w14:textId="77777777" w:rsidR="00F26990" w:rsidRPr="00F26990" w:rsidRDefault="00F26990" w:rsidP="00F26990">
      <w:pPr>
        <w:spacing w:after="160" w:line="278" w:lineRule="auto"/>
      </w:pPr>
      <w:r w:rsidRPr="00F26990">
        <w:t>The</w:t>
      </w:r>
      <w:r w:rsidRPr="00F26990">
        <w:rPr>
          <w:rFonts w:eastAsiaTheme="majorEastAsia"/>
        </w:rPr>
        <w:t> </w:t>
      </w:r>
      <w:r w:rsidRPr="00F26990">
        <w:rPr>
          <w:rFonts w:eastAsiaTheme="majorEastAsia"/>
          <w:b/>
          <w:bCs/>
        </w:rPr>
        <w:t>Levelized Cost of Electricity (LCOE)</w:t>
      </w:r>
      <w:r w:rsidRPr="00F26990">
        <w:rPr>
          <w:rFonts w:eastAsiaTheme="majorEastAsia"/>
        </w:rPr>
        <w:t> </w:t>
      </w:r>
      <w:r w:rsidRPr="00F26990">
        <w:t>is the cost per unit of electricity generated by renewable sources, considering CAPEX, OPEX, and total electricity production over the asset's lifetime.</w:t>
      </w:r>
    </w:p>
    <w:p w14:paraId="168FB1DD" w14:textId="77777777" w:rsidR="00F26990" w:rsidRPr="00F26990" w:rsidRDefault="00F26990" w:rsidP="00F26990">
      <w:pPr>
        <w:spacing w:after="160" w:line="278" w:lineRule="auto"/>
      </w:pPr>
      <w:r w:rsidRPr="00F26990">
        <w:rPr>
          <w:rFonts w:eastAsiaTheme="majorEastAsia"/>
        </w:rPr>
        <w:t>LCOE=Total CAPEX+Total OPEXTotal Electricity Produced (MWh)LCOE</w:t>
      </w:r>
      <w:r w:rsidRPr="00F26990">
        <w:t>=</w:t>
      </w:r>
      <w:r w:rsidRPr="00F26990">
        <w:rPr>
          <w:rFonts w:eastAsiaTheme="majorEastAsia"/>
        </w:rPr>
        <w:t>Total Electricity Produced (MWh)Total CAPEX</w:t>
      </w:r>
      <w:r w:rsidRPr="00F26990">
        <w:t>+</w:t>
      </w:r>
      <w:r w:rsidRPr="00F26990">
        <w:rPr>
          <w:rFonts w:eastAsiaTheme="majorEastAsia"/>
        </w:rPr>
        <w:t>Total OPEX</w:t>
      </w:r>
      <w:r w:rsidRPr="00F26990">
        <w:rPr>
          <w:rFonts w:ascii="Arial" w:hAnsi="Arial" w:cs="Arial"/>
        </w:rPr>
        <w:t>​</w:t>
      </w:r>
    </w:p>
    <w:p w14:paraId="21A7165F" w14:textId="77777777" w:rsidR="00F26990" w:rsidRPr="00F26990" w:rsidRDefault="00F26990" w:rsidP="00F26990">
      <w:pPr>
        <w:spacing w:after="160" w:line="278" w:lineRule="auto"/>
      </w:pPr>
      <w:r w:rsidRPr="00F26990">
        <w:t>This provides a useful metric for comparing the cost-effectiveness of different renewable energy technologies.</w:t>
      </w:r>
    </w:p>
    <w:p w14:paraId="2211FF00" w14:textId="77777777" w:rsidR="00F26990" w:rsidRPr="00F26990" w:rsidRDefault="00F26990" w:rsidP="00F26990">
      <w:pPr>
        <w:spacing w:after="160" w:line="278" w:lineRule="auto"/>
        <w:rPr>
          <w:b/>
          <w:bCs/>
        </w:rPr>
      </w:pPr>
      <w:r w:rsidRPr="00F26990">
        <w:rPr>
          <w:b/>
          <w:bCs/>
        </w:rPr>
        <w:t>b.</w:t>
      </w:r>
      <w:r w:rsidRPr="00F26990">
        <w:rPr>
          <w:rFonts w:eastAsiaTheme="majorEastAsia"/>
          <w:b/>
          <w:bCs/>
        </w:rPr>
        <w:t> Capacity Factor (CF)</w:t>
      </w:r>
    </w:p>
    <w:p w14:paraId="2770573A" w14:textId="77777777" w:rsidR="00F26990" w:rsidRPr="00F26990" w:rsidRDefault="00F26990" w:rsidP="00F26990">
      <w:pPr>
        <w:spacing w:after="160" w:line="278" w:lineRule="auto"/>
      </w:pPr>
      <w:r w:rsidRPr="00F26990">
        <w:t>The</w:t>
      </w:r>
      <w:r w:rsidRPr="00F26990">
        <w:rPr>
          <w:rFonts w:eastAsiaTheme="majorEastAsia"/>
        </w:rPr>
        <w:t> </w:t>
      </w:r>
      <w:r w:rsidRPr="00F26990">
        <w:rPr>
          <w:rFonts w:eastAsiaTheme="majorEastAsia"/>
          <w:b/>
          <w:bCs/>
        </w:rPr>
        <w:t>Capacity Factor</w:t>
      </w:r>
      <w:r w:rsidRPr="00F26990">
        <w:rPr>
          <w:rFonts w:eastAsiaTheme="majorEastAsia"/>
        </w:rPr>
        <w:t> </w:t>
      </w:r>
      <w:r w:rsidRPr="00F26990">
        <w:t>measures the actual output of a power generation technology compared to its maximum possible output.</w:t>
      </w:r>
    </w:p>
    <w:p w14:paraId="1BCF16B4" w14:textId="77777777" w:rsidR="00F26990" w:rsidRPr="00F26990" w:rsidRDefault="00F26990" w:rsidP="00F26990">
      <w:pPr>
        <w:numPr>
          <w:ilvl w:val="0"/>
          <w:numId w:val="12"/>
        </w:numPr>
        <w:spacing w:after="160" w:line="278" w:lineRule="auto"/>
      </w:pPr>
      <w:r w:rsidRPr="00F26990">
        <w:rPr>
          <w:rFonts w:eastAsiaTheme="majorEastAsia"/>
          <w:b/>
          <w:bCs/>
        </w:rPr>
        <w:t>Renewable Energy Capacity Factor</w:t>
      </w:r>
      <w:r w:rsidRPr="00F26990">
        <w:t>:</w:t>
      </w:r>
    </w:p>
    <w:p w14:paraId="72A6A791" w14:textId="77777777" w:rsidR="00F26990" w:rsidRPr="00F26990" w:rsidRDefault="00F26990" w:rsidP="00F26990">
      <w:pPr>
        <w:spacing w:after="160" w:line="278" w:lineRule="auto"/>
      </w:pPr>
      <w:r w:rsidRPr="00F26990">
        <w:rPr>
          <w:rFonts w:eastAsiaTheme="majorEastAsia"/>
        </w:rPr>
        <w:t>CFrenewable=Total Renewable Production (MWh)Installed Capacity (MW)×8760 hours/yearCFrenewable</w:t>
      </w:r>
      <w:r w:rsidRPr="00F26990">
        <w:rPr>
          <w:rFonts w:ascii="Arial" w:hAnsi="Arial" w:cs="Arial"/>
        </w:rPr>
        <w:t>​</w:t>
      </w:r>
      <w:r w:rsidRPr="00F26990">
        <w:t>=</w:t>
      </w:r>
      <w:r w:rsidRPr="00F26990">
        <w:rPr>
          <w:rFonts w:eastAsiaTheme="majorEastAsia"/>
        </w:rPr>
        <w:t>Installed Capacity (MW)</w:t>
      </w:r>
      <w:r w:rsidRPr="00F26990">
        <w:t>×</w:t>
      </w:r>
      <w:r w:rsidRPr="00F26990">
        <w:rPr>
          <w:rFonts w:eastAsiaTheme="majorEastAsia"/>
        </w:rPr>
        <w:t>8760 hours/yearTotal Renewable Production (MWh)</w:t>
      </w:r>
      <w:r w:rsidRPr="00F26990">
        <w:rPr>
          <w:rFonts w:ascii="Arial" w:hAnsi="Arial" w:cs="Arial"/>
        </w:rPr>
        <w:t>​</w:t>
      </w:r>
    </w:p>
    <w:p w14:paraId="7E775E02" w14:textId="77777777" w:rsidR="00F26990" w:rsidRPr="00F26990" w:rsidRDefault="00F26990" w:rsidP="00F26990">
      <w:pPr>
        <w:numPr>
          <w:ilvl w:val="0"/>
          <w:numId w:val="13"/>
        </w:numPr>
        <w:spacing w:after="160" w:line="278" w:lineRule="auto"/>
      </w:pPr>
      <w:proofErr w:type="spellStart"/>
      <w:r w:rsidRPr="00F26990">
        <w:rPr>
          <w:rFonts w:eastAsiaTheme="majorEastAsia"/>
          <w:b/>
          <w:bCs/>
        </w:rPr>
        <w:t>Electrolyzer</w:t>
      </w:r>
      <w:proofErr w:type="spellEnd"/>
      <w:r w:rsidRPr="00F26990">
        <w:rPr>
          <w:rFonts w:eastAsiaTheme="majorEastAsia"/>
          <w:b/>
          <w:bCs/>
        </w:rPr>
        <w:t xml:space="preserve"> Capacity Factor</w:t>
      </w:r>
      <w:r w:rsidRPr="00F26990">
        <w:t>:</w:t>
      </w:r>
    </w:p>
    <w:p w14:paraId="445E6824" w14:textId="77777777" w:rsidR="00F26990" w:rsidRPr="00F26990" w:rsidRDefault="00F26990" w:rsidP="00F26990">
      <w:pPr>
        <w:spacing w:after="160" w:line="278" w:lineRule="auto"/>
      </w:pPr>
      <w:r w:rsidRPr="00F26990">
        <w:rPr>
          <w:rFonts w:eastAsiaTheme="majorEastAsia"/>
        </w:rPr>
        <w:t>CFelectrolyzer=Total Electricity Consumed by Electrolyzers (MWh)Installed Electrolyzer Capacity (MW)×8760 hours/yearCFelectrolyzer</w:t>
      </w:r>
      <w:r w:rsidRPr="00F26990">
        <w:rPr>
          <w:rFonts w:ascii="Arial" w:hAnsi="Arial" w:cs="Arial"/>
        </w:rPr>
        <w:t>​</w:t>
      </w:r>
      <w:r w:rsidRPr="00F26990">
        <w:t>=</w:t>
      </w:r>
      <w:r w:rsidRPr="00F26990">
        <w:rPr>
          <w:rFonts w:eastAsiaTheme="majorEastAsia"/>
        </w:rPr>
        <w:t>Installed Electrolyzer Capacity (MW)</w:t>
      </w:r>
      <w:r w:rsidRPr="00F26990">
        <w:t>×</w:t>
      </w:r>
      <w:r w:rsidRPr="00F26990">
        <w:rPr>
          <w:rFonts w:eastAsiaTheme="majorEastAsia"/>
        </w:rPr>
        <w:t>8760 hours/yearTotal Electricity Consumed by Electrolyzers (MWh)</w:t>
      </w:r>
      <w:r w:rsidRPr="00F26990">
        <w:rPr>
          <w:rFonts w:ascii="Arial" w:hAnsi="Arial" w:cs="Arial"/>
        </w:rPr>
        <w:t>​</w:t>
      </w:r>
    </w:p>
    <w:p w14:paraId="74CDF8D4" w14:textId="77777777" w:rsidR="00F26990" w:rsidRPr="00F26990" w:rsidRDefault="00F26990" w:rsidP="00F26990">
      <w:pPr>
        <w:spacing w:after="160" w:line="278" w:lineRule="auto"/>
      </w:pPr>
      <w:r w:rsidRPr="00F26990">
        <w:t>Capacity factors help in assessing the utilization of installed capacity and optimizing system performance.</w:t>
      </w:r>
    </w:p>
    <w:p w14:paraId="1CCFCF5C" w14:textId="77777777" w:rsidR="00F26990" w:rsidRPr="00F26990" w:rsidRDefault="00F900F1" w:rsidP="00F26990">
      <w:pPr>
        <w:spacing w:after="160" w:line="278" w:lineRule="auto"/>
      </w:pPr>
      <w:r w:rsidRPr="00F900F1">
        <w:rPr>
          <w:noProof/>
          <w14:ligatures w14:val="standardContextual"/>
        </w:rPr>
        <w:pict w14:anchorId="3FF0BC58">
          <v:rect id="_x0000_i1025" alt="" style="width:468pt;height:.05pt;mso-width-percent:0;mso-height-percent:0;mso-width-percent:0;mso-height-percent:0" o:hralign="center" o:hrstd="t" o:hr="t" fillcolor="#a0a0a0" stroked="f"/>
        </w:pict>
      </w:r>
    </w:p>
    <w:p w14:paraId="6B52B717" w14:textId="77777777" w:rsidR="00F26990" w:rsidRPr="00F26990" w:rsidRDefault="00F26990" w:rsidP="00F26990">
      <w:pPr>
        <w:spacing w:after="160" w:line="278" w:lineRule="auto"/>
        <w:rPr>
          <w:b/>
          <w:bCs/>
        </w:rPr>
      </w:pPr>
      <w:r w:rsidRPr="00F26990">
        <w:rPr>
          <w:b/>
          <w:bCs/>
        </w:rPr>
        <w:t>Summary</w:t>
      </w:r>
    </w:p>
    <w:p w14:paraId="5F46CFCF" w14:textId="77777777" w:rsidR="00F26990" w:rsidRPr="00F26990" w:rsidRDefault="00F26990" w:rsidP="00F26990">
      <w:pPr>
        <w:spacing w:after="160" w:line="278" w:lineRule="auto"/>
      </w:pPr>
      <w:r w:rsidRPr="00F26990">
        <w:t>This documentation provides an overview of the key concepts, formulas, and methodologies needed to derive essential results for hydrogen production systems. By calculating Total CAPEX, OPEX, LCOE, Capacity Factors, and other metrics, users can evaluate the technical and economic performance of hydrogen production facilities based on renewable energy sources and optimize the system for cost-effective, large-scale hydrogen production.</w:t>
      </w:r>
    </w:p>
    <w:p w14:paraId="34D67D90" w14:textId="17785A39" w:rsidR="002C34F9" w:rsidRDefault="002C34F9" w:rsidP="002C34F9"/>
    <w:sectPr w:rsidR="002C34F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Li, Yijin" w:date="2024-09-10T20:58:00Z" w:initials="LY">
    <w:p w14:paraId="5235BA77" w14:textId="77777777" w:rsidR="008B15E4" w:rsidRDefault="008B15E4" w:rsidP="008B15E4">
      <w:r>
        <w:rPr>
          <w:rStyle w:val="CommentReference"/>
        </w:rPr>
        <w:annotationRef/>
      </w:r>
      <w:r>
        <w:rPr>
          <w:color w:val="000000"/>
          <w:sz w:val="20"/>
          <w:szCs w:val="20"/>
        </w:rPr>
        <w:t xml:space="preserve">Joe, I think you put in a CAPEX for this? Not a fixed LCOE is used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235BA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A778143" w16cex:dateUtc="2024-09-11T0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235BA77" w16cid:durableId="6A7781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716AA"/>
    <w:multiLevelType w:val="multilevel"/>
    <w:tmpl w:val="6464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C10C4"/>
    <w:multiLevelType w:val="multilevel"/>
    <w:tmpl w:val="CB6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44A9E"/>
    <w:multiLevelType w:val="multilevel"/>
    <w:tmpl w:val="A354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ED7A2F"/>
    <w:multiLevelType w:val="multilevel"/>
    <w:tmpl w:val="7FD8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A618B"/>
    <w:multiLevelType w:val="multilevel"/>
    <w:tmpl w:val="9AD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85B57"/>
    <w:multiLevelType w:val="multilevel"/>
    <w:tmpl w:val="E9F4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A27EA"/>
    <w:multiLevelType w:val="multilevel"/>
    <w:tmpl w:val="1002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66883"/>
    <w:multiLevelType w:val="multilevel"/>
    <w:tmpl w:val="4D9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EC3C0B"/>
    <w:multiLevelType w:val="multilevel"/>
    <w:tmpl w:val="6A0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943E2"/>
    <w:multiLevelType w:val="multilevel"/>
    <w:tmpl w:val="E48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57F9D"/>
    <w:multiLevelType w:val="multilevel"/>
    <w:tmpl w:val="230C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1329D4"/>
    <w:multiLevelType w:val="multilevel"/>
    <w:tmpl w:val="A95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23538"/>
    <w:multiLevelType w:val="multilevel"/>
    <w:tmpl w:val="CBBE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E61E1"/>
    <w:multiLevelType w:val="multilevel"/>
    <w:tmpl w:val="731A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194757">
    <w:abstractNumId w:val="2"/>
  </w:num>
  <w:num w:numId="2" w16cid:durableId="1995334099">
    <w:abstractNumId w:val="13"/>
  </w:num>
  <w:num w:numId="3" w16cid:durableId="1734545967">
    <w:abstractNumId w:val="4"/>
  </w:num>
  <w:num w:numId="4" w16cid:durableId="413745101">
    <w:abstractNumId w:val="6"/>
  </w:num>
  <w:num w:numId="5" w16cid:durableId="836920962">
    <w:abstractNumId w:val="8"/>
  </w:num>
  <w:num w:numId="6" w16cid:durableId="939409087">
    <w:abstractNumId w:val="9"/>
  </w:num>
  <w:num w:numId="7" w16cid:durableId="1233543803">
    <w:abstractNumId w:val="7"/>
  </w:num>
  <w:num w:numId="8" w16cid:durableId="958339376">
    <w:abstractNumId w:val="10"/>
  </w:num>
  <w:num w:numId="9" w16cid:durableId="1195994525">
    <w:abstractNumId w:val="1"/>
  </w:num>
  <w:num w:numId="10" w16cid:durableId="236284365">
    <w:abstractNumId w:val="11"/>
  </w:num>
  <w:num w:numId="11" w16cid:durableId="169762844">
    <w:abstractNumId w:val="5"/>
  </w:num>
  <w:num w:numId="12" w16cid:durableId="196359157">
    <w:abstractNumId w:val="3"/>
  </w:num>
  <w:num w:numId="13" w16cid:durableId="534998797">
    <w:abstractNumId w:val="0"/>
  </w:num>
  <w:num w:numId="14" w16cid:durableId="111837870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i, Yijin">
    <w15:presenceInfo w15:providerId="AD" w15:userId="S::yli6@nrel.gov::edae5541-7fb9-41b6-b415-ed39d6d065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8B"/>
    <w:rsid w:val="00193926"/>
    <w:rsid w:val="002C34F9"/>
    <w:rsid w:val="00405AFE"/>
    <w:rsid w:val="0042760D"/>
    <w:rsid w:val="00434603"/>
    <w:rsid w:val="00502F8B"/>
    <w:rsid w:val="00717B42"/>
    <w:rsid w:val="00754626"/>
    <w:rsid w:val="007B3F92"/>
    <w:rsid w:val="007E74BA"/>
    <w:rsid w:val="00820D54"/>
    <w:rsid w:val="008B15E4"/>
    <w:rsid w:val="009F3038"/>
    <w:rsid w:val="009F30DA"/>
    <w:rsid w:val="00B4020F"/>
    <w:rsid w:val="00B46B16"/>
    <w:rsid w:val="00B75F8C"/>
    <w:rsid w:val="00BA021E"/>
    <w:rsid w:val="00BB584B"/>
    <w:rsid w:val="00BF255D"/>
    <w:rsid w:val="00CB0470"/>
    <w:rsid w:val="00F26990"/>
    <w:rsid w:val="00F90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0AB64"/>
  <w15:chartTrackingRefBased/>
  <w15:docId w15:val="{83021928-5E74-9C40-9E87-0BC123F5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20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02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2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2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2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2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2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2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8B"/>
    <w:rPr>
      <w:rFonts w:eastAsiaTheme="majorEastAsia" w:cstheme="majorBidi"/>
      <w:color w:val="272727" w:themeColor="text1" w:themeTint="D8"/>
    </w:rPr>
  </w:style>
  <w:style w:type="paragraph" w:styleId="Title">
    <w:name w:val="Title"/>
    <w:basedOn w:val="Normal"/>
    <w:next w:val="Normal"/>
    <w:link w:val="TitleChar"/>
    <w:uiPriority w:val="10"/>
    <w:qFormat/>
    <w:rsid w:val="00502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8B"/>
    <w:pPr>
      <w:spacing w:before="160"/>
      <w:jc w:val="center"/>
    </w:pPr>
    <w:rPr>
      <w:i/>
      <w:iCs/>
      <w:color w:val="404040" w:themeColor="text1" w:themeTint="BF"/>
    </w:rPr>
  </w:style>
  <w:style w:type="character" w:customStyle="1" w:styleId="QuoteChar">
    <w:name w:val="Quote Char"/>
    <w:basedOn w:val="DefaultParagraphFont"/>
    <w:link w:val="Quote"/>
    <w:uiPriority w:val="29"/>
    <w:rsid w:val="00502F8B"/>
    <w:rPr>
      <w:i/>
      <w:iCs/>
      <w:color w:val="404040" w:themeColor="text1" w:themeTint="BF"/>
    </w:rPr>
  </w:style>
  <w:style w:type="paragraph" w:styleId="ListParagraph">
    <w:name w:val="List Paragraph"/>
    <w:basedOn w:val="Normal"/>
    <w:uiPriority w:val="34"/>
    <w:qFormat/>
    <w:rsid w:val="00502F8B"/>
    <w:pPr>
      <w:ind w:left="720"/>
      <w:contextualSpacing/>
    </w:pPr>
  </w:style>
  <w:style w:type="character" w:styleId="IntenseEmphasis">
    <w:name w:val="Intense Emphasis"/>
    <w:basedOn w:val="DefaultParagraphFont"/>
    <w:uiPriority w:val="21"/>
    <w:qFormat/>
    <w:rsid w:val="00502F8B"/>
    <w:rPr>
      <w:i/>
      <w:iCs/>
      <w:color w:val="0F4761" w:themeColor="accent1" w:themeShade="BF"/>
    </w:rPr>
  </w:style>
  <w:style w:type="paragraph" w:styleId="IntenseQuote">
    <w:name w:val="Intense Quote"/>
    <w:basedOn w:val="Normal"/>
    <w:next w:val="Normal"/>
    <w:link w:val="IntenseQuoteChar"/>
    <w:uiPriority w:val="30"/>
    <w:qFormat/>
    <w:rsid w:val="00502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F8B"/>
    <w:rPr>
      <w:i/>
      <w:iCs/>
      <w:color w:val="0F4761" w:themeColor="accent1" w:themeShade="BF"/>
    </w:rPr>
  </w:style>
  <w:style w:type="character" w:styleId="IntenseReference">
    <w:name w:val="Intense Reference"/>
    <w:basedOn w:val="DefaultParagraphFont"/>
    <w:uiPriority w:val="32"/>
    <w:qFormat/>
    <w:rsid w:val="00502F8B"/>
    <w:rPr>
      <w:b/>
      <w:bCs/>
      <w:smallCaps/>
      <w:color w:val="0F4761" w:themeColor="accent1" w:themeShade="BF"/>
      <w:spacing w:val="5"/>
    </w:rPr>
  </w:style>
  <w:style w:type="table" w:styleId="GridTable1Light-Accent1">
    <w:name w:val="Grid Table 1 Light Accent 1"/>
    <w:basedOn w:val="TableNormal"/>
    <w:uiPriority w:val="46"/>
    <w:rsid w:val="007B3F9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7B3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B15E4"/>
    <w:rPr>
      <w:sz w:val="16"/>
      <w:szCs w:val="16"/>
    </w:rPr>
  </w:style>
  <w:style w:type="paragraph" w:styleId="CommentText">
    <w:name w:val="annotation text"/>
    <w:basedOn w:val="Normal"/>
    <w:link w:val="CommentTextChar"/>
    <w:uiPriority w:val="99"/>
    <w:semiHidden/>
    <w:unhideWhenUsed/>
    <w:rsid w:val="008B15E4"/>
    <w:rPr>
      <w:sz w:val="20"/>
      <w:szCs w:val="20"/>
    </w:rPr>
  </w:style>
  <w:style w:type="character" w:customStyle="1" w:styleId="CommentTextChar">
    <w:name w:val="Comment Text Char"/>
    <w:basedOn w:val="DefaultParagraphFont"/>
    <w:link w:val="CommentText"/>
    <w:uiPriority w:val="99"/>
    <w:semiHidden/>
    <w:rsid w:val="008B15E4"/>
    <w:rPr>
      <w:sz w:val="20"/>
      <w:szCs w:val="20"/>
    </w:rPr>
  </w:style>
  <w:style w:type="paragraph" w:styleId="CommentSubject">
    <w:name w:val="annotation subject"/>
    <w:basedOn w:val="CommentText"/>
    <w:next w:val="CommentText"/>
    <w:link w:val="CommentSubjectChar"/>
    <w:uiPriority w:val="99"/>
    <w:semiHidden/>
    <w:unhideWhenUsed/>
    <w:rsid w:val="008B15E4"/>
    <w:rPr>
      <w:b/>
      <w:bCs/>
    </w:rPr>
  </w:style>
  <w:style w:type="character" w:customStyle="1" w:styleId="CommentSubjectChar">
    <w:name w:val="Comment Subject Char"/>
    <w:basedOn w:val="CommentTextChar"/>
    <w:link w:val="CommentSubject"/>
    <w:uiPriority w:val="99"/>
    <w:semiHidden/>
    <w:rsid w:val="008B15E4"/>
    <w:rPr>
      <w:b/>
      <w:bCs/>
      <w:sz w:val="20"/>
      <w:szCs w:val="20"/>
    </w:rPr>
  </w:style>
  <w:style w:type="character" w:styleId="PlaceholderText">
    <w:name w:val="Placeholder Text"/>
    <w:basedOn w:val="DefaultParagraphFont"/>
    <w:uiPriority w:val="99"/>
    <w:semiHidden/>
    <w:rsid w:val="00BB584B"/>
    <w:rPr>
      <w:color w:val="666666"/>
    </w:rPr>
  </w:style>
  <w:style w:type="character" w:styleId="Strong">
    <w:name w:val="Strong"/>
    <w:basedOn w:val="DefaultParagraphFont"/>
    <w:uiPriority w:val="22"/>
    <w:qFormat/>
    <w:rsid w:val="00B4020F"/>
    <w:rPr>
      <w:b/>
      <w:bCs/>
    </w:rPr>
  </w:style>
  <w:style w:type="character" w:customStyle="1" w:styleId="apple-converted-space">
    <w:name w:val="apple-converted-space"/>
    <w:basedOn w:val="DefaultParagraphFont"/>
    <w:rsid w:val="00B402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26052">
      <w:bodyDiv w:val="1"/>
      <w:marLeft w:val="0"/>
      <w:marRight w:val="0"/>
      <w:marTop w:val="0"/>
      <w:marBottom w:val="0"/>
      <w:divBdr>
        <w:top w:val="none" w:sz="0" w:space="0" w:color="auto"/>
        <w:left w:val="none" w:sz="0" w:space="0" w:color="auto"/>
        <w:bottom w:val="none" w:sz="0" w:space="0" w:color="auto"/>
        <w:right w:val="none" w:sz="0" w:space="0" w:color="auto"/>
      </w:divBdr>
    </w:div>
    <w:div w:id="23872973">
      <w:bodyDiv w:val="1"/>
      <w:marLeft w:val="0"/>
      <w:marRight w:val="0"/>
      <w:marTop w:val="0"/>
      <w:marBottom w:val="0"/>
      <w:divBdr>
        <w:top w:val="none" w:sz="0" w:space="0" w:color="auto"/>
        <w:left w:val="none" w:sz="0" w:space="0" w:color="auto"/>
        <w:bottom w:val="none" w:sz="0" w:space="0" w:color="auto"/>
        <w:right w:val="none" w:sz="0" w:space="0" w:color="auto"/>
      </w:divBdr>
    </w:div>
    <w:div w:id="41640087">
      <w:bodyDiv w:val="1"/>
      <w:marLeft w:val="0"/>
      <w:marRight w:val="0"/>
      <w:marTop w:val="0"/>
      <w:marBottom w:val="0"/>
      <w:divBdr>
        <w:top w:val="none" w:sz="0" w:space="0" w:color="auto"/>
        <w:left w:val="none" w:sz="0" w:space="0" w:color="auto"/>
        <w:bottom w:val="none" w:sz="0" w:space="0" w:color="auto"/>
        <w:right w:val="none" w:sz="0" w:space="0" w:color="auto"/>
      </w:divBdr>
    </w:div>
    <w:div w:id="262804151">
      <w:bodyDiv w:val="1"/>
      <w:marLeft w:val="0"/>
      <w:marRight w:val="0"/>
      <w:marTop w:val="0"/>
      <w:marBottom w:val="0"/>
      <w:divBdr>
        <w:top w:val="none" w:sz="0" w:space="0" w:color="auto"/>
        <w:left w:val="none" w:sz="0" w:space="0" w:color="auto"/>
        <w:bottom w:val="none" w:sz="0" w:space="0" w:color="auto"/>
        <w:right w:val="none" w:sz="0" w:space="0" w:color="auto"/>
      </w:divBdr>
    </w:div>
    <w:div w:id="452557438">
      <w:bodyDiv w:val="1"/>
      <w:marLeft w:val="0"/>
      <w:marRight w:val="0"/>
      <w:marTop w:val="0"/>
      <w:marBottom w:val="0"/>
      <w:divBdr>
        <w:top w:val="none" w:sz="0" w:space="0" w:color="auto"/>
        <w:left w:val="none" w:sz="0" w:space="0" w:color="auto"/>
        <w:bottom w:val="none" w:sz="0" w:space="0" w:color="auto"/>
        <w:right w:val="none" w:sz="0" w:space="0" w:color="auto"/>
      </w:divBdr>
    </w:div>
    <w:div w:id="785925174">
      <w:bodyDiv w:val="1"/>
      <w:marLeft w:val="0"/>
      <w:marRight w:val="0"/>
      <w:marTop w:val="0"/>
      <w:marBottom w:val="0"/>
      <w:divBdr>
        <w:top w:val="none" w:sz="0" w:space="0" w:color="auto"/>
        <w:left w:val="none" w:sz="0" w:space="0" w:color="auto"/>
        <w:bottom w:val="none" w:sz="0" w:space="0" w:color="auto"/>
        <w:right w:val="none" w:sz="0" w:space="0" w:color="auto"/>
      </w:divBdr>
    </w:div>
    <w:div w:id="849569678">
      <w:bodyDiv w:val="1"/>
      <w:marLeft w:val="0"/>
      <w:marRight w:val="0"/>
      <w:marTop w:val="0"/>
      <w:marBottom w:val="0"/>
      <w:divBdr>
        <w:top w:val="none" w:sz="0" w:space="0" w:color="auto"/>
        <w:left w:val="none" w:sz="0" w:space="0" w:color="auto"/>
        <w:bottom w:val="none" w:sz="0" w:space="0" w:color="auto"/>
        <w:right w:val="none" w:sz="0" w:space="0" w:color="auto"/>
      </w:divBdr>
    </w:div>
    <w:div w:id="904874240">
      <w:bodyDiv w:val="1"/>
      <w:marLeft w:val="0"/>
      <w:marRight w:val="0"/>
      <w:marTop w:val="0"/>
      <w:marBottom w:val="0"/>
      <w:divBdr>
        <w:top w:val="none" w:sz="0" w:space="0" w:color="auto"/>
        <w:left w:val="none" w:sz="0" w:space="0" w:color="auto"/>
        <w:bottom w:val="none" w:sz="0" w:space="0" w:color="auto"/>
        <w:right w:val="none" w:sz="0" w:space="0" w:color="auto"/>
      </w:divBdr>
    </w:div>
    <w:div w:id="1078091190">
      <w:bodyDiv w:val="1"/>
      <w:marLeft w:val="0"/>
      <w:marRight w:val="0"/>
      <w:marTop w:val="0"/>
      <w:marBottom w:val="0"/>
      <w:divBdr>
        <w:top w:val="none" w:sz="0" w:space="0" w:color="auto"/>
        <w:left w:val="none" w:sz="0" w:space="0" w:color="auto"/>
        <w:bottom w:val="none" w:sz="0" w:space="0" w:color="auto"/>
        <w:right w:val="none" w:sz="0" w:space="0" w:color="auto"/>
      </w:divBdr>
      <w:divsChild>
        <w:div w:id="2140873575">
          <w:marLeft w:val="0"/>
          <w:marRight w:val="0"/>
          <w:marTop w:val="0"/>
          <w:marBottom w:val="0"/>
          <w:divBdr>
            <w:top w:val="none" w:sz="0" w:space="0" w:color="auto"/>
            <w:left w:val="none" w:sz="0" w:space="0" w:color="auto"/>
            <w:bottom w:val="none" w:sz="0" w:space="0" w:color="auto"/>
            <w:right w:val="none" w:sz="0" w:space="0" w:color="auto"/>
          </w:divBdr>
          <w:divsChild>
            <w:div w:id="1137838284">
              <w:marLeft w:val="0"/>
              <w:marRight w:val="0"/>
              <w:marTop w:val="0"/>
              <w:marBottom w:val="0"/>
              <w:divBdr>
                <w:top w:val="none" w:sz="0" w:space="0" w:color="auto"/>
                <w:left w:val="none" w:sz="0" w:space="0" w:color="auto"/>
                <w:bottom w:val="none" w:sz="0" w:space="0" w:color="auto"/>
                <w:right w:val="none" w:sz="0" w:space="0" w:color="auto"/>
              </w:divBdr>
              <w:divsChild>
                <w:div w:id="2040353129">
                  <w:marLeft w:val="0"/>
                  <w:marRight w:val="0"/>
                  <w:marTop w:val="0"/>
                  <w:marBottom w:val="0"/>
                  <w:divBdr>
                    <w:top w:val="none" w:sz="0" w:space="0" w:color="auto"/>
                    <w:left w:val="none" w:sz="0" w:space="0" w:color="auto"/>
                    <w:bottom w:val="none" w:sz="0" w:space="0" w:color="auto"/>
                    <w:right w:val="none" w:sz="0" w:space="0" w:color="auto"/>
                  </w:divBdr>
                  <w:divsChild>
                    <w:div w:id="1285769211">
                      <w:marLeft w:val="0"/>
                      <w:marRight w:val="0"/>
                      <w:marTop w:val="0"/>
                      <w:marBottom w:val="0"/>
                      <w:divBdr>
                        <w:top w:val="none" w:sz="0" w:space="0" w:color="auto"/>
                        <w:left w:val="none" w:sz="0" w:space="0" w:color="auto"/>
                        <w:bottom w:val="none" w:sz="0" w:space="0" w:color="auto"/>
                        <w:right w:val="none" w:sz="0" w:space="0" w:color="auto"/>
                      </w:divBdr>
                      <w:divsChild>
                        <w:div w:id="872958409">
                          <w:marLeft w:val="0"/>
                          <w:marRight w:val="0"/>
                          <w:marTop w:val="0"/>
                          <w:marBottom w:val="0"/>
                          <w:divBdr>
                            <w:top w:val="none" w:sz="0" w:space="0" w:color="auto"/>
                            <w:left w:val="none" w:sz="0" w:space="0" w:color="auto"/>
                            <w:bottom w:val="none" w:sz="0" w:space="0" w:color="auto"/>
                            <w:right w:val="none" w:sz="0" w:space="0" w:color="auto"/>
                          </w:divBdr>
                          <w:divsChild>
                            <w:div w:id="9979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809475">
      <w:bodyDiv w:val="1"/>
      <w:marLeft w:val="0"/>
      <w:marRight w:val="0"/>
      <w:marTop w:val="0"/>
      <w:marBottom w:val="0"/>
      <w:divBdr>
        <w:top w:val="none" w:sz="0" w:space="0" w:color="auto"/>
        <w:left w:val="none" w:sz="0" w:space="0" w:color="auto"/>
        <w:bottom w:val="none" w:sz="0" w:space="0" w:color="auto"/>
        <w:right w:val="none" w:sz="0" w:space="0" w:color="auto"/>
      </w:divBdr>
    </w:div>
    <w:div w:id="1190992281">
      <w:bodyDiv w:val="1"/>
      <w:marLeft w:val="0"/>
      <w:marRight w:val="0"/>
      <w:marTop w:val="0"/>
      <w:marBottom w:val="0"/>
      <w:divBdr>
        <w:top w:val="none" w:sz="0" w:space="0" w:color="auto"/>
        <w:left w:val="none" w:sz="0" w:space="0" w:color="auto"/>
        <w:bottom w:val="none" w:sz="0" w:space="0" w:color="auto"/>
        <w:right w:val="none" w:sz="0" w:space="0" w:color="auto"/>
      </w:divBdr>
    </w:div>
    <w:div w:id="1266498974">
      <w:bodyDiv w:val="1"/>
      <w:marLeft w:val="0"/>
      <w:marRight w:val="0"/>
      <w:marTop w:val="0"/>
      <w:marBottom w:val="0"/>
      <w:divBdr>
        <w:top w:val="none" w:sz="0" w:space="0" w:color="auto"/>
        <w:left w:val="none" w:sz="0" w:space="0" w:color="auto"/>
        <w:bottom w:val="none" w:sz="0" w:space="0" w:color="auto"/>
        <w:right w:val="none" w:sz="0" w:space="0" w:color="auto"/>
      </w:divBdr>
    </w:div>
    <w:div w:id="1316445907">
      <w:bodyDiv w:val="1"/>
      <w:marLeft w:val="0"/>
      <w:marRight w:val="0"/>
      <w:marTop w:val="0"/>
      <w:marBottom w:val="0"/>
      <w:divBdr>
        <w:top w:val="none" w:sz="0" w:space="0" w:color="auto"/>
        <w:left w:val="none" w:sz="0" w:space="0" w:color="auto"/>
        <w:bottom w:val="none" w:sz="0" w:space="0" w:color="auto"/>
        <w:right w:val="none" w:sz="0" w:space="0" w:color="auto"/>
      </w:divBdr>
      <w:divsChild>
        <w:div w:id="1739668626">
          <w:marLeft w:val="0"/>
          <w:marRight w:val="0"/>
          <w:marTop w:val="0"/>
          <w:marBottom w:val="0"/>
          <w:divBdr>
            <w:top w:val="none" w:sz="0" w:space="0" w:color="auto"/>
            <w:left w:val="none" w:sz="0" w:space="0" w:color="auto"/>
            <w:bottom w:val="none" w:sz="0" w:space="0" w:color="auto"/>
            <w:right w:val="none" w:sz="0" w:space="0" w:color="auto"/>
          </w:divBdr>
          <w:divsChild>
            <w:div w:id="715275514">
              <w:marLeft w:val="0"/>
              <w:marRight w:val="0"/>
              <w:marTop w:val="0"/>
              <w:marBottom w:val="0"/>
              <w:divBdr>
                <w:top w:val="none" w:sz="0" w:space="0" w:color="auto"/>
                <w:left w:val="none" w:sz="0" w:space="0" w:color="auto"/>
                <w:bottom w:val="none" w:sz="0" w:space="0" w:color="auto"/>
                <w:right w:val="none" w:sz="0" w:space="0" w:color="auto"/>
              </w:divBdr>
              <w:divsChild>
                <w:div w:id="1278174473">
                  <w:marLeft w:val="0"/>
                  <w:marRight w:val="0"/>
                  <w:marTop w:val="0"/>
                  <w:marBottom w:val="0"/>
                  <w:divBdr>
                    <w:top w:val="none" w:sz="0" w:space="0" w:color="auto"/>
                    <w:left w:val="none" w:sz="0" w:space="0" w:color="auto"/>
                    <w:bottom w:val="none" w:sz="0" w:space="0" w:color="auto"/>
                    <w:right w:val="none" w:sz="0" w:space="0" w:color="auto"/>
                  </w:divBdr>
                  <w:divsChild>
                    <w:div w:id="1718121175">
                      <w:marLeft w:val="0"/>
                      <w:marRight w:val="0"/>
                      <w:marTop w:val="0"/>
                      <w:marBottom w:val="0"/>
                      <w:divBdr>
                        <w:top w:val="none" w:sz="0" w:space="0" w:color="auto"/>
                        <w:left w:val="none" w:sz="0" w:space="0" w:color="auto"/>
                        <w:bottom w:val="none" w:sz="0" w:space="0" w:color="auto"/>
                        <w:right w:val="none" w:sz="0" w:space="0" w:color="auto"/>
                      </w:divBdr>
                      <w:divsChild>
                        <w:div w:id="301085796">
                          <w:marLeft w:val="0"/>
                          <w:marRight w:val="0"/>
                          <w:marTop w:val="0"/>
                          <w:marBottom w:val="0"/>
                          <w:divBdr>
                            <w:top w:val="none" w:sz="0" w:space="0" w:color="auto"/>
                            <w:left w:val="none" w:sz="0" w:space="0" w:color="auto"/>
                            <w:bottom w:val="none" w:sz="0" w:space="0" w:color="auto"/>
                            <w:right w:val="none" w:sz="0" w:space="0" w:color="auto"/>
                          </w:divBdr>
                          <w:divsChild>
                            <w:div w:id="20629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7018365">
      <w:bodyDiv w:val="1"/>
      <w:marLeft w:val="0"/>
      <w:marRight w:val="0"/>
      <w:marTop w:val="0"/>
      <w:marBottom w:val="0"/>
      <w:divBdr>
        <w:top w:val="none" w:sz="0" w:space="0" w:color="auto"/>
        <w:left w:val="none" w:sz="0" w:space="0" w:color="auto"/>
        <w:bottom w:val="none" w:sz="0" w:space="0" w:color="auto"/>
        <w:right w:val="none" w:sz="0" w:space="0" w:color="auto"/>
      </w:divBdr>
    </w:div>
    <w:div w:id="1493720382">
      <w:bodyDiv w:val="1"/>
      <w:marLeft w:val="0"/>
      <w:marRight w:val="0"/>
      <w:marTop w:val="0"/>
      <w:marBottom w:val="0"/>
      <w:divBdr>
        <w:top w:val="none" w:sz="0" w:space="0" w:color="auto"/>
        <w:left w:val="none" w:sz="0" w:space="0" w:color="auto"/>
        <w:bottom w:val="none" w:sz="0" w:space="0" w:color="auto"/>
        <w:right w:val="none" w:sz="0" w:space="0" w:color="auto"/>
      </w:divBdr>
    </w:div>
    <w:div w:id="1518427358">
      <w:bodyDiv w:val="1"/>
      <w:marLeft w:val="0"/>
      <w:marRight w:val="0"/>
      <w:marTop w:val="0"/>
      <w:marBottom w:val="0"/>
      <w:divBdr>
        <w:top w:val="none" w:sz="0" w:space="0" w:color="auto"/>
        <w:left w:val="none" w:sz="0" w:space="0" w:color="auto"/>
        <w:bottom w:val="none" w:sz="0" w:space="0" w:color="auto"/>
        <w:right w:val="none" w:sz="0" w:space="0" w:color="auto"/>
      </w:divBdr>
    </w:div>
    <w:div w:id="1582056861">
      <w:bodyDiv w:val="1"/>
      <w:marLeft w:val="0"/>
      <w:marRight w:val="0"/>
      <w:marTop w:val="0"/>
      <w:marBottom w:val="0"/>
      <w:divBdr>
        <w:top w:val="none" w:sz="0" w:space="0" w:color="auto"/>
        <w:left w:val="none" w:sz="0" w:space="0" w:color="auto"/>
        <w:bottom w:val="none" w:sz="0" w:space="0" w:color="auto"/>
        <w:right w:val="none" w:sz="0" w:space="0" w:color="auto"/>
      </w:divBdr>
      <w:divsChild>
        <w:div w:id="1426262903">
          <w:marLeft w:val="0"/>
          <w:marRight w:val="0"/>
          <w:marTop w:val="0"/>
          <w:marBottom w:val="0"/>
          <w:divBdr>
            <w:top w:val="none" w:sz="0" w:space="0" w:color="auto"/>
            <w:left w:val="none" w:sz="0" w:space="0" w:color="auto"/>
            <w:bottom w:val="none" w:sz="0" w:space="0" w:color="auto"/>
            <w:right w:val="none" w:sz="0" w:space="0" w:color="auto"/>
          </w:divBdr>
          <w:divsChild>
            <w:div w:id="610015763">
              <w:marLeft w:val="0"/>
              <w:marRight w:val="0"/>
              <w:marTop w:val="0"/>
              <w:marBottom w:val="0"/>
              <w:divBdr>
                <w:top w:val="none" w:sz="0" w:space="0" w:color="auto"/>
                <w:left w:val="none" w:sz="0" w:space="0" w:color="auto"/>
                <w:bottom w:val="none" w:sz="0" w:space="0" w:color="auto"/>
                <w:right w:val="none" w:sz="0" w:space="0" w:color="auto"/>
              </w:divBdr>
              <w:divsChild>
                <w:div w:id="394863603">
                  <w:marLeft w:val="0"/>
                  <w:marRight w:val="0"/>
                  <w:marTop w:val="0"/>
                  <w:marBottom w:val="0"/>
                  <w:divBdr>
                    <w:top w:val="none" w:sz="0" w:space="0" w:color="auto"/>
                    <w:left w:val="none" w:sz="0" w:space="0" w:color="auto"/>
                    <w:bottom w:val="none" w:sz="0" w:space="0" w:color="auto"/>
                    <w:right w:val="none" w:sz="0" w:space="0" w:color="auto"/>
                  </w:divBdr>
                  <w:divsChild>
                    <w:div w:id="11879753">
                      <w:marLeft w:val="0"/>
                      <w:marRight w:val="0"/>
                      <w:marTop w:val="0"/>
                      <w:marBottom w:val="0"/>
                      <w:divBdr>
                        <w:top w:val="none" w:sz="0" w:space="0" w:color="auto"/>
                        <w:left w:val="none" w:sz="0" w:space="0" w:color="auto"/>
                        <w:bottom w:val="none" w:sz="0" w:space="0" w:color="auto"/>
                        <w:right w:val="none" w:sz="0" w:space="0" w:color="auto"/>
                      </w:divBdr>
                      <w:divsChild>
                        <w:div w:id="154436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467678">
          <w:marLeft w:val="0"/>
          <w:marRight w:val="0"/>
          <w:marTop w:val="0"/>
          <w:marBottom w:val="0"/>
          <w:divBdr>
            <w:top w:val="none" w:sz="0" w:space="0" w:color="auto"/>
            <w:left w:val="none" w:sz="0" w:space="0" w:color="auto"/>
            <w:bottom w:val="none" w:sz="0" w:space="0" w:color="auto"/>
            <w:right w:val="none" w:sz="0" w:space="0" w:color="auto"/>
          </w:divBdr>
          <w:divsChild>
            <w:div w:id="1466390049">
              <w:marLeft w:val="0"/>
              <w:marRight w:val="0"/>
              <w:marTop w:val="0"/>
              <w:marBottom w:val="0"/>
              <w:divBdr>
                <w:top w:val="none" w:sz="0" w:space="0" w:color="auto"/>
                <w:left w:val="none" w:sz="0" w:space="0" w:color="auto"/>
                <w:bottom w:val="none" w:sz="0" w:space="0" w:color="auto"/>
                <w:right w:val="none" w:sz="0" w:space="0" w:color="auto"/>
              </w:divBdr>
              <w:divsChild>
                <w:div w:id="1902522430">
                  <w:marLeft w:val="0"/>
                  <w:marRight w:val="0"/>
                  <w:marTop w:val="0"/>
                  <w:marBottom w:val="0"/>
                  <w:divBdr>
                    <w:top w:val="none" w:sz="0" w:space="0" w:color="auto"/>
                    <w:left w:val="none" w:sz="0" w:space="0" w:color="auto"/>
                    <w:bottom w:val="none" w:sz="0" w:space="0" w:color="auto"/>
                    <w:right w:val="none" w:sz="0" w:space="0" w:color="auto"/>
                  </w:divBdr>
                  <w:divsChild>
                    <w:div w:id="1432048939">
                      <w:marLeft w:val="0"/>
                      <w:marRight w:val="0"/>
                      <w:marTop w:val="0"/>
                      <w:marBottom w:val="0"/>
                      <w:divBdr>
                        <w:top w:val="none" w:sz="0" w:space="0" w:color="auto"/>
                        <w:left w:val="none" w:sz="0" w:space="0" w:color="auto"/>
                        <w:bottom w:val="none" w:sz="0" w:space="0" w:color="auto"/>
                        <w:right w:val="none" w:sz="0" w:space="0" w:color="auto"/>
                      </w:divBdr>
                      <w:divsChild>
                        <w:div w:id="916283681">
                          <w:marLeft w:val="0"/>
                          <w:marRight w:val="0"/>
                          <w:marTop w:val="0"/>
                          <w:marBottom w:val="0"/>
                          <w:divBdr>
                            <w:top w:val="none" w:sz="0" w:space="0" w:color="auto"/>
                            <w:left w:val="none" w:sz="0" w:space="0" w:color="auto"/>
                            <w:bottom w:val="none" w:sz="0" w:space="0" w:color="auto"/>
                            <w:right w:val="none" w:sz="0" w:space="0" w:color="auto"/>
                          </w:divBdr>
                          <w:divsChild>
                            <w:div w:id="15324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180930">
      <w:bodyDiv w:val="1"/>
      <w:marLeft w:val="0"/>
      <w:marRight w:val="0"/>
      <w:marTop w:val="0"/>
      <w:marBottom w:val="0"/>
      <w:divBdr>
        <w:top w:val="none" w:sz="0" w:space="0" w:color="auto"/>
        <w:left w:val="none" w:sz="0" w:space="0" w:color="auto"/>
        <w:bottom w:val="none" w:sz="0" w:space="0" w:color="auto"/>
        <w:right w:val="none" w:sz="0" w:space="0" w:color="auto"/>
      </w:divBdr>
    </w:div>
    <w:div w:id="1852064758">
      <w:bodyDiv w:val="1"/>
      <w:marLeft w:val="0"/>
      <w:marRight w:val="0"/>
      <w:marTop w:val="0"/>
      <w:marBottom w:val="0"/>
      <w:divBdr>
        <w:top w:val="none" w:sz="0" w:space="0" w:color="auto"/>
        <w:left w:val="none" w:sz="0" w:space="0" w:color="auto"/>
        <w:bottom w:val="none" w:sz="0" w:space="0" w:color="auto"/>
        <w:right w:val="none" w:sz="0" w:space="0" w:color="auto"/>
      </w:divBdr>
    </w:div>
    <w:div w:id="1957105031">
      <w:bodyDiv w:val="1"/>
      <w:marLeft w:val="0"/>
      <w:marRight w:val="0"/>
      <w:marTop w:val="0"/>
      <w:marBottom w:val="0"/>
      <w:divBdr>
        <w:top w:val="none" w:sz="0" w:space="0" w:color="auto"/>
        <w:left w:val="none" w:sz="0" w:space="0" w:color="auto"/>
        <w:bottom w:val="none" w:sz="0" w:space="0" w:color="auto"/>
        <w:right w:val="none" w:sz="0" w:space="0" w:color="auto"/>
      </w:divBdr>
      <w:divsChild>
        <w:div w:id="1858621388">
          <w:marLeft w:val="0"/>
          <w:marRight w:val="0"/>
          <w:marTop w:val="0"/>
          <w:marBottom w:val="0"/>
          <w:divBdr>
            <w:top w:val="none" w:sz="0" w:space="0" w:color="auto"/>
            <w:left w:val="none" w:sz="0" w:space="0" w:color="auto"/>
            <w:bottom w:val="none" w:sz="0" w:space="0" w:color="auto"/>
            <w:right w:val="none" w:sz="0" w:space="0" w:color="auto"/>
          </w:divBdr>
          <w:divsChild>
            <w:div w:id="792986433">
              <w:marLeft w:val="0"/>
              <w:marRight w:val="0"/>
              <w:marTop w:val="0"/>
              <w:marBottom w:val="0"/>
              <w:divBdr>
                <w:top w:val="none" w:sz="0" w:space="0" w:color="auto"/>
                <w:left w:val="none" w:sz="0" w:space="0" w:color="auto"/>
                <w:bottom w:val="none" w:sz="0" w:space="0" w:color="auto"/>
                <w:right w:val="none" w:sz="0" w:space="0" w:color="auto"/>
              </w:divBdr>
              <w:divsChild>
                <w:div w:id="622418238">
                  <w:marLeft w:val="0"/>
                  <w:marRight w:val="0"/>
                  <w:marTop w:val="0"/>
                  <w:marBottom w:val="0"/>
                  <w:divBdr>
                    <w:top w:val="none" w:sz="0" w:space="0" w:color="auto"/>
                    <w:left w:val="none" w:sz="0" w:space="0" w:color="auto"/>
                    <w:bottom w:val="none" w:sz="0" w:space="0" w:color="auto"/>
                    <w:right w:val="none" w:sz="0" w:space="0" w:color="auto"/>
                  </w:divBdr>
                  <w:divsChild>
                    <w:div w:id="1809131233">
                      <w:marLeft w:val="0"/>
                      <w:marRight w:val="0"/>
                      <w:marTop w:val="0"/>
                      <w:marBottom w:val="0"/>
                      <w:divBdr>
                        <w:top w:val="none" w:sz="0" w:space="0" w:color="auto"/>
                        <w:left w:val="none" w:sz="0" w:space="0" w:color="auto"/>
                        <w:bottom w:val="none" w:sz="0" w:space="0" w:color="auto"/>
                        <w:right w:val="none" w:sz="0" w:space="0" w:color="auto"/>
                      </w:divBdr>
                      <w:divsChild>
                        <w:div w:id="1467360475">
                          <w:marLeft w:val="0"/>
                          <w:marRight w:val="0"/>
                          <w:marTop w:val="0"/>
                          <w:marBottom w:val="0"/>
                          <w:divBdr>
                            <w:top w:val="none" w:sz="0" w:space="0" w:color="auto"/>
                            <w:left w:val="none" w:sz="0" w:space="0" w:color="auto"/>
                            <w:bottom w:val="none" w:sz="0" w:space="0" w:color="auto"/>
                            <w:right w:val="none" w:sz="0" w:space="0" w:color="auto"/>
                          </w:divBdr>
                          <w:divsChild>
                            <w:div w:id="11899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19610">
      <w:bodyDiv w:val="1"/>
      <w:marLeft w:val="0"/>
      <w:marRight w:val="0"/>
      <w:marTop w:val="0"/>
      <w:marBottom w:val="0"/>
      <w:divBdr>
        <w:top w:val="none" w:sz="0" w:space="0" w:color="auto"/>
        <w:left w:val="none" w:sz="0" w:space="0" w:color="auto"/>
        <w:bottom w:val="none" w:sz="0" w:space="0" w:color="auto"/>
        <w:right w:val="none" w:sz="0" w:space="0" w:color="auto"/>
      </w:divBdr>
      <w:divsChild>
        <w:div w:id="1400209177">
          <w:marLeft w:val="0"/>
          <w:marRight w:val="0"/>
          <w:marTop w:val="0"/>
          <w:marBottom w:val="0"/>
          <w:divBdr>
            <w:top w:val="none" w:sz="0" w:space="0" w:color="auto"/>
            <w:left w:val="none" w:sz="0" w:space="0" w:color="auto"/>
            <w:bottom w:val="none" w:sz="0" w:space="0" w:color="auto"/>
            <w:right w:val="none" w:sz="0" w:space="0" w:color="auto"/>
          </w:divBdr>
          <w:divsChild>
            <w:div w:id="717364925">
              <w:marLeft w:val="0"/>
              <w:marRight w:val="0"/>
              <w:marTop w:val="0"/>
              <w:marBottom w:val="0"/>
              <w:divBdr>
                <w:top w:val="none" w:sz="0" w:space="0" w:color="auto"/>
                <w:left w:val="none" w:sz="0" w:space="0" w:color="auto"/>
                <w:bottom w:val="none" w:sz="0" w:space="0" w:color="auto"/>
                <w:right w:val="none" w:sz="0" w:space="0" w:color="auto"/>
              </w:divBdr>
              <w:divsChild>
                <w:div w:id="2030906862">
                  <w:marLeft w:val="0"/>
                  <w:marRight w:val="0"/>
                  <w:marTop w:val="0"/>
                  <w:marBottom w:val="0"/>
                  <w:divBdr>
                    <w:top w:val="none" w:sz="0" w:space="0" w:color="auto"/>
                    <w:left w:val="none" w:sz="0" w:space="0" w:color="auto"/>
                    <w:bottom w:val="none" w:sz="0" w:space="0" w:color="auto"/>
                    <w:right w:val="none" w:sz="0" w:space="0" w:color="auto"/>
                  </w:divBdr>
                  <w:divsChild>
                    <w:div w:id="1464926728">
                      <w:marLeft w:val="0"/>
                      <w:marRight w:val="0"/>
                      <w:marTop w:val="0"/>
                      <w:marBottom w:val="0"/>
                      <w:divBdr>
                        <w:top w:val="none" w:sz="0" w:space="0" w:color="auto"/>
                        <w:left w:val="none" w:sz="0" w:space="0" w:color="auto"/>
                        <w:bottom w:val="none" w:sz="0" w:space="0" w:color="auto"/>
                        <w:right w:val="none" w:sz="0" w:space="0" w:color="auto"/>
                      </w:divBdr>
                      <w:divsChild>
                        <w:div w:id="8052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644954">
          <w:marLeft w:val="0"/>
          <w:marRight w:val="0"/>
          <w:marTop w:val="0"/>
          <w:marBottom w:val="0"/>
          <w:divBdr>
            <w:top w:val="none" w:sz="0" w:space="0" w:color="auto"/>
            <w:left w:val="none" w:sz="0" w:space="0" w:color="auto"/>
            <w:bottom w:val="none" w:sz="0" w:space="0" w:color="auto"/>
            <w:right w:val="none" w:sz="0" w:space="0" w:color="auto"/>
          </w:divBdr>
          <w:divsChild>
            <w:div w:id="1868909654">
              <w:marLeft w:val="0"/>
              <w:marRight w:val="0"/>
              <w:marTop w:val="0"/>
              <w:marBottom w:val="0"/>
              <w:divBdr>
                <w:top w:val="none" w:sz="0" w:space="0" w:color="auto"/>
                <w:left w:val="none" w:sz="0" w:space="0" w:color="auto"/>
                <w:bottom w:val="none" w:sz="0" w:space="0" w:color="auto"/>
                <w:right w:val="none" w:sz="0" w:space="0" w:color="auto"/>
              </w:divBdr>
              <w:divsChild>
                <w:div w:id="899175106">
                  <w:marLeft w:val="0"/>
                  <w:marRight w:val="0"/>
                  <w:marTop w:val="0"/>
                  <w:marBottom w:val="0"/>
                  <w:divBdr>
                    <w:top w:val="none" w:sz="0" w:space="0" w:color="auto"/>
                    <w:left w:val="none" w:sz="0" w:space="0" w:color="auto"/>
                    <w:bottom w:val="none" w:sz="0" w:space="0" w:color="auto"/>
                    <w:right w:val="none" w:sz="0" w:space="0" w:color="auto"/>
                  </w:divBdr>
                  <w:divsChild>
                    <w:div w:id="321008915">
                      <w:marLeft w:val="0"/>
                      <w:marRight w:val="0"/>
                      <w:marTop w:val="0"/>
                      <w:marBottom w:val="0"/>
                      <w:divBdr>
                        <w:top w:val="none" w:sz="0" w:space="0" w:color="auto"/>
                        <w:left w:val="none" w:sz="0" w:space="0" w:color="auto"/>
                        <w:bottom w:val="none" w:sz="0" w:space="0" w:color="auto"/>
                        <w:right w:val="none" w:sz="0" w:space="0" w:color="auto"/>
                      </w:divBdr>
                      <w:divsChild>
                        <w:div w:id="1204830096">
                          <w:marLeft w:val="0"/>
                          <w:marRight w:val="0"/>
                          <w:marTop w:val="0"/>
                          <w:marBottom w:val="0"/>
                          <w:divBdr>
                            <w:top w:val="none" w:sz="0" w:space="0" w:color="auto"/>
                            <w:left w:val="none" w:sz="0" w:space="0" w:color="auto"/>
                            <w:bottom w:val="none" w:sz="0" w:space="0" w:color="auto"/>
                            <w:right w:val="none" w:sz="0" w:space="0" w:color="auto"/>
                          </w:divBdr>
                          <w:divsChild>
                            <w:div w:id="39501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629435">
      <w:bodyDiv w:val="1"/>
      <w:marLeft w:val="0"/>
      <w:marRight w:val="0"/>
      <w:marTop w:val="0"/>
      <w:marBottom w:val="0"/>
      <w:divBdr>
        <w:top w:val="none" w:sz="0" w:space="0" w:color="auto"/>
        <w:left w:val="none" w:sz="0" w:space="0" w:color="auto"/>
        <w:bottom w:val="none" w:sz="0" w:space="0" w:color="auto"/>
        <w:right w:val="none" w:sz="0" w:space="0" w:color="auto"/>
      </w:divBdr>
    </w:div>
    <w:div w:id="2090423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2006</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Yijin</dc:creator>
  <cp:keywords/>
  <dc:description/>
  <cp:lastModifiedBy>Li, Yijin</cp:lastModifiedBy>
  <cp:revision>13</cp:revision>
  <dcterms:created xsi:type="dcterms:W3CDTF">2024-07-09T18:17:00Z</dcterms:created>
  <dcterms:modified xsi:type="dcterms:W3CDTF">2024-09-11T03:14:00Z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2024-07-09T18:18:57Z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baed753d-867a-4886-8f4e-4b27612effbd</vt:lpwstr>
  </property>
  <property fmtid="{D5CDD505-2E9C-101B-9397-08002B2CF9AE}" pid="8" name="MSIP_Label_95965d95-ecc0-4720-b759-1f33c42ed7da_ContentBits">
    <vt:lpwstr>0</vt:lpwstr>
  </property>
</Properties>
</file>