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28D6D6" w14:textId="77777777" w:rsidR="00502F8B" w:rsidRDefault="00502F8B" w:rsidP="007B3F92">
      <w:pPr>
        <w:pStyle w:val="Heading2"/>
        <w:jc w:val="center"/>
      </w:pPr>
    </w:p>
    <w:p w14:paraId="1EC68924" w14:textId="72A36B2C" w:rsidR="00502F8B" w:rsidRDefault="007B3F92" w:rsidP="007B3F92">
      <w:pPr>
        <w:pStyle w:val="Heading2"/>
        <w:jc w:val="center"/>
      </w:pPr>
      <w:r>
        <w:t xml:space="preserve">HYPSTAT Open-sourcing Example </w:t>
      </w:r>
      <w:r w:rsidR="00502F8B">
        <w:t>Hydrogen</w:t>
      </w:r>
      <w:r>
        <w:t xml:space="preserve"> Case</w:t>
      </w:r>
      <w:r w:rsidR="00502F8B">
        <w:t xml:space="preserve"> Study Background</w:t>
      </w:r>
    </w:p>
    <w:p w14:paraId="16481F15" w14:textId="77777777" w:rsidR="007B3F92" w:rsidRDefault="007B3F92" w:rsidP="00502F8B"/>
    <w:p w14:paraId="4187E2CD" w14:textId="1C735CE7" w:rsidR="00502F8B" w:rsidRDefault="00502F8B" w:rsidP="00502F8B">
      <w:r>
        <w:t xml:space="preserve">The </w:t>
      </w:r>
      <w:r w:rsidR="007B3F92">
        <w:t>case study</w:t>
      </w:r>
      <w:r>
        <w:t xml:space="preserve"> examines the integration and distribution of hydrogen production and storage across various nodes, each with distinct characteristics and demand profiles. The nodes evaluated include a connection point, industrial site, city, inland area, suburb, and coastal area. Each node's capability to support renewable energy sources such as onshore wind, offshore wind, solar, and nuclear energy is assessed, along with their grid connectivity, export/import capacity, and storage capabilities.</w:t>
      </w:r>
      <w:r w:rsidR="007B3F92">
        <w:t xml:space="preserve"> The case study is designed to showcase the modeling capability of </w:t>
      </w:r>
      <w:r w:rsidR="007B3F92" w:rsidRPr="007B3F92">
        <w:t>Hydrogen Production, Storage, and Transmission Analysis Tool</w:t>
      </w:r>
      <w:r w:rsidR="007B3F92">
        <w:t xml:space="preserve"> (HYPSTAT) model.</w:t>
      </w:r>
    </w:p>
    <w:p w14:paraId="7EC1A3DA" w14:textId="524F637B" w:rsidR="00B75F8C" w:rsidRPr="00B75F8C" w:rsidRDefault="00B75F8C" w:rsidP="00B75F8C">
      <w:pPr>
        <w:pStyle w:val="Subtitle"/>
        <w:rPr>
          <w:b/>
          <w:bCs/>
        </w:rPr>
      </w:pPr>
      <w:r w:rsidRPr="00B75F8C">
        <w:rPr>
          <w:b/>
          <w:bCs/>
        </w:rPr>
        <w:t>Case Design:</w:t>
      </w:r>
    </w:p>
    <w:p w14:paraId="07B55463" w14:textId="77777777" w:rsidR="007B3F92" w:rsidRDefault="007B3F92" w:rsidP="00502F8B"/>
    <w:tbl>
      <w:tblPr>
        <w:tblStyle w:val="GridTable1Light-Accent1"/>
        <w:tblW w:w="11582" w:type="dxa"/>
        <w:jc w:val="center"/>
        <w:tblLook w:val="04A0" w:firstRow="1" w:lastRow="0" w:firstColumn="1" w:lastColumn="0" w:noHBand="0" w:noVBand="1"/>
      </w:tblPr>
      <w:tblGrid>
        <w:gridCol w:w="704"/>
        <w:gridCol w:w="1247"/>
        <w:gridCol w:w="990"/>
        <w:gridCol w:w="998"/>
        <w:gridCol w:w="826"/>
        <w:gridCol w:w="1017"/>
        <w:gridCol w:w="942"/>
        <w:gridCol w:w="1276"/>
        <w:gridCol w:w="807"/>
        <w:gridCol w:w="830"/>
        <w:gridCol w:w="1025"/>
        <w:gridCol w:w="920"/>
      </w:tblGrid>
      <w:tr w:rsidR="00405AFE" w:rsidRPr="007B3F92" w14:paraId="1BEDD533" w14:textId="77777777" w:rsidTr="00405AFE">
        <w:trPr>
          <w:cnfStyle w:val="100000000000" w:firstRow="1" w:lastRow="0" w:firstColumn="0" w:lastColumn="0" w:oddVBand="0" w:evenVBand="0" w:oddHBand="0"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348D3E43" w14:textId="77777777" w:rsidR="007B3F92" w:rsidRPr="007B3F92" w:rsidRDefault="007B3F92" w:rsidP="00405AFE">
            <w:pPr>
              <w:jc w:val="center"/>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Node</w:t>
            </w:r>
          </w:p>
        </w:tc>
        <w:tc>
          <w:tcPr>
            <w:tcW w:w="1247" w:type="dxa"/>
            <w:noWrap/>
            <w:hideMark/>
          </w:tcPr>
          <w:p w14:paraId="299A50DB"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Descriptor</w:t>
            </w:r>
          </w:p>
        </w:tc>
        <w:tc>
          <w:tcPr>
            <w:tcW w:w="990" w:type="dxa"/>
            <w:noWrap/>
            <w:hideMark/>
          </w:tcPr>
          <w:p w14:paraId="201CA419"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Demand</w:t>
            </w:r>
          </w:p>
        </w:tc>
        <w:tc>
          <w:tcPr>
            <w:tcW w:w="998" w:type="dxa"/>
            <w:noWrap/>
            <w:hideMark/>
          </w:tcPr>
          <w:p w14:paraId="05D011F3" w14:textId="2FE0DA81"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405AFE">
              <w:rPr>
                <w:rFonts w:eastAsia="Times New Roman" w:cs="Times New Roman"/>
                <w:color w:val="000000"/>
                <w:kern w:val="0"/>
                <w:sz w:val="20"/>
                <w:szCs w:val="20"/>
                <w14:ligatures w14:val="none"/>
              </w:rPr>
              <w:t>Onshore Wind</w:t>
            </w:r>
          </w:p>
        </w:tc>
        <w:tc>
          <w:tcPr>
            <w:tcW w:w="826" w:type="dxa"/>
            <w:noWrap/>
            <w:hideMark/>
          </w:tcPr>
          <w:p w14:paraId="1A4D59F7"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Solar</w:t>
            </w:r>
          </w:p>
        </w:tc>
        <w:tc>
          <w:tcPr>
            <w:tcW w:w="1017" w:type="dxa"/>
            <w:noWrap/>
            <w:hideMark/>
          </w:tcPr>
          <w:p w14:paraId="24812589" w14:textId="2367071A"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O</w:t>
            </w:r>
            <w:r w:rsidRPr="00405AFE">
              <w:rPr>
                <w:rFonts w:eastAsia="Times New Roman" w:cs="Times New Roman"/>
                <w:color w:val="000000"/>
                <w:kern w:val="0"/>
                <w:sz w:val="20"/>
                <w:szCs w:val="20"/>
                <w14:ligatures w14:val="none"/>
              </w:rPr>
              <w:t>ffshore Wind</w:t>
            </w:r>
          </w:p>
        </w:tc>
        <w:tc>
          <w:tcPr>
            <w:tcW w:w="942" w:type="dxa"/>
            <w:noWrap/>
            <w:hideMark/>
          </w:tcPr>
          <w:p w14:paraId="0989B338"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Nuclear</w:t>
            </w:r>
          </w:p>
        </w:tc>
        <w:tc>
          <w:tcPr>
            <w:tcW w:w="1276" w:type="dxa"/>
            <w:noWrap/>
            <w:hideMark/>
          </w:tcPr>
          <w:p w14:paraId="02AD1289"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Grid</w:t>
            </w:r>
          </w:p>
        </w:tc>
        <w:tc>
          <w:tcPr>
            <w:tcW w:w="807" w:type="dxa"/>
            <w:noWrap/>
            <w:hideMark/>
          </w:tcPr>
          <w:p w14:paraId="44ACC52C"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7B3F92">
              <w:rPr>
                <w:rFonts w:eastAsia="Times New Roman" w:cs="Times New Roman"/>
                <w:kern w:val="0"/>
                <w:sz w:val="20"/>
                <w:szCs w:val="20"/>
                <w14:ligatures w14:val="none"/>
              </w:rPr>
              <w:t>Export</w:t>
            </w:r>
          </w:p>
        </w:tc>
        <w:tc>
          <w:tcPr>
            <w:tcW w:w="830" w:type="dxa"/>
            <w:noWrap/>
            <w:hideMark/>
          </w:tcPr>
          <w:p w14:paraId="3314F3B1"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Import</w:t>
            </w:r>
          </w:p>
        </w:tc>
        <w:tc>
          <w:tcPr>
            <w:tcW w:w="1025" w:type="dxa"/>
            <w:noWrap/>
            <w:hideMark/>
          </w:tcPr>
          <w:p w14:paraId="45D59B73"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Geologic Storage</w:t>
            </w:r>
          </w:p>
        </w:tc>
        <w:tc>
          <w:tcPr>
            <w:tcW w:w="920" w:type="dxa"/>
            <w:noWrap/>
            <w:hideMark/>
          </w:tcPr>
          <w:p w14:paraId="2EB975ED"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Tank Storage</w:t>
            </w:r>
          </w:p>
        </w:tc>
      </w:tr>
      <w:tr w:rsidR="00405AFE" w:rsidRPr="007B3F92" w14:paraId="76ABA7BB"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0E18BFAD" w14:textId="77777777" w:rsidR="007B3F92" w:rsidRPr="007B3F92" w:rsidRDefault="007B3F92" w:rsidP="007B3F92">
            <w:pPr>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A</w:t>
            </w:r>
          </w:p>
        </w:tc>
        <w:tc>
          <w:tcPr>
            <w:tcW w:w="1247" w:type="dxa"/>
            <w:noWrap/>
            <w:hideMark/>
          </w:tcPr>
          <w:p w14:paraId="667E0186"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Connection point</w:t>
            </w:r>
          </w:p>
        </w:tc>
        <w:tc>
          <w:tcPr>
            <w:tcW w:w="990" w:type="dxa"/>
            <w:noWrap/>
            <w:hideMark/>
          </w:tcPr>
          <w:p w14:paraId="0B0D5BEE"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998" w:type="dxa"/>
            <w:noWrap/>
            <w:hideMark/>
          </w:tcPr>
          <w:p w14:paraId="1A8C82A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(Good)</w:t>
            </w:r>
          </w:p>
        </w:tc>
        <w:tc>
          <w:tcPr>
            <w:tcW w:w="826" w:type="dxa"/>
            <w:noWrap/>
            <w:hideMark/>
          </w:tcPr>
          <w:p w14:paraId="1B7D9F5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(Poor)</w:t>
            </w:r>
          </w:p>
        </w:tc>
        <w:tc>
          <w:tcPr>
            <w:tcW w:w="1017" w:type="dxa"/>
            <w:noWrap/>
            <w:hideMark/>
          </w:tcPr>
          <w:p w14:paraId="3D57399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942" w:type="dxa"/>
            <w:noWrap/>
            <w:hideMark/>
          </w:tcPr>
          <w:p w14:paraId="5649B717"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1276" w:type="dxa"/>
            <w:noWrap/>
            <w:hideMark/>
          </w:tcPr>
          <w:p w14:paraId="6501C7A4"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(Wholesale, lower)</w:t>
            </w:r>
          </w:p>
        </w:tc>
        <w:tc>
          <w:tcPr>
            <w:tcW w:w="807" w:type="dxa"/>
            <w:noWrap/>
            <w:hideMark/>
          </w:tcPr>
          <w:p w14:paraId="1054DA1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7B3F92">
              <w:rPr>
                <w:rFonts w:eastAsia="Times New Roman" w:cs="Times New Roman"/>
                <w:kern w:val="0"/>
                <w:sz w:val="20"/>
                <w:szCs w:val="20"/>
                <w14:ligatures w14:val="none"/>
              </w:rPr>
              <w:t>YES</w:t>
            </w:r>
          </w:p>
        </w:tc>
        <w:tc>
          <w:tcPr>
            <w:tcW w:w="830" w:type="dxa"/>
            <w:noWrap/>
            <w:hideMark/>
          </w:tcPr>
          <w:p w14:paraId="223E587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c>
          <w:tcPr>
            <w:tcW w:w="1025" w:type="dxa"/>
            <w:noWrap/>
            <w:hideMark/>
          </w:tcPr>
          <w:p w14:paraId="4CD510C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920" w:type="dxa"/>
            <w:noWrap/>
            <w:hideMark/>
          </w:tcPr>
          <w:p w14:paraId="24F218B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r>
      <w:tr w:rsidR="00405AFE" w:rsidRPr="007B3F92" w14:paraId="079859BE"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324E9D0E" w14:textId="77777777" w:rsidR="007B3F92" w:rsidRPr="007B3F92" w:rsidRDefault="007B3F92" w:rsidP="007B3F92">
            <w:pPr>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B</w:t>
            </w:r>
          </w:p>
        </w:tc>
        <w:tc>
          <w:tcPr>
            <w:tcW w:w="1247" w:type="dxa"/>
            <w:noWrap/>
            <w:hideMark/>
          </w:tcPr>
          <w:p w14:paraId="0CEC002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Industrial site</w:t>
            </w:r>
          </w:p>
        </w:tc>
        <w:tc>
          <w:tcPr>
            <w:tcW w:w="990" w:type="dxa"/>
            <w:noWrap/>
            <w:hideMark/>
          </w:tcPr>
          <w:p w14:paraId="54CD7D87"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c>
          <w:tcPr>
            <w:tcW w:w="998" w:type="dxa"/>
            <w:noWrap/>
            <w:hideMark/>
          </w:tcPr>
          <w:p w14:paraId="6A557CD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(Good)</w:t>
            </w:r>
          </w:p>
        </w:tc>
        <w:tc>
          <w:tcPr>
            <w:tcW w:w="826" w:type="dxa"/>
            <w:noWrap/>
            <w:hideMark/>
          </w:tcPr>
          <w:p w14:paraId="6CA2DA9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(Poor)</w:t>
            </w:r>
          </w:p>
        </w:tc>
        <w:tc>
          <w:tcPr>
            <w:tcW w:w="1017" w:type="dxa"/>
            <w:noWrap/>
            <w:hideMark/>
          </w:tcPr>
          <w:p w14:paraId="3EA872D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942" w:type="dxa"/>
            <w:noWrap/>
            <w:hideMark/>
          </w:tcPr>
          <w:p w14:paraId="5F4ADE4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c>
          <w:tcPr>
            <w:tcW w:w="1276" w:type="dxa"/>
            <w:noWrap/>
            <w:hideMark/>
          </w:tcPr>
          <w:p w14:paraId="563D1AE9"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(Fixed industrial)</w:t>
            </w:r>
          </w:p>
        </w:tc>
        <w:tc>
          <w:tcPr>
            <w:tcW w:w="807" w:type="dxa"/>
            <w:noWrap/>
            <w:hideMark/>
          </w:tcPr>
          <w:p w14:paraId="013E387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7B3F92">
              <w:rPr>
                <w:rFonts w:eastAsia="Times New Roman" w:cs="Times New Roman"/>
                <w:kern w:val="0"/>
                <w:sz w:val="20"/>
                <w:szCs w:val="20"/>
                <w14:ligatures w14:val="none"/>
              </w:rPr>
              <w:t>NO</w:t>
            </w:r>
          </w:p>
        </w:tc>
        <w:tc>
          <w:tcPr>
            <w:tcW w:w="830" w:type="dxa"/>
            <w:noWrap/>
            <w:hideMark/>
          </w:tcPr>
          <w:p w14:paraId="4B07C15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1025" w:type="dxa"/>
            <w:noWrap/>
            <w:hideMark/>
          </w:tcPr>
          <w:p w14:paraId="0391A16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920" w:type="dxa"/>
            <w:noWrap/>
            <w:hideMark/>
          </w:tcPr>
          <w:p w14:paraId="04E95CC3"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r>
      <w:tr w:rsidR="00405AFE" w:rsidRPr="007B3F92" w14:paraId="0F6747BA"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7AB78AA3" w14:textId="77777777" w:rsidR="007B3F92" w:rsidRPr="007B3F92" w:rsidRDefault="007B3F92" w:rsidP="007B3F92">
            <w:pPr>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C</w:t>
            </w:r>
          </w:p>
        </w:tc>
        <w:tc>
          <w:tcPr>
            <w:tcW w:w="1247" w:type="dxa"/>
            <w:noWrap/>
            <w:hideMark/>
          </w:tcPr>
          <w:p w14:paraId="6E4E8D64"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City</w:t>
            </w:r>
          </w:p>
        </w:tc>
        <w:tc>
          <w:tcPr>
            <w:tcW w:w="990" w:type="dxa"/>
            <w:noWrap/>
            <w:hideMark/>
          </w:tcPr>
          <w:p w14:paraId="56933109"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c>
          <w:tcPr>
            <w:tcW w:w="998" w:type="dxa"/>
            <w:noWrap/>
            <w:hideMark/>
          </w:tcPr>
          <w:p w14:paraId="67CCFBE9"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826" w:type="dxa"/>
            <w:noWrap/>
            <w:hideMark/>
          </w:tcPr>
          <w:p w14:paraId="3DE90B16"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1017" w:type="dxa"/>
            <w:noWrap/>
            <w:hideMark/>
          </w:tcPr>
          <w:p w14:paraId="305B24F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942" w:type="dxa"/>
            <w:noWrap/>
            <w:hideMark/>
          </w:tcPr>
          <w:p w14:paraId="33A690C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1276" w:type="dxa"/>
            <w:noWrap/>
            <w:hideMark/>
          </w:tcPr>
          <w:p w14:paraId="180D8CE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807" w:type="dxa"/>
            <w:noWrap/>
            <w:hideMark/>
          </w:tcPr>
          <w:p w14:paraId="5AE2FC2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7B3F92">
              <w:rPr>
                <w:rFonts w:eastAsia="Times New Roman" w:cs="Times New Roman"/>
                <w:kern w:val="0"/>
                <w:sz w:val="20"/>
                <w:szCs w:val="20"/>
                <w14:ligatures w14:val="none"/>
              </w:rPr>
              <w:t>NO</w:t>
            </w:r>
          </w:p>
        </w:tc>
        <w:tc>
          <w:tcPr>
            <w:tcW w:w="830" w:type="dxa"/>
            <w:noWrap/>
            <w:hideMark/>
          </w:tcPr>
          <w:p w14:paraId="50F0C254"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1025" w:type="dxa"/>
            <w:noWrap/>
            <w:hideMark/>
          </w:tcPr>
          <w:p w14:paraId="3F5C0002"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920" w:type="dxa"/>
            <w:noWrap/>
            <w:hideMark/>
          </w:tcPr>
          <w:p w14:paraId="4779315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r>
      <w:tr w:rsidR="00405AFE" w:rsidRPr="007B3F92" w14:paraId="620E6DBD"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083771FB" w14:textId="77777777" w:rsidR="007B3F92" w:rsidRPr="007B3F92" w:rsidRDefault="007B3F92" w:rsidP="007B3F92">
            <w:pPr>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D</w:t>
            </w:r>
          </w:p>
        </w:tc>
        <w:tc>
          <w:tcPr>
            <w:tcW w:w="1247" w:type="dxa"/>
            <w:noWrap/>
            <w:hideMark/>
          </w:tcPr>
          <w:p w14:paraId="521C61A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Inland</w:t>
            </w:r>
          </w:p>
        </w:tc>
        <w:tc>
          <w:tcPr>
            <w:tcW w:w="990" w:type="dxa"/>
            <w:noWrap/>
            <w:hideMark/>
          </w:tcPr>
          <w:p w14:paraId="25DA4737"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c>
          <w:tcPr>
            <w:tcW w:w="998" w:type="dxa"/>
            <w:noWrap/>
            <w:hideMark/>
          </w:tcPr>
          <w:p w14:paraId="41EAC7C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(Poor)</w:t>
            </w:r>
          </w:p>
        </w:tc>
        <w:tc>
          <w:tcPr>
            <w:tcW w:w="826" w:type="dxa"/>
            <w:noWrap/>
            <w:hideMark/>
          </w:tcPr>
          <w:p w14:paraId="66FEB2A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(Good)</w:t>
            </w:r>
          </w:p>
        </w:tc>
        <w:tc>
          <w:tcPr>
            <w:tcW w:w="1017" w:type="dxa"/>
            <w:noWrap/>
            <w:hideMark/>
          </w:tcPr>
          <w:p w14:paraId="54185B3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942" w:type="dxa"/>
            <w:noWrap/>
            <w:hideMark/>
          </w:tcPr>
          <w:p w14:paraId="4570A08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1276" w:type="dxa"/>
            <w:noWrap/>
            <w:hideMark/>
          </w:tcPr>
          <w:p w14:paraId="0CCA45F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(Wholesale, higher)</w:t>
            </w:r>
          </w:p>
        </w:tc>
        <w:tc>
          <w:tcPr>
            <w:tcW w:w="807" w:type="dxa"/>
            <w:noWrap/>
            <w:hideMark/>
          </w:tcPr>
          <w:p w14:paraId="46E9D032"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7B3F92">
              <w:rPr>
                <w:rFonts w:eastAsia="Times New Roman" w:cs="Times New Roman"/>
                <w:kern w:val="0"/>
                <w:sz w:val="20"/>
                <w:szCs w:val="20"/>
                <w14:ligatures w14:val="none"/>
              </w:rPr>
              <w:t>NO</w:t>
            </w:r>
          </w:p>
        </w:tc>
        <w:tc>
          <w:tcPr>
            <w:tcW w:w="830" w:type="dxa"/>
            <w:noWrap/>
            <w:hideMark/>
          </w:tcPr>
          <w:p w14:paraId="12E4D6FF"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1025" w:type="dxa"/>
            <w:noWrap/>
            <w:hideMark/>
          </w:tcPr>
          <w:p w14:paraId="7018BD64"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(20 kT)</w:t>
            </w:r>
          </w:p>
        </w:tc>
        <w:tc>
          <w:tcPr>
            <w:tcW w:w="920" w:type="dxa"/>
            <w:noWrap/>
            <w:hideMark/>
          </w:tcPr>
          <w:p w14:paraId="00268D7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r>
      <w:tr w:rsidR="00405AFE" w:rsidRPr="007B3F92" w14:paraId="6CEDBBCC"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5E94E57E" w14:textId="77777777" w:rsidR="007B3F92" w:rsidRPr="007B3F92" w:rsidRDefault="007B3F92" w:rsidP="007B3F92">
            <w:pPr>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E</w:t>
            </w:r>
          </w:p>
        </w:tc>
        <w:tc>
          <w:tcPr>
            <w:tcW w:w="1247" w:type="dxa"/>
            <w:noWrap/>
            <w:hideMark/>
          </w:tcPr>
          <w:p w14:paraId="11350857"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Suburb, peaker plant</w:t>
            </w:r>
          </w:p>
        </w:tc>
        <w:tc>
          <w:tcPr>
            <w:tcW w:w="990" w:type="dxa"/>
            <w:noWrap/>
            <w:hideMark/>
          </w:tcPr>
          <w:p w14:paraId="3A8DA4D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c>
          <w:tcPr>
            <w:tcW w:w="998" w:type="dxa"/>
            <w:noWrap/>
            <w:hideMark/>
          </w:tcPr>
          <w:p w14:paraId="66FA48B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826" w:type="dxa"/>
            <w:noWrap/>
            <w:hideMark/>
          </w:tcPr>
          <w:p w14:paraId="2AC36DB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(Good)</w:t>
            </w:r>
          </w:p>
        </w:tc>
        <w:tc>
          <w:tcPr>
            <w:tcW w:w="1017" w:type="dxa"/>
            <w:noWrap/>
            <w:hideMark/>
          </w:tcPr>
          <w:p w14:paraId="2653EC67"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942" w:type="dxa"/>
            <w:noWrap/>
            <w:hideMark/>
          </w:tcPr>
          <w:p w14:paraId="7CA101B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1276" w:type="dxa"/>
            <w:noWrap/>
            <w:hideMark/>
          </w:tcPr>
          <w:p w14:paraId="47CC6CB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(Fixed residential)</w:t>
            </w:r>
          </w:p>
        </w:tc>
        <w:tc>
          <w:tcPr>
            <w:tcW w:w="807" w:type="dxa"/>
            <w:noWrap/>
            <w:hideMark/>
          </w:tcPr>
          <w:p w14:paraId="0873F6E9"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7B3F92">
              <w:rPr>
                <w:rFonts w:eastAsia="Times New Roman" w:cs="Times New Roman"/>
                <w:kern w:val="0"/>
                <w:sz w:val="20"/>
                <w:szCs w:val="20"/>
                <w14:ligatures w14:val="none"/>
              </w:rPr>
              <w:t>NO</w:t>
            </w:r>
          </w:p>
        </w:tc>
        <w:tc>
          <w:tcPr>
            <w:tcW w:w="830" w:type="dxa"/>
            <w:noWrap/>
            <w:hideMark/>
          </w:tcPr>
          <w:p w14:paraId="63D40C3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1025" w:type="dxa"/>
            <w:noWrap/>
            <w:hideMark/>
          </w:tcPr>
          <w:p w14:paraId="58E6072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920" w:type="dxa"/>
            <w:noWrap/>
            <w:hideMark/>
          </w:tcPr>
          <w:p w14:paraId="0BAC52B6"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r>
      <w:tr w:rsidR="00405AFE" w:rsidRPr="007B3F92" w14:paraId="71E509F5"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774A7D56" w14:textId="77777777" w:rsidR="007B3F92" w:rsidRPr="007B3F92" w:rsidRDefault="007B3F92" w:rsidP="007B3F92">
            <w:pPr>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F</w:t>
            </w:r>
          </w:p>
        </w:tc>
        <w:tc>
          <w:tcPr>
            <w:tcW w:w="1247" w:type="dxa"/>
            <w:noWrap/>
            <w:hideMark/>
          </w:tcPr>
          <w:p w14:paraId="7FB752B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Coastal</w:t>
            </w:r>
          </w:p>
        </w:tc>
        <w:tc>
          <w:tcPr>
            <w:tcW w:w="990" w:type="dxa"/>
            <w:noWrap/>
            <w:hideMark/>
          </w:tcPr>
          <w:p w14:paraId="36EDF84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c>
          <w:tcPr>
            <w:tcW w:w="998" w:type="dxa"/>
            <w:noWrap/>
            <w:hideMark/>
          </w:tcPr>
          <w:p w14:paraId="625B5B24"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826" w:type="dxa"/>
            <w:noWrap/>
            <w:hideMark/>
          </w:tcPr>
          <w:p w14:paraId="65C4649E"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(Good)</w:t>
            </w:r>
          </w:p>
        </w:tc>
        <w:tc>
          <w:tcPr>
            <w:tcW w:w="1017" w:type="dxa"/>
            <w:noWrap/>
            <w:hideMark/>
          </w:tcPr>
          <w:p w14:paraId="3A54FAD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c>
          <w:tcPr>
            <w:tcW w:w="942" w:type="dxa"/>
            <w:noWrap/>
            <w:hideMark/>
          </w:tcPr>
          <w:p w14:paraId="69288E4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1276" w:type="dxa"/>
            <w:noWrap/>
            <w:hideMark/>
          </w:tcPr>
          <w:p w14:paraId="53E646A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(Wholesale, higher)</w:t>
            </w:r>
          </w:p>
        </w:tc>
        <w:tc>
          <w:tcPr>
            <w:tcW w:w="807" w:type="dxa"/>
            <w:noWrap/>
            <w:hideMark/>
          </w:tcPr>
          <w:p w14:paraId="4430615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7B3F92">
              <w:rPr>
                <w:rFonts w:eastAsia="Times New Roman" w:cs="Times New Roman"/>
                <w:kern w:val="0"/>
                <w:sz w:val="20"/>
                <w:szCs w:val="20"/>
                <w14:ligatures w14:val="none"/>
              </w:rPr>
              <w:t>NO</w:t>
            </w:r>
          </w:p>
        </w:tc>
        <w:tc>
          <w:tcPr>
            <w:tcW w:w="830" w:type="dxa"/>
            <w:noWrap/>
            <w:hideMark/>
          </w:tcPr>
          <w:p w14:paraId="0F13DC38"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1025" w:type="dxa"/>
            <w:noWrap/>
            <w:hideMark/>
          </w:tcPr>
          <w:p w14:paraId="07F4030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920" w:type="dxa"/>
            <w:noWrap/>
            <w:hideMark/>
          </w:tcPr>
          <w:p w14:paraId="3723C262"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r>
    </w:tbl>
    <w:p w14:paraId="15149935" w14:textId="77777777" w:rsidR="00502F8B" w:rsidRDefault="00502F8B" w:rsidP="00502F8B"/>
    <w:p w14:paraId="308A8B83" w14:textId="7E979636" w:rsidR="00193926" w:rsidRDefault="00405AFE" w:rsidP="00405AFE">
      <w:pPr>
        <w:jc w:val="center"/>
      </w:pPr>
      <w:r w:rsidRPr="00405AFE">
        <w:rPr>
          <w:noProof/>
        </w:rPr>
        <w:lastRenderedPageBreak/>
        <w:drawing>
          <wp:inline distT="0" distB="0" distL="0" distR="0" wp14:anchorId="62F3EDAC" wp14:editId="5B054D7E">
            <wp:extent cx="4253948" cy="2727960"/>
            <wp:effectExtent l="0" t="0" r="635" b="2540"/>
            <wp:docPr id="131538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88506" name=""/>
                    <pic:cNvPicPr/>
                  </pic:nvPicPr>
                  <pic:blipFill rotWithShape="1">
                    <a:blip r:embed="rId4"/>
                    <a:srcRect l="4800" t="2783" r="5867" b="1739"/>
                    <a:stretch/>
                  </pic:blipFill>
                  <pic:spPr bwMode="auto">
                    <a:xfrm>
                      <a:off x="0" y="0"/>
                      <a:ext cx="4254464" cy="2728291"/>
                    </a:xfrm>
                    <a:prstGeom prst="rect">
                      <a:avLst/>
                    </a:prstGeom>
                    <a:ln>
                      <a:noFill/>
                    </a:ln>
                    <a:extLst>
                      <a:ext uri="{53640926-AAD7-44D8-BBD7-CCE9431645EC}">
                        <a14:shadowObscured xmlns:a14="http://schemas.microsoft.com/office/drawing/2010/main"/>
                      </a:ext>
                    </a:extLst>
                  </pic:spPr>
                </pic:pic>
              </a:graphicData>
            </a:graphic>
          </wp:inline>
        </w:drawing>
      </w:r>
    </w:p>
    <w:p w14:paraId="23617384" w14:textId="6C996259" w:rsidR="007B3F92" w:rsidRDefault="00502F8B" w:rsidP="00502F8B">
      <w:r>
        <w:t>Node A (Connection Point): This node serves as a major junction in the hydrogen network, with no local demand but significant import and export capabilities. It is well-equipped with good onshore wind resources and modest solar potential. It connects to the wholesale grid at a lower capacity and has tank storage facilities.</w:t>
      </w:r>
    </w:p>
    <w:p w14:paraId="2103DE90" w14:textId="535ED08A" w:rsidR="00502F8B" w:rsidRDefault="00502F8B" w:rsidP="00502F8B">
      <w:r>
        <w:t>Node B (Industrial Site): Characterized by a relatively large and flat demand profile, this site supports both onshore wind and solar (though with poor offshore wind potential). It has a fixed industrial grid connection, allowing it to manage stable hydrogen production and storage.</w:t>
      </w:r>
    </w:p>
    <w:p w14:paraId="7B5693A8" w14:textId="777320A9" w:rsidR="00502F8B" w:rsidRDefault="00502F8B" w:rsidP="00502F8B">
      <w:r>
        <w:t>Node C (City): The city experiences medium demand, peaking in winter for heating and a consistent baseline for fleet vehicles. It lacks significant renewable energy resources and grid connectivity for hydrogen export or import.</w:t>
      </w:r>
    </w:p>
    <w:p w14:paraId="101CFF3E" w14:textId="16B8EE21" w:rsidR="00502F8B" w:rsidRDefault="00502F8B" w:rsidP="00502F8B">
      <w:r>
        <w:t>Node D (Inland): With small demand primarily for heavy-duty fuel cell electric vehicles (HD FCEVs), this node has poor onshore wind but good solar potential. It connects to the wholesale grid at a higher capacity and has significant geologic storage (20 kT) alongside tank storage.</w:t>
      </w:r>
    </w:p>
    <w:p w14:paraId="04697E53" w14:textId="4F942FD8" w:rsidR="00502F8B" w:rsidRDefault="00502F8B" w:rsidP="00502F8B">
      <w:r>
        <w:t>Node E (Suburb, Peaker Plant): This node has a large demand, especially in summer for power generation. It has good offshore wind potential and a fixed residential grid connection, though it lacks geological storage.</w:t>
      </w:r>
    </w:p>
    <w:p w14:paraId="5E1FE91A" w14:textId="77777777" w:rsidR="00502F8B" w:rsidRDefault="00502F8B" w:rsidP="00502F8B">
      <w:r>
        <w:t>Node F (Coastal): The coastal node features medium demand for port operations with relatively flat consumption patterns. It harnesses good offshore wind resources and is connected to the wholesale grid at a higher capacity. Tank storage is available, but there is no geologic storage.</w:t>
      </w:r>
    </w:p>
    <w:p w14:paraId="093E7812" w14:textId="77777777" w:rsidR="00502F8B" w:rsidRDefault="00502F8B" w:rsidP="00502F8B"/>
    <w:p w14:paraId="3C90F40D" w14:textId="4B200B36" w:rsidR="00502F8B" w:rsidRPr="00B75F8C" w:rsidRDefault="00502F8B" w:rsidP="007B3F92">
      <w:pPr>
        <w:pStyle w:val="Subtitle"/>
        <w:rPr>
          <w:b/>
          <w:bCs/>
        </w:rPr>
      </w:pPr>
      <w:r w:rsidRPr="00B75F8C">
        <w:rPr>
          <w:b/>
          <w:bCs/>
        </w:rPr>
        <w:t>Technologies</w:t>
      </w:r>
      <w:r w:rsidR="00B46B16" w:rsidRPr="00B75F8C">
        <w:rPr>
          <w:b/>
          <w:bCs/>
        </w:rPr>
        <w:t xml:space="preserve"> and Cost Reference</w:t>
      </w:r>
      <w:r w:rsidRPr="00B75F8C">
        <w:rPr>
          <w:b/>
          <w:bCs/>
        </w:rPr>
        <w:t>:</w:t>
      </w:r>
    </w:p>
    <w:tbl>
      <w:tblPr>
        <w:tblStyle w:val="TableGrid"/>
        <w:tblW w:w="0" w:type="auto"/>
        <w:tblLook w:val="04A0" w:firstRow="1" w:lastRow="0" w:firstColumn="1" w:lastColumn="0" w:noHBand="0" w:noVBand="1"/>
      </w:tblPr>
      <w:tblGrid>
        <w:gridCol w:w="1724"/>
        <w:gridCol w:w="2231"/>
        <w:gridCol w:w="5395"/>
      </w:tblGrid>
      <w:tr w:rsidR="007B3F92" w:rsidRPr="007B3F92" w14:paraId="4E629957" w14:textId="77777777" w:rsidTr="007B3F92">
        <w:trPr>
          <w:trHeight w:val="320"/>
        </w:trPr>
        <w:tc>
          <w:tcPr>
            <w:tcW w:w="1724" w:type="dxa"/>
            <w:noWrap/>
            <w:hideMark/>
          </w:tcPr>
          <w:p w14:paraId="423CA2F5" w14:textId="77777777" w:rsidR="007B3F92" w:rsidRPr="007B3F92" w:rsidRDefault="007B3F92">
            <w:r w:rsidRPr="007B3F92">
              <w:t>Type</w:t>
            </w:r>
          </w:p>
        </w:tc>
        <w:tc>
          <w:tcPr>
            <w:tcW w:w="2231" w:type="dxa"/>
            <w:noWrap/>
            <w:hideMark/>
          </w:tcPr>
          <w:p w14:paraId="2B446A3F" w14:textId="77777777" w:rsidR="007B3F92" w:rsidRPr="007B3F92" w:rsidRDefault="007B3F92">
            <w:r w:rsidRPr="007B3F92">
              <w:t>Tech</w:t>
            </w:r>
          </w:p>
        </w:tc>
        <w:tc>
          <w:tcPr>
            <w:tcW w:w="5395" w:type="dxa"/>
            <w:noWrap/>
            <w:hideMark/>
          </w:tcPr>
          <w:p w14:paraId="7AACB32C" w14:textId="77777777" w:rsidR="007B3F92" w:rsidRPr="007B3F92" w:rsidRDefault="007B3F92">
            <w:r w:rsidRPr="007B3F92">
              <w:t>Cost Reference</w:t>
            </w:r>
          </w:p>
        </w:tc>
      </w:tr>
      <w:tr w:rsidR="007B3F92" w:rsidRPr="007B3F92" w14:paraId="492F464E" w14:textId="77777777" w:rsidTr="007B3F92">
        <w:trPr>
          <w:trHeight w:val="320"/>
        </w:trPr>
        <w:tc>
          <w:tcPr>
            <w:tcW w:w="1724" w:type="dxa"/>
            <w:noWrap/>
            <w:hideMark/>
          </w:tcPr>
          <w:p w14:paraId="37A19046" w14:textId="77777777" w:rsidR="007B3F92" w:rsidRPr="007B3F92" w:rsidRDefault="007B3F92">
            <w:r w:rsidRPr="007B3F92">
              <w:t>Renewable</w:t>
            </w:r>
          </w:p>
        </w:tc>
        <w:tc>
          <w:tcPr>
            <w:tcW w:w="2231" w:type="dxa"/>
            <w:noWrap/>
            <w:hideMark/>
          </w:tcPr>
          <w:p w14:paraId="4C2895F6" w14:textId="77777777" w:rsidR="007B3F92" w:rsidRPr="007B3F92" w:rsidRDefault="007B3F92">
            <w:r w:rsidRPr="007B3F92">
              <w:t>Onshore wind</w:t>
            </w:r>
          </w:p>
        </w:tc>
        <w:tc>
          <w:tcPr>
            <w:tcW w:w="5395" w:type="dxa"/>
            <w:noWrap/>
            <w:hideMark/>
          </w:tcPr>
          <w:p w14:paraId="4C0DD19D" w14:textId="77777777" w:rsidR="007B3F92" w:rsidRPr="007B3F92" w:rsidRDefault="007B3F92">
            <w:r w:rsidRPr="007B3F92">
              <w:t>NREL ATB moderate</w:t>
            </w:r>
          </w:p>
        </w:tc>
      </w:tr>
      <w:tr w:rsidR="007B3F92" w:rsidRPr="007B3F92" w14:paraId="76D30A4D" w14:textId="77777777" w:rsidTr="007B3F92">
        <w:trPr>
          <w:trHeight w:val="320"/>
        </w:trPr>
        <w:tc>
          <w:tcPr>
            <w:tcW w:w="1724" w:type="dxa"/>
            <w:noWrap/>
            <w:hideMark/>
          </w:tcPr>
          <w:p w14:paraId="35A9091C" w14:textId="77777777" w:rsidR="007B3F92" w:rsidRPr="007B3F92" w:rsidRDefault="007B3F92">
            <w:r w:rsidRPr="007B3F92">
              <w:t>Renewable</w:t>
            </w:r>
          </w:p>
        </w:tc>
        <w:tc>
          <w:tcPr>
            <w:tcW w:w="2231" w:type="dxa"/>
            <w:noWrap/>
            <w:hideMark/>
          </w:tcPr>
          <w:p w14:paraId="30CF4ACB" w14:textId="77777777" w:rsidR="007B3F92" w:rsidRPr="007B3F92" w:rsidRDefault="007B3F92">
            <w:r w:rsidRPr="007B3F92">
              <w:t>Offshore Wind</w:t>
            </w:r>
          </w:p>
        </w:tc>
        <w:tc>
          <w:tcPr>
            <w:tcW w:w="5395" w:type="dxa"/>
            <w:noWrap/>
            <w:hideMark/>
          </w:tcPr>
          <w:p w14:paraId="1B751C80" w14:textId="77777777" w:rsidR="007B3F92" w:rsidRPr="007B3F92" w:rsidRDefault="007B3F92">
            <w:r w:rsidRPr="007B3F92">
              <w:t>NREL ATB moderate</w:t>
            </w:r>
          </w:p>
        </w:tc>
      </w:tr>
      <w:tr w:rsidR="007B3F92" w:rsidRPr="007B3F92" w14:paraId="62FF7E9C" w14:textId="77777777" w:rsidTr="007B3F92">
        <w:trPr>
          <w:trHeight w:val="320"/>
        </w:trPr>
        <w:tc>
          <w:tcPr>
            <w:tcW w:w="1724" w:type="dxa"/>
            <w:noWrap/>
            <w:hideMark/>
          </w:tcPr>
          <w:p w14:paraId="193F27D5" w14:textId="77777777" w:rsidR="007B3F92" w:rsidRPr="007B3F92" w:rsidRDefault="007B3F92">
            <w:r w:rsidRPr="007B3F92">
              <w:t>Renewable</w:t>
            </w:r>
          </w:p>
        </w:tc>
        <w:tc>
          <w:tcPr>
            <w:tcW w:w="2231" w:type="dxa"/>
            <w:noWrap/>
            <w:hideMark/>
          </w:tcPr>
          <w:p w14:paraId="26E7D399" w14:textId="77777777" w:rsidR="007B3F92" w:rsidRPr="007B3F92" w:rsidRDefault="007B3F92">
            <w:r w:rsidRPr="007B3F92">
              <w:t>Solar</w:t>
            </w:r>
          </w:p>
        </w:tc>
        <w:tc>
          <w:tcPr>
            <w:tcW w:w="5395" w:type="dxa"/>
            <w:noWrap/>
            <w:hideMark/>
          </w:tcPr>
          <w:p w14:paraId="26AD576C" w14:textId="77777777" w:rsidR="007B3F92" w:rsidRPr="007B3F92" w:rsidRDefault="007B3F92">
            <w:r w:rsidRPr="007B3F92">
              <w:t>NREL ATB moderate</w:t>
            </w:r>
          </w:p>
        </w:tc>
      </w:tr>
      <w:tr w:rsidR="007B3F92" w:rsidRPr="007B3F92" w14:paraId="2FCB2295" w14:textId="77777777" w:rsidTr="007B3F92">
        <w:trPr>
          <w:trHeight w:val="320"/>
        </w:trPr>
        <w:tc>
          <w:tcPr>
            <w:tcW w:w="1724" w:type="dxa"/>
            <w:noWrap/>
            <w:hideMark/>
          </w:tcPr>
          <w:p w14:paraId="7EA8FF3C" w14:textId="77777777" w:rsidR="007B3F92" w:rsidRPr="007B3F92" w:rsidRDefault="007B3F92">
            <w:r w:rsidRPr="007B3F92">
              <w:t>Renewable</w:t>
            </w:r>
          </w:p>
        </w:tc>
        <w:tc>
          <w:tcPr>
            <w:tcW w:w="2231" w:type="dxa"/>
            <w:noWrap/>
            <w:hideMark/>
          </w:tcPr>
          <w:p w14:paraId="34549576" w14:textId="77777777" w:rsidR="007B3F92" w:rsidRPr="007B3F92" w:rsidRDefault="007B3F92">
            <w:r w:rsidRPr="007B3F92">
              <w:t>Nuclear</w:t>
            </w:r>
          </w:p>
        </w:tc>
        <w:tc>
          <w:tcPr>
            <w:tcW w:w="5395" w:type="dxa"/>
            <w:noWrap/>
            <w:hideMark/>
          </w:tcPr>
          <w:p w14:paraId="2BF6A2AA" w14:textId="77777777" w:rsidR="007B3F92" w:rsidRPr="007B3F92" w:rsidRDefault="007B3F92">
            <w:r w:rsidRPr="007B3F92">
              <w:t>LCOE from H2@Scale</w:t>
            </w:r>
          </w:p>
        </w:tc>
      </w:tr>
      <w:tr w:rsidR="007B3F92" w:rsidRPr="007B3F92" w14:paraId="6DD16C5D" w14:textId="77777777" w:rsidTr="007B3F92">
        <w:trPr>
          <w:trHeight w:val="320"/>
        </w:trPr>
        <w:tc>
          <w:tcPr>
            <w:tcW w:w="1724" w:type="dxa"/>
            <w:noWrap/>
            <w:hideMark/>
          </w:tcPr>
          <w:p w14:paraId="1EFA8B44" w14:textId="77777777" w:rsidR="007B3F92" w:rsidRPr="007B3F92" w:rsidRDefault="007B3F92">
            <w:r w:rsidRPr="007B3F92">
              <w:t>Renewable</w:t>
            </w:r>
          </w:p>
        </w:tc>
        <w:tc>
          <w:tcPr>
            <w:tcW w:w="2231" w:type="dxa"/>
            <w:noWrap/>
            <w:hideMark/>
          </w:tcPr>
          <w:p w14:paraId="0CBD8114" w14:textId="77777777" w:rsidR="007B3F92" w:rsidRPr="007B3F92" w:rsidRDefault="007B3F92">
            <w:r w:rsidRPr="007B3F92">
              <w:t>Grid</w:t>
            </w:r>
          </w:p>
        </w:tc>
        <w:tc>
          <w:tcPr>
            <w:tcW w:w="5395" w:type="dxa"/>
            <w:noWrap/>
            <w:hideMark/>
          </w:tcPr>
          <w:p w14:paraId="5D0D99C8" w14:textId="77777777" w:rsidR="007B3F92" w:rsidRPr="007B3F92" w:rsidRDefault="007B3F92">
            <w:r w:rsidRPr="007B3F92">
              <w:t>NREL Cambium (Mid-case) for US national in hourly resolution (total_cost_enduse)</w:t>
            </w:r>
          </w:p>
        </w:tc>
      </w:tr>
      <w:tr w:rsidR="007B3F92" w:rsidRPr="007B3F92" w14:paraId="3D6AFF42" w14:textId="77777777" w:rsidTr="007B3F92">
        <w:trPr>
          <w:trHeight w:val="320"/>
        </w:trPr>
        <w:tc>
          <w:tcPr>
            <w:tcW w:w="1724" w:type="dxa"/>
            <w:noWrap/>
            <w:hideMark/>
          </w:tcPr>
          <w:p w14:paraId="16371C68" w14:textId="77777777" w:rsidR="007B3F92" w:rsidRPr="007B3F92" w:rsidRDefault="007B3F92">
            <w:r w:rsidRPr="007B3F92">
              <w:t>H2 production</w:t>
            </w:r>
          </w:p>
        </w:tc>
        <w:tc>
          <w:tcPr>
            <w:tcW w:w="2231" w:type="dxa"/>
            <w:noWrap/>
            <w:hideMark/>
          </w:tcPr>
          <w:p w14:paraId="5B49758E" w14:textId="77777777" w:rsidR="007B3F92" w:rsidRPr="007B3F92" w:rsidRDefault="007B3F92">
            <w:r w:rsidRPr="007B3F92">
              <w:t>PEM Electrolyzer</w:t>
            </w:r>
          </w:p>
        </w:tc>
        <w:tc>
          <w:tcPr>
            <w:tcW w:w="5395" w:type="dxa"/>
            <w:noWrap/>
            <w:hideMark/>
          </w:tcPr>
          <w:p w14:paraId="2C2FB622" w14:textId="77777777" w:rsidR="007B3F92" w:rsidRPr="007B3F92" w:rsidRDefault="007B3F92">
            <w:r w:rsidRPr="007B3F92">
              <w:t>H2A</w:t>
            </w:r>
          </w:p>
        </w:tc>
      </w:tr>
      <w:tr w:rsidR="007B3F92" w:rsidRPr="007B3F92" w14:paraId="34E21C4F" w14:textId="77777777" w:rsidTr="007B3F92">
        <w:trPr>
          <w:trHeight w:val="320"/>
        </w:trPr>
        <w:tc>
          <w:tcPr>
            <w:tcW w:w="1724" w:type="dxa"/>
            <w:noWrap/>
            <w:hideMark/>
          </w:tcPr>
          <w:p w14:paraId="4CCF56B3" w14:textId="77777777" w:rsidR="007B3F92" w:rsidRPr="007B3F92" w:rsidRDefault="007B3F92">
            <w:r w:rsidRPr="007B3F92">
              <w:t>Storage</w:t>
            </w:r>
          </w:p>
        </w:tc>
        <w:tc>
          <w:tcPr>
            <w:tcW w:w="2231" w:type="dxa"/>
            <w:noWrap/>
            <w:hideMark/>
          </w:tcPr>
          <w:p w14:paraId="493DF50E" w14:textId="77777777" w:rsidR="007B3F92" w:rsidRPr="007B3F92" w:rsidRDefault="007B3F92">
            <w:r w:rsidRPr="007B3F92">
              <w:t>Geologic</w:t>
            </w:r>
          </w:p>
        </w:tc>
        <w:tc>
          <w:tcPr>
            <w:tcW w:w="5395" w:type="dxa"/>
            <w:noWrap/>
            <w:hideMark/>
          </w:tcPr>
          <w:p w14:paraId="68EF06BB" w14:textId="77777777" w:rsidR="007B3F92" w:rsidRPr="007B3F92" w:rsidRDefault="007B3F92">
            <w:r w:rsidRPr="007B3F92">
              <w:t>US number similar to NYSERDA, reference check with Jesse</w:t>
            </w:r>
          </w:p>
        </w:tc>
      </w:tr>
      <w:tr w:rsidR="007B3F92" w:rsidRPr="007B3F92" w14:paraId="720F6D14" w14:textId="77777777" w:rsidTr="007B3F92">
        <w:trPr>
          <w:trHeight w:val="320"/>
        </w:trPr>
        <w:tc>
          <w:tcPr>
            <w:tcW w:w="1724" w:type="dxa"/>
            <w:noWrap/>
            <w:hideMark/>
          </w:tcPr>
          <w:p w14:paraId="6164DD83" w14:textId="77777777" w:rsidR="007B3F92" w:rsidRPr="007B3F92" w:rsidRDefault="007B3F92">
            <w:r w:rsidRPr="007B3F92">
              <w:t>Storage</w:t>
            </w:r>
          </w:p>
        </w:tc>
        <w:tc>
          <w:tcPr>
            <w:tcW w:w="2231" w:type="dxa"/>
            <w:noWrap/>
            <w:hideMark/>
          </w:tcPr>
          <w:p w14:paraId="7592CA1F" w14:textId="77777777" w:rsidR="007B3F92" w:rsidRPr="007B3F92" w:rsidRDefault="007B3F92">
            <w:r w:rsidRPr="007B3F92">
              <w:t>Tank</w:t>
            </w:r>
          </w:p>
        </w:tc>
        <w:tc>
          <w:tcPr>
            <w:tcW w:w="5395" w:type="dxa"/>
            <w:noWrap/>
            <w:hideMark/>
          </w:tcPr>
          <w:p w14:paraId="1B60F7CE" w14:textId="77777777" w:rsidR="007B3F92" w:rsidRPr="007B3F92" w:rsidRDefault="007B3F92">
            <w:r w:rsidRPr="007B3F92">
              <w:t>US number similar to NYSERDA, reference check with Jesse</w:t>
            </w:r>
          </w:p>
        </w:tc>
      </w:tr>
      <w:tr w:rsidR="007B3F92" w:rsidRPr="007B3F92" w14:paraId="0FDF2540" w14:textId="77777777" w:rsidTr="007B3F92">
        <w:trPr>
          <w:trHeight w:val="320"/>
        </w:trPr>
        <w:tc>
          <w:tcPr>
            <w:tcW w:w="1724" w:type="dxa"/>
            <w:noWrap/>
            <w:hideMark/>
          </w:tcPr>
          <w:p w14:paraId="54D890E6" w14:textId="77777777" w:rsidR="007B3F92" w:rsidRPr="007B3F92" w:rsidRDefault="007B3F92">
            <w:r w:rsidRPr="007B3F92">
              <w:t>H2 Delivery</w:t>
            </w:r>
          </w:p>
        </w:tc>
        <w:tc>
          <w:tcPr>
            <w:tcW w:w="2231" w:type="dxa"/>
            <w:noWrap/>
            <w:hideMark/>
          </w:tcPr>
          <w:p w14:paraId="133BB27B" w14:textId="77777777" w:rsidR="007B3F92" w:rsidRPr="007B3F92" w:rsidRDefault="007B3F92">
            <w:r w:rsidRPr="007B3F92">
              <w:t>Pipeline</w:t>
            </w:r>
          </w:p>
        </w:tc>
        <w:tc>
          <w:tcPr>
            <w:tcW w:w="5395" w:type="dxa"/>
            <w:noWrap/>
            <w:hideMark/>
          </w:tcPr>
          <w:p w14:paraId="743AD3E0" w14:textId="77777777" w:rsidR="007B3F92" w:rsidRPr="007B3F92" w:rsidRDefault="007B3F92">
            <w:r w:rsidRPr="007B3F92">
              <w:t>US number similar to NYSERDA, reference check with Jesse</w:t>
            </w:r>
          </w:p>
        </w:tc>
      </w:tr>
      <w:tr w:rsidR="007B3F92" w:rsidRPr="007B3F92" w14:paraId="77084E86" w14:textId="77777777" w:rsidTr="007B3F92">
        <w:trPr>
          <w:trHeight w:val="320"/>
        </w:trPr>
        <w:tc>
          <w:tcPr>
            <w:tcW w:w="1724" w:type="dxa"/>
            <w:noWrap/>
            <w:hideMark/>
          </w:tcPr>
          <w:p w14:paraId="7EA4B8E0" w14:textId="77777777" w:rsidR="007B3F92" w:rsidRPr="007B3F92" w:rsidRDefault="007B3F92">
            <w:r w:rsidRPr="007B3F92">
              <w:t>H2 Delivery</w:t>
            </w:r>
          </w:p>
        </w:tc>
        <w:tc>
          <w:tcPr>
            <w:tcW w:w="2231" w:type="dxa"/>
            <w:noWrap/>
            <w:hideMark/>
          </w:tcPr>
          <w:p w14:paraId="10556529" w14:textId="77777777" w:rsidR="007B3F92" w:rsidRPr="007B3F92" w:rsidRDefault="007B3F92">
            <w:r w:rsidRPr="007B3F92">
              <w:t>Truck</w:t>
            </w:r>
          </w:p>
        </w:tc>
        <w:tc>
          <w:tcPr>
            <w:tcW w:w="5395" w:type="dxa"/>
            <w:noWrap/>
            <w:hideMark/>
          </w:tcPr>
          <w:p w14:paraId="37168C12" w14:textId="77777777" w:rsidR="007B3F92" w:rsidRPr="007B3F92" w:rsidRDefault="007B3F92">
            <w:r w:rsidRPr="007B3F92">
              <w:t>US number similar to NYSERDA, reference check with Jesse</w:t>
            </w:r>
          </w:p>
        </w:tc>
      </w:tr>
    </w:tbl>
    <w:p w14:paraId="1FEF6254" w14:textId="77777777" w:rsidR="00502F8B" w:rsidRDefault="00502F8B" w:rsidP="00502F8B"/>
    <w:p w14:paraId="3D9BEE8F" w14:textId="77777777" w:rsidR="00502F8B" w:rsidRDefault="00502F8B" w:rsidP="00502F8B">
      <w:r>
        <w:t>Renewable Energy: Includes onshore wind, offshore wind, solar, and nuclear energy, all of which are crucial for sustainable hydrogen production.</w:t>
      </w:r>
    </w:p>
    <w:p w14:paraId="221BA6B6" w14:textId="77777777" w:rsidR="00502F8B" w:rsidRDefault="00502F8B" w:rsidP="00502F8B">
      <w:r>
        <w:t>H2 Production: Primarily relies on PEM (Proton Exchange Membrane) Electrolyzers to convert renewable energy into hydrogen.</w:t>
      </w:r>
    </w:p>
    <w:p w14:paraId="19D767E4" w14:textId="77777777" w:rsidR="00502F8B" w:rsidRDefault="00502F8B" w:rsidP="00502F8B">
      <w:r>
        <w:t>Storage: Hydrogen can be stored in geological formations or in tanks, providing flexibility and resilience to the supply chain.</w:t>
      </w:r>
    </w:p>
    <w:p w14:paraId="77B94C26" w14:textId="77777777" w:rsidR="00502F8B" w:rsidRDefault="00502F8B" w:rsidP="00502F8B">
      <w:r>
        <w:t>H2 Delivery: Includes pipelines and trucks, facilitating the distribution of hydrogen across various nodes and to end users.</w:t>
      </w:r>
    </w:p>
    <w:p w14:paraId="6F5CB3F9" w14:textId="1AAB4219" w:rsidR="007E74BA" w:rsidRDefault="00502F8B" w:rsidP="00502F8B">
      <w:r>
        <w:t>This structured evaluation aims to identify optimal configurations and strategies for hydrogen production, storage, and distribution, ensuring a robust and efficient hydrogen economy.</w:t>
      </w:r>
    </w:p>
    <w:p w14:paraId="504D79E4" w14:textId="77777777" w:rsidR="00B75F8C" w:rsidRDefault="00B75F8C" w:rsidP="00502F8B"/>
    <w:p w14:paraId="7DD07F92" w14:textId="2A51CD2B" w:rsidR="00B75F8C" w:rsidRPr="00B75F8C" w:rsidRDefault="00B75F8C" w:rsidP="00B75F8C">
      <w:pPr>
        <w:pStyle w:val="Subtitle"/>
        <w:rPr>
          <w:b/>
          <w:bCs/>
        </w:rPr>
      </w:pPr>
      <w:r w:rsidRPr="00B75F8C">
        <w:rPr>
          <w:b/>
          <w:bCs/>
        </w:rPr>
        <w:t>Example Results:</w:t>
      </w:r>
    </w:p>
    <w:p w14:paraId="5D3512CD" w14:textId="27FA2CAC" w:rsidR="00B75F8C" w:rsidRDefault="00B75F8C" w:rsidP="00502F8B">
      <w:r>
        <w:t xml:space="preserve">The results of the case study is </w:t>
      </w:r>
    </w:p>
    <w:p w14:paraId="1A7CD3D9" w14:textId="6DAA7753" w:rsidR="00B75F8C" w:rsidRDefault="00B75F8C" w:rsidP="00502F8B">
      <w:r>
        <w:t>Hydrogen Cost</w:t>
      </w:r>
      <w:r w:rsidR="00820D54">
        <w:t xml:space="preserve"> (Total CAPEX, OPEX, levelized costs)</w:t>
      </w:r>
    </w:p>
    <w:p w14:paraId="58FCB11C" w14:textId="7C2C67E7" w:rsidR="00B75F8C" w:rsidRDefault="00B75F8C" w:rsidP="00502F8B">
      <w:r>
        <w:lastRenderedPageBreak/>
        <w:t>Transmission infrastructure</w:t>
      </w:r>
    </w:p>
    <w:p w14:paraId="64504139" w14:textId="182C4F92" w:rsidR="00B75F8C" w:rsidRDefault="00B75F8C" w:rsidP="00502F8B">
      <w:r>
        <w:t xml:space="preserve">Buildout map and capacity </w:t>
      </w:r>
      <w:r w:rsidR="00820D54">
        <w:t xml:space="preserve"> (RE + electrolyzers)</w:t>
      </w:r>
    </w:p>
    <w:p w14:paraId="3947643F" w14:textId="3D3DFE60" w:rsidR="00B75F8C" w:rsidRDefault="00B75F8C" w:rsidP="00502F8B">
      <w:r>
        <w:t>Storage buildout and capacity</w:t>
      </w:r>
    </w:p>
    <w:p w14:paraId="68608393" w14:textId="5E97481D" w:rsidR="00820D54" w:rsidRDefault="00820D54" w:rsidP="00502F8B">
      <w:r>
        <w:t>Operating dynamics for RE, electrolyzers, transmission, and storage</w:t>
      </w:r>
    </w:p>
    <w:sectPr w:rsidR="00820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F8B"/>
    <w:rsid w:val="00193926"/>
    <w:rsid w:val="00405AFE"/>
    <w:rsid w:val="0042760D"/>
    <w:rsid w:val="00434603"/>
    <w:rsid w:val="00502F8B"/>
    <w:rsid w:val="007B3F92"/>
    <w:rsid w:val="007E74BA"/>
    <w:rsid w:val="00820D54"/>
    <w:rsid w:val="009F3038"/>
    <w:rsid w:val="00B46B16"/>
    <w:rsid w:val="00B75F8C"/>
    <w:rsid w:val="00BA0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0AB64"/>
  <w15:chartTrackingRefBased/>
  <w15:docId w15:val="{16806611-F8C5-2742-A9C0-DFB732EE1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2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2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F8B"/>
    <w:rPr>
      <w:rFonts w:eastAsiaTheme="majorEastAsia" w:cstheme="majorBidi"/>
      <w:color w:val="272727" w:themeColor="text1" w:themeTint="D8"/>
    </w:rPr>
  </w:style>
  <w:style w:type="paragraph" w:styleId="Title">
    <w:name w:val="Title"/>
    <w:basedOn w:val="Normal"/>
    <w:next w:val="Normal"/>
    <w:link w:val="TitleChar"/>
    <w:uiPriority w:val="10"/>
    <w:qFormat/>
    <w:rsid w:val="00502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F8B"/>
    <w:pPr>
      <w:spacing w:before="160"/>
      <w:jc w:val="center"/>
    </w:pPr>
    <w:rPr>
      <w:i/>
      <w:iCs/>
      <w:color w:val="404040" w:themeColor="text1" w:themeTint="BF"/>
    </w:rPr>
  </w:style>
  <w:style w:type="character" w:customStyle="1" w:styleId="QuoteChar">
    <w:name w:val="Quote Char"/>
    <w:basedOn w:val="DefaultParagraphFont"/>
    <w:link w:val="Quote"/>
    <w:uiPriority w:val="29"/>
    <w:rsid w:val="00502F8B"/>
    <w:rPr>
      <w:i/>
      <w:iCs/>
      <w:color w:val="404040" w:themeColor="text1" w:themeTint="BF"/>
    </w:rPr>
  </w:style>
  <w:style w:type="paragraph" w:styleId="ListParagraph">
    <w:name w:val="List Paragraph"/>
    <w:basedOn w:val="Normal"/>
    <w:uiPriority w:val="34"/>
    <w:qFormat/>
    <w:rsid w:val="00502F8B"/>
    <w:pPr>
      <w:ind w:left="720"/>
      <w:contextualSpacing/>
    </w:pPr>
  </w:style>
  <w:style w:type="character" w:styleId="IntenseEmphasis">
    <w:name w:val="Intense Emphasis"/>
    <w:basedOn w:val="DefaultParagraphFont"/>
    <w:uiPriority w:val="21"/>
    <w:qFormat/>
    <w:rsid w:val="00502F8B"/>
    <w:rPr>
      <w:i/>
      <w:iCs/>
      <w:color w:val="0F4761" w:themeColor="accent1" w:themeShade="BF"/>
    </w:rPr>
  </w:style>
  <w:style w:type="paragraph" w:styleId="IntenseQuote">
    <w:name w:val="Intense Quote"/>
    <w:basedOn w:val="Normal"/>
    <w:next w:val="Normal"/>
    <w:link w:val="IntenseQuoteChar"/>
    <w:uiPriority w:val="30"/>
    <w:qFormat/>
    <w:rsid w:val="00502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F8B"/>
    <w:rPr>
      <w:i/>
      <w:iCs/>
      <w:color w:val="0F4761" w:themeColor="accent1" w:themeShade="BF"/>
    </w:rPr>
  </w:style>
  <w:style w:type="character" w:styleId="IntenseReference">
    <w:name w:val="Intense Reference"/>
    <w:basedOn w:val="DefaultParagraphFont"/>
    <w:uiPriority w:val="32"/>
    <w:qFormat/>
    <w:rsid w:val="00502F8B"/>
    <w:rPr>
      <w:b/>
      <w:bCs/>
      <w:smallCaps/>
      <w:color w:val="0F4761" w:themeColor="accent1" w:themeShade="BF"/>
      <w:spacing w:val="5"/>
    </w:rPr>
  </w:style>
  <w:style w:type="table" w:styleId="GridTable1Light-Accent1">
    <w:name w:val="Grid Table 1 Light Accent 1"/>
    <w:basedOn w:val="TableNormal"/>
    <w:uiPriority w:val="46"/>
    <w:rsid w:val="007B3F9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7B3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26052">
      <w:bodyDiv w:val="1"/>
      <w:marLeft w:val="0"/>
      <w:marRight w:val="0"/>
      <w:marTop w:val="0"/>
      <w:marBottom w:val="0"/>
      <w:divBdr>
        <w:top w:val="none" w:sz="0" w:space="0" w:color="auto"/>
        <w:left w:val="none" w:sz="0" w:space="0" w:color="auto"/>
        <w:bottom w:val="none" w:sz="0" w:space="0" w:color="auto"/>
        <w:right w:val="none" w:sz="0" w:space="0" w:color="auto"/>
      </w:divBdr>
    </w:div>
    <w:div w:id="785925174">
      <w:bodyDiv w:val="1"/>
      <w:marLeft w:val="0"/>
      <w:marRight w:val="0"/>
      <w:marTop w:val="0"/>
      <w:marBottom w:val="0"/>
      <w:divBdr>
        <w:top w:val="none" w:sz="0" w:space="0" w:color="auto"/>
        <w:left w:val="none" w:sz="0" w:space="0" w:color="auto"/>
        <w:bottom w:val="none" w:sz="0" w:space="0" w:color="auto"/>
        <w:right w:val="none" w:sz="0" w:space="0" w:color="auto"/>
      </w:divBdr>
    </w:div>
    <w:div w:id="1078091190">
      <w:bodyDiv w:val="1"/>
      <w:marLeft w:val="0"/>
      <w:marRight w:val="0"/>
      <w:marTop w:val="0"/>
      <w:marBottom w:val="0"/>
      <w:divBdr>
        <w:top w:val="none" w:sz="0" w:space="0" w:color="auto"/>
        <w:left w:val="none" w:sz="0" w:space="0" w:color="auto"/>
        <w:bottom w:val="none" w:sz="0" w:space="0" w:color="auto"/>
        <w:right w:val="none" w:sz="0" w:space="0" w:color="auto"/>
      </w:divBdr>
      <w:divsChild>
        <w:div w:id="2140873575">
          <w:marLeft w:val="0"/>
          <w:marRight w:val="0"/>
          <w:marTop w:val="0"/>
          <w:marBottom w:val="0"/>
          <w:divBdr>
            <w:top w:val="none" w:sz="0" w:space="0" w:color="auto"/>
            <w:left w:val="none" w:sz="0" w:space="0" w:color="auto"/>
            <w:bottom w:val="none" w:sz="0" w:space="0" w:color="auto"/>
            <w:right w:val="none" w:sz="0" w:space="0" w:color="auto"/>
          </w:divBdr>
          <w:divsChild>
            <w:div w:id="1137838284">
              <w:marLeft w:val="0"/>
              <w:marRight w:val="0"/>
              <w:marTop w:val="0"/>
              <w:marBottom w:val="0"/>
              <w:divBdr>
                <w:top w:val="none" w:sz="0" w:space="0" w:color="auto"/>
                <w:left w:val="none" w:sz="0" w:space="0" w:color="auto"/>
                <w:bottom w:val="none" w:sz="0" w:space="0" w:color="auto"/>
                <w:right w:val="none" w:sz="0" w:space="0" w:color="auto"/>
              </w:divBdr>
              <w:divsChild>
                <w:div w:id="2040353129">
                  <w:marLeft w:val="0"/>
                  <w:marRight w:val="0"/>
                  <w:marTop w:val="0"/>
                  <w:marBottom w:val="0"/>
                  <w:divBdr>
                    <w:top w:val="none" w:sz="0" w:space="0" w:color="auto"/>
                    <w:left w:val="none" w:sz="0" w:space="0" w:color="auto"/>
                    <w:bottom w:val="none" w:sz="0" w:space="0" w:color="auto"/>
                    <w:right w:val="none" w:sz="0" w:space="0" w:color="auto"/>
                  </w:divBdr>
                  <w:divsChild>
                    <w:div w:id="1285769211">
                      <w:marLeft w:val="0"/>
                      <w:marRight w:val="0"/>
                      <w:marTop w:val="0"/>
                      <w:marBottom w:val="0"/>
                      <w:divBdr>
                        <w:top w:val="none" w:sz="0" w:space="0" w:color="auto"/>
                        <w:left w:val="none" w:sz="0" w:space="0" w:color="auto"/>
                        <w:bottom w:val="none" w:sz="0" w:space="0" w:color="auto"/>
                        <w:right w:val="none" w:sz="0" w:space="0" w:color="auto"/>
                      </w:divBdr>
                      <w:divsChild>
                        <w:div w:id="872958409">
                          <w:marLeft w:val="0"/>
                          <w:marRight w:val="0"/>
                          <w:marTop w:val="0"/>
                          <w:marBottom w:val="0"/>
                          <w:divBdr>
                            <w:top w:val="none" w:sz="0" w:space="0" w:color="auto"/>
                            <w:left w:val="none" w:sz="0" w:space="0" w:color="auto"/>
                            <w:bottom w:val="none" w:sz="0" w:space="0" w:color="auto"/>
                            <w:right w:val="none" w:sz="0" w:space="0" w:color="auto"/>
                          </w:divBdr>
                          <w:divsChild>
                            <w:div w:id="9979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809475">
      <w:bodyDiv w:val="1"/>
      <w:marLeft w:val="0"/>
      <w:marRight w:val="0"/>
      <w:marTop w:val="0"/>
      <w:marBottom w:val="0"/>
      <w:divBdr>
        <w:top w:val="none" w:sz="0" w:space="0" w:color="auto"/>
        <w:left w:val="none" w:sz="0" w:space="0" w:color="auto"/>
        <w:bottom w:val="none" w:sz="0" w:space="0" w:color="auto"/>
        <w:right w:val="none" w:sz="0" w:space="0" w:color="auto"/>
      </w:divBdr>
    </w:div>
    <w:div w:id="1190992281">
      <w:bodyDiv w:val="1"/>
      <w:marLeft w:val="0"/>
      <w:marRight w:val="0"/>
      <w:marTop w:val="0"/>
      <w:marBottom w:val="0"/>
      <w:divBdr>
        <w:top w:val="none" w:sz="0" w:space="0" w:color="auto"/>
        <w:left w:val="none" w:sz="0" w:space="0" w:color="auto"/>
        <w:bottom w:val="none" w:sz="0" w:space="0" w:color="auto"/>
        <w:right w:val="none" w:sz="0" w:space="0" w:color="auto"/>
      </w:divBdr>
    </w:div>
    <w:div w:id="1457018365">
      <w:bodyDiv w:val="1"/>
      <w:marLeft w:val="0"/>
      <w:marRight w:val="0"/>
      <w:marTop w:val="0"/>
      <w:marBottom w:val="0"/>
      <w:divBdr>
        <w:top w:val="none" w:sz="0" w:space="0" w:color="auto"/>
        <w:left w:val="none" w:sz="0" w:space="0" w:color="auto"/>
        <w:bottom w:val="none" w:sz="0" w:space="0" w:color="auto"/>
        <w:right w:val="none" w:sz="0" w:space="0" w:color="auto"/>
      </w:divBdr>
    </w:div>
    <w:div w:id="1493720382">
      <w:bodyDiv w:val="1"/>
      <w:marLeft w:val="0"/>
      <w:marRight w:val="0"/>
      <w:marTop w:val="0"/>
      <w:marBottom w:val="0"/>
      <w:divBdr>
        <w:top w:val="none" w:sz="0" w:space="0" w:color="auto"/>
        <w:left w:val="none" w:sz="0" w:space="0" w:color="auto"/>
        <w:bottom w:val="none" w:sz="0" w:space="0" w:color="auto"/>
        <w:right w:val="none" w:sz="0" w:space="0" w:color="auto"/>
      </w:divBdr>
    </w:div>
    <w:div w:id="1641180930">
      <w:bodyDiv w:val="1"/>
      <w:marLeft w:val="0"/>
      <w:marRight w:val="0"/>
      <w:marTop w:val="0"/>
      <w:marBottom w:val="0"/>
      <w:divBdr>
        <w:top w:val="none" w:sz="0" w:space="0" w:color="auto"/>
        <w:left w:val="none" w:sz="0" w:space="0" w:color="auto"/>
        <w:bottom w:val="none" w:sz="0" w:space="0" w:color="auto"/>
        <w:right w:val="none" w:sz="0" w:space="0" w:color="auto"/>
      </w:divBdr>
    </w:div>
    <w:div w:id="1852064758">
      <w:bodyDiv w:val="1"/>
      <w:marLeft w:val="0"/>
      <w:marRight w:val="0"/>
      <w:marTop w:val="0"/>
      <w:marBottom w:val="0"/>
      <w:divBdr>
        <w:top w:val="none" w:sz="0" w:space="0" w:color="auto"/>
        <w:left w:val="none" w:sz="0" w:space="0" w:color="auto"/>
        <w:bottom w:val="none" w:sz="0" w:space="0" w:color="auto"/>
        <w:right w:val="none" w:sz="0" w:space="0" w:color="auto"/>
      </w:divBdr>
    </w:div>
    <w:div w:id="2078629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Yijin</dc:creator>
  <cp:keywords/>
  <dc:description/>
  <cp:lastModifiedBy>Brauch, Joe</cp:lastModifiedBy>
  <cp:revision>10</cp:revision>
  <dcterms:created xsi:type="dcterms:W3CDTF">2024-07-09T18:17:00Z</dcterms:created>
  <dcterms:modified xsi:type="dcterms:W3CDTF">2024-07-09T20:44:00Z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965d95-ecc0-4720-b759-1f33c42ed7da_Enabled">
    <vt:lpwstr>true</vt:lpwstr>
  </property>
  <property fmtid="{D5CDD505-2E9C-101B-9397-08002B2CF9AE}" pid="3" name="MSIP_Label_95965d95-ecc0-4720-b759-1f33c42ed7da_SetDate">
    <vt:lpwstr>2024-07-09T18:18:57Z</vt:lpwstr>
  </property>
  <property fmtid="{D5CDD505-2E9C-101B-9397-08002B2CF9AE}" pid="4" name="MSIP_Label_95965d95-ecc0-4720-b759-1f33c42ed7da_Method">
    <vt:lpwstr>Standard</vt:lpwstr>
  </property>
  <property fmtid="{D5CDD505-2E9C-101B-9397-08002B2CF9AE}" pid="5" name="MSIP_Label_95965d95-ecc0-4720-b759-1f33c42ed7da_Name">
    <vt:lpwstr>General</vt:lpwstr>
  </property>
  <property fmtid="{D5CDD505-2E9C-101B-9397-08002B2CF9AE}" pid="6" name="MSIP_Label_95965d95-ecc0-4720-b759-1f33c42ed7da_SiteId">
    <vt:lpwstr>a0f29d7e-28cd-4f54-8442-7885aee7c080</vt:lpwstr>
  </property>
  <property fmtid="{D5CDD505-2E9C-101B-9397-08002B2CF9AE}" pid="7" name="MSIP_Label_95965d95-ecc0-4720-b759-1f33c42ed7da_ActionId">
    <vt:lpwstr>baed753d-867a-4886-8f4e-4b27612effbd</vt:lpwstr>
  </property>
  <property fmtid="{D5CDD505-2E9C-101B-9397-08002B2CF9AE}" pid="8" name="MSIP_Label_95965d95-ecc0-4720-b759-1f33c42ed7da_ContentBits">
    <vt:lpwstr>0</vt:lpwstr>
  </property>
</Properties>
</file>