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02651B" w:rsidRDefault="008706E7" w:rsidP="0002651B">
      <w:pPr>
        <w:pStyle w:val="Heading2"/>
        <w:spacing w:line="360" w:lineRule="auto"/>
        <w:rPr>
          <w:rFonts w:asciiTheme="minorHAnsi" w:eastAsia="Times New Roman" w:hAnsiTheme="minorHAnsi"/>
          <w:sz w:val="20"/>
          <w:szCs w:val="20"/>
        </w:rPr>
      </w:pPr>
      <w:r w:rsidRPr="0002651B">
        <w:rPr>
          <w:rFonts w:asciiTheme="minorHAnsi" w:eastAsia="Times New Roman" w:hAnsiTheme="minorHAnsi"/>
          <w:sz w:val="20"/>
          <w:szCs w:val="20"/>
        </w:rPr>
        <w:t>Set Minimum Airflow Rate for VAV Air Terminals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Description</w:t>
      </w:r>
    </w:p>
    <w:p w:rsidR="00613462" w:rsidRPr="0002651B" w:rsidRDefault="006244ED" w:rsidP="00FF43D5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FF43D5">
        <w:rPr>
          <w:sz w:val="20"/>
          <w:szCs w:val="20"/>
        </w:rPr>
        <w:t xml:space="preserve">This energy efficiency measure (EEM) </w:t>
      </w:r>
      <w:r w:rsidR="008706E7" w:rsidRPr="00FF43D5">
        <w:rPr>
          <w:sz w:val="20"/>
          <w:szCs w:val="20"/>
        </w:rPr>
        <w:t xml:space="preserve">changes the VAV box minimum flow setting to 0.4 cfm/sf for all </w:t>
      </w:r>
      <w:r w:rsidR="000118B4" w:rsidRPr="00FF43D5">
        <w:rPr>
          <w:sz w:val="20"/>
          <w:szCs w:val="20"/>
        </w:rPr>
        <w:t>a</w:t>
      </w:r>
      <w:r w:rsidR="008706E7" w:rsidRPr="00FF43D5">
        <w:rPr>
          <w:sz w:val="20"/>
          <w:szCs w:val="20"/>
        </w:rPr>
        <w:t>ir</w:t>
      </w:r>
      <w:r w:rsidR="0069502A" w:rsidRPr="00FF43D5">
        <w:rPr>
          <w:sz w:val="20"/>
          <w:szCs w:val="20"/>
        </w:rPr>
        <w:t>L</w:t>
      </w:r>
      <w:r w:rsidR="005B0288" w:rsidRPr="00FF43D5">
        <w:rPr>
          <w:sz w:val="20"/>
          <w:szCs w:val="20"/>
        </w:rPr>
        <w:t xml:space="preserve">oops in the model as per ASHRAE 90.1 standards. The given </w:t>
      </w:r>
      <w:r w:rsidR="00FF43D5" w:rsidRPr="00FF43D5">
        <w:rPr>
          <w:sz w:val="20"/>
          <w:szCs w:val="20"/>
        </w:rPr>
        <w:t xml:space="preserve">VAV box </w:t>
      </w:r>
      <w:r w:rsidR="005B0288" w:rsidRPr="00FF43D5">
        <w:rPr>
          <w:sz w:val="20"/>
          <w:szCs w:val="20"/>
        </w:rPr>
        <w:t xml:space="preserve">minimum airflow </w:t>
      </w:r>
      <w:r w:rsidR="00FF43D5" w:rsidRPr="00FF43D5">
        <w:rPr>
          <w:sz w:val="20"/>
          <w:szCs w:val="20"/>
        </w:rPr>
        <w:t xml:space="preserve">level represents the ASHRAE 90.1-2007 Appendix G prescribed </w:t>
      </w:r>
      <w:r w:rsidR="005B0288" w:rsidRPr="00FF43D5">
        <w:rPr>
          <w:sz w:val="20"/>
          <w:szCs w:val="20"/>
        </w:rPr>
        <w:t xml:space="preserve">benchmark </w:t>
      </w:r>
      <w:r w:rsidR="00FF43D5" w:rsidRPr="00FF43D5">
        <w:rPr>
          <w:sz w:val="20"/>
          <w:szCs w:val="20"/>
        </w:rPr>
        <w:t xml:space="preserve">for VAV minimum flow settings (Section </w:t>
      </w:r>
      <w:r w:rsidR="00FF43D5" w:rsidRPr="00FF43D5">
        <w:rPr>
          <w:sz w:val="20"/>
          <w:szCs w:val="20"/>
        </w:rPr>
        <w:t xml:space="preserve">G3.I.3.13 VAV Minimum Flow </w:t>
      </w:r>
      <w:proofErr w:type="spellStart"/>
      <w:r w:rsidR="00FF43D5" w:rsidRPr="00FF43D5">
        <w:rPr>
          <w:sz w:val="20"/>
          <w:szCs w:val="20"/>
        </w:rPr>
        <w:t>Setpoints</w:t>
      </w:r>
      <w:proofErr w:type="spellEnd"/>
      <w:r w:rsidR="00FF43D5" w:rsidRPr="00FF43D5">
        <w:rPr>
          <w:sz w:val="20"/>
          <w:szCs w:val="20"/>
        </w:rPr>
        <w:t xml:space="preserve">). This </w:t>
      </w:r>
      <w:proofErr w:type="spellStart"/>
      <w:r w:rsidR="00FF43D5" w:rsidRPr="00FF43D5">
        <w:rPr>
          <w:sz w:val="20"/>
          <w:szCs w:val="20"/>
        </w:rPr>
        <w:t>setpoint</w:t>
      </w:r>
      <w:proofErr w:type="spellEnd"/>
      <w:r w:rsidR="00FF43D5" w:rsidRPr="00FF43D5">
        <w:rPr>
          <w:sz w:val="20"/>
          <w:szCs w:val="20"/>
        </w:rPr>
        <w:t xml:space="preserve"> is appropriate for most commercial office space settings but may not be applicable to model spaces having a high minimum ventilation rate.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Modeler Description</w:t>
      </w:r>
    </w:p>
    <w:p w:rsidR="008706E7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This measure loops through the thermal zones in all air loops. It then selects the thermal zone area and then calculates the minimum flow rate of 0.4 cfm/sf. If the zo</w:t>
      </w:r>
      <w:r w:rsidR="0002651B">
        <w:rPr>
          <w:sz w:val="20"/>
          <w:szCs w:val="20"/>
        </w:rPr>
        <w:t>ne has an AirTerminalSingleDuct</w:t>
      </w:r>
      <w:r w:rsidR="00CC69C1">
        <w:rPr>
          <w:sz w:val="20"/>
          <w:szCs w:val="20"/>
        </w:rPr>
        <w:t xml:space="preserve">VAVReheat &amp; </w:t>
      </w:r>
      <w:r w:rsidRPr="0002651B">
        <w:rPr>
          <w:sz w:val="20"/>
          <w:szCs w:val="20"/>
        </w:rPr>
        <w:t>Ai</w:t>
      </w:r>
      <w:r w:rsidR="0002651B">
        <w:rPr>
          <w:sz w:val="20"/>
          <w:szCs w:val="20"/>
        </w:rPr>
        <w:t>rTerminalSingleDuctVAVNoReheat</w:t>
      </w:r>
      <w:r w:rsidRPr="0002651B">
        <w:rPr>
          <w:sz w:val="20"/>
          <w:szCs w:val="20"/>
        </w:rPr>
        <w:t xml:space="preserve"> terminal unit the measure changes the zone minimum air flow method to fixed flow rate and applies the calculated minimum flow rate.</w:t>
      </w:r>
    </w:p>
    <w:p w:rsidR="00B9245A" w:rsidRPr="0002651B" w:rsidRDefault="00B9245A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Use Case Types</w:t>
      </w:r>
    </w:p>
    <w:p w:rsidR="00B9245A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New Construction, </w:t>
      </w:r>
      <w:r w:rsidR="000F2C77" w:rsidRPr="0002651B">
        <w:rPr>
          <w:sz w:val="20"/>
          <w:szCs w:val="20"/>
        </w:rPr>
        <w:t>Retrofit</w:t>
      </w:r>
      <w:r w:rsidRPr="0002651B">
        <w:rPr>
          <w:sz w:val="20"/>
          <w:szCs w:val="20"/>
        </w:rPr>
        <w:t>, Model Articulation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Arguments</w:t>
      </w:r>
    </w:p>
    <w:p w:rsidR="00972C3A" w:rsidRPr="0002651B" w:rsidRDefault="0005470F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No arguments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Initial Condition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</w:t>
      </w:r>
    </w:p>
    <w:p w:rsidR="0002651B" w:rsidRPr="004B4611" w:rsidRDefault="0002651B" w:rsidP="0002651B">
      <w:pPr>
        <w:spacing w:line="360" w:lineRule="auto"/>
        <w:rPr>
          <w:b/>
          <w:color w:val="00B0F0"/>
          <w:sz w:val="20"/>
          <w:szCs w:val="20"/>
          <w:u w:val="single"/>
        </w:rPr>
      </w:pPr>
      <w:r w:rsidRPr="0002651B">
        <w:rPr>
          <w:sz w:val="20"/>
          <w:szCs w:val="20"/>
        </w:rPr>
        <w:t xml:space="preserve">The model begins </w:t>
      </w:r>
      <w:r w:rsidRPr="005B0288">
        <w:rPr>
          <w:sz w:val="20"/>
          <w:szCs w:val="20"/>
        </w:rPr>
        <w:t>with {X}</w:t>
      </w:r>
      <w:r w:rsidRPr="0002651B">
        <w:rPr>
          <w:sz w:val="20"/>
          <w:szCs w:val="20"/>
        </w:rPr>
        <w:t xml:space="preserve"> </w:t>
      </w:r>
      <w:r w:rsidR="000118B4">
        <w:rPr>
          <w:sz w:val="20"/>
          <w:szCs w:val="20"/>
        </w:rPr>
        <w:t>AirTerminalSingleDuct</w:t>
      </w:r>
      <w:r w:rsidR="00CC69C1">
        <w:rPr>
          <w:sz w:val="20"/>
          <w:szCs w:val="20"/>
        </w:rPr>
        <w:t xml:space="preserve">VAVReheat objects &amp; </w:t>
      </w:r>
      <w:r w:rsidRPr="0002651B">
        <w:rPr>
          <w:sz w:val="20"/>
          <w:szCs w:val="20"/>
        </w:rPr>
        <w:t>{Y} AirTermina</w:t>
      </w:r>
      <w:r w:rsidR="00CC69C1">
        <w:rPr>
          <w:sz w:val="20"/>
          <w:szCs w:val="20"/>
        </w:rPr>
        <w:t xml:space="preserve">lSingleDuctVAVNoReheat objects.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Final Condition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</w:t>
      </w:r>
    </w:p>
    <w:p w:rsidR="0002651B" w:rsidRPr="0002651B" w:rsidRDefault="0002651B" w:rsidP="0002651B">
      <w:pPr>
        <w:pStyle w:val="Heading3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"The model finished with {total number of air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Terminal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Single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Duct} objects having the 'zone minimum air flow method' set to 'fixed flow rate' and a minimum airflow rate of 0.4 cfm/sf." </w:t>
      </w:r>
    </w:p>
    <w:p w:rsidR="006A43F6" w:rsidRPr="0002651B" w:rsidRDefault="00F64D00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Not Applicable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706E7" w:rsidRPr="0002651B" w:rsidRDefault="008706E7" w:rsidP="0002651B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If </w:t>
      </w:r>
      <w:r w:rsidR="00D92485" w:rsidRPr="0002651B">
        <w:rPr>
          <w:sz w:val="20"/>
          <w:szCs w:val="20"/>
        </w:rPr>
        <w:t xml:space="preserve">No </w:t>
      </w:r>
      <w:r w:rsidR="0002651B">
        <w:rPr>
          <w:sz w:val="20"/>
          <w:szCs w:val="20"/>
        </w:rPr>
        <w:t>Air-l</w:t>
      </w:r>
      <w:r w:rsidR="0010777C" w:rsidRPr="0002651B">
        <w:rPr>
          <w:sz w:val="20"/>
          <w:szCs w:val="20"/>
        </w:rPr>
        <w:t>oop</w:t>
      </w:r>
      <w:r w:rsidRPr="0002651B">
        <w:rPr>
          <w:sz w:val="20"/>
          <w:szCs w:val="20"/>
        </w:rPr>
        <w:t xml:space="preserve">s write </w:t>
      </w:r>
      <w:r w:rsidR="0002651B" w:rsidRPr="0002651B">
        <w:rPr>
          <w:sz w:val="20"/>
          <w:szCs w:val="20"/>
        </w:rPr>
        <w:t xml:space="preserve">“Model has no airloops. Measure is not applicable” message. </w:t>
      </w:r>
    </w:p>
    <w:p w:rsidR="008706E7" w:rsidRPr="0002651B" w:rsidRDefault="000118B4" w:rsidP="0002651B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If there are a</w:t>
      </w:r>
      <w:r w:rsidR="008706E7" w:rsidRPr="0002651B">
        <w:rPr>
          <w:sz w:val="20"/>
          <w:szCs w:val="20"/>
        </w:rPr>
        <w:t xml:space="preserve">irloops but no qualified air terminal objects then write </w:t>
      </w:r>
      <w:r w:rsidR="0002651B" w:rsidRPr="0002651B">
        <w:rPr>
          <w:sz w:val="20"/>
          <w:szCs w:val="20"/>
        </w:rPr>
        <w:t xml:space="preserve">“The building contains no qualified objects. Measure is not applicable” message. </w:t>
      </w:r>
    </w:p>
    <w:p w:rsidR="00D92485" w:rsidRPr="0002651B" w:rsidRDefault="00D92485" w:rsidP="0002651B">
      <w:pPr>
        <w:pStyle w:val="ListParagraph"/>
        <w:spacing w:line="360" w:lineRule="auto"/>
        <w:rPr>
          <w:sz w:val="20"/>
          <w:szCs w:val="20"/>
        </w:rPr>
      </w:pPr>
    </w:p>
    <w:p w:rsidR="006D5435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lastRenderedPageBreak/>
        <w:t>Warning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706E7" w:rsidRPr="0002651B" w:rsidRDefault="008706E7" w:rsidP="0002651B">
      <w:pPr>
        <w:pStyle w:val="Heading3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9738D7" w:rsidRPr="00FF43D5" w:rsidRDefault="008706E7" w:rsidP="0002651B">
      <w:pPr>
        <w:pStyle w:val="Heading3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FF43D5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If the new cfm/ft2 value of 0.4 is greater than the existing value, a warning message including the name, object type, previous and new value(s) will be written.</w:t>
      </w:r>
    </w:p>
    <w:p w:rsidR="00B02A6D" w:rsidRPr="0002651B" w:rsidRDefault="00536963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Information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D17D8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info message whenever a min airflow setting of any qualified object is changed</w:t>
      </w:r>
      <w:r w:rsidR="008D17D8" w:rsidRPr="0002651B">
        <w:rPr>
          <w:sz w:val="20"/>
          <w:szCs w:val="20"/>
        </w:rPr>
        <w:t>.</w:t>
      </w:r>
      <w:r w:rsidRPr="0002651B">
        <w:rPr>
          <w:sz w:val="20"/>
          <w:szCs w:val="20"/>
        </w:rPr>
        <w:t xml:space="preserve"> The message should include the name, object </w:t>
      </w:r>
      <w:r w:rsidRPr="00CC69C1">
        <w:rPr>
          <w:sz w:val="20"/>
          <w:szCs w:val="20"/>
        </w:rPr>
        <w:t xml:space="preserve">type, previous and </w:t>
      </w:r>
      <w:r w:rsidRPr="0002651B">
        <w:rPr>
          <w:sz w:val="20"/>
          <w:szCs w:val="20"/>
        </w:rPr>
        <w:t xml:space="preserve">new value(s).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Error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7140B6" w:rsidRPr="0002651B" w:rsidRDefault="008706E7" w:rsidP="0002651B">
      <w:pPr>
        <w:spacing w:after="0"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N/A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Code Outline</w:t>
      </w:r>
    </w:p>
    <w:p w:rsidR="00AE0077" w:rsidRPr="0002651B" w:rsidRDefault="00AE0077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bookmarkStart w:id="0" w:name="_GoBack"/>
      <w:bookmarkEnd w:id="0"/>
      <w:r w:rsidRPr="0002651B">
        <w:rPr>
          <w:sz w:val="20"/>
          <w:szCs w:val="20"/>
        </w:rPr>
        <w:t xml:space="preserve">Initialize variables needed for counting </w:t>
      </w:r>
      <w:r w:rsidR="0069502A" w:rsidRPr="0002651B">
        <w:rPr>
          <w:sz w:val="20"/>
          <w:szCs w:val="20"/>
        </w:rPr>
        <w:t xml:space="preserve">types of terminal units. </w:t>
      </w:r>
    </w:p>
    <w:p w:rsidR="008706E7" w:rsidRPr="0002651B" w:rsidRDefault="008706E7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Loop through the demand side equipment for all airloops</w:t>
      </w:r>
    </w:p>
    <w:p w:rsidR="008706E7" w:rsidRPr="0002651B" w:rsidRDefault="008706E7" w:rsidP="0002651B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For each terminal unit of type (</w:t>
      </w:r>
      <w:r w:rsidR="0069502A" w:rsidRPr="0002651B">
        <w:rPr>
          <w:sz w:val="20"/>
          <w:szCs w:val="20"/>
        </w:rPr>
        <w:t>X, Y, Z, AA</w:t>
      </w:r>
      <w:r w:rsidRPr="0002651B">
        <w:rPr>
          <w:sz w:val="20"/>
          <w:szCs w:val="20"/>
        </w:rPr>
        <w:t>)</w:t>
      </w:r>
    </w:p>
    <w:p w:rsidR="008706E7" w:rsidRPr="00CC69C1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CC69C1">
        <w:rPr>
          <w:sz w:val="20"/>
          <w:szCs w:val="20"/>
        </w:rPr>
        <w:t>Record the existing min airflow rate (cfm)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Record the area of the companion thermal zone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Calculate a new flow rate = 0.4 cfm/ft2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Assign new min flow rate to qualified object. </w:t>
      </w:r>
    </w:p>
    <w:p w:rsidR="009D7F74" w:rsidRPr="0002651B" w:rsidRDefault="009D7F74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info or warning messages</w:t>
      </w:r>
    </w:p>
    <w:p w:rsidR="009D7F74" w:rsidRPr="0002651B" w:rsidRDefault="009D7F74" w:rsidP="0002651B">
      <w:pPr>
        <w:pStyle w:val="ListParagraph"/>
        <w:spacing w:line="360" w:lineRule="auto"/>
        <w:ind w:left="2160"/>
        <w:rPr>
          <w:sz w:val="20"/>
          <w:szCs w:val="20"/>
        </w:rPr>
      </w:pPr>
    </w:p>
    <w:p w:rsidR="009D7F74" w:rsidRPr="0002651B" w:rsidRDefault="009D7F74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initial and final conditions messages.</w:t>
      </w:r>
    </w:p>
    <w:p w:rsidR="00A64750" w:rsidRPr="0002651B" w:rsidRDefault="00FD4E13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Tests</w:t>
      </w:r>
    </w:p>
    <w:p w:rsidR="008706E7" w:rsidRPr="0002651B" w:rsidRDefault="008706E7" w:rsidP="0002651B">
      <w:pPr>
        <w:spacing w:line="360" w:lineRule="auto"/>
        <w:rPr>
          <w:sz w:val="20"/>
          <w:szCs w:val="20"/>
        </w:rPr>
      </w:pPr>
    </w:p>
    <w:p w:rsidR="0069502A" w:rsidRPr="0002651B" w:rsidRDefault="0069502A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Run this model against applicable prototype buildings and test against each qualified object type. </w:t>
      </w:r>
    </w:p>
    <w:p w:rsidR="001436AC" w:rsidRPr="0002651B" w:rsidRDefault="001436AC" w:rsidP="0002651B">
      <w:pPr>
        <w:spacing w:after="0" w:line="360" w:lineRule="auto"/>
        <w:rPr>
          <w:sz w:val="20"/>
          <w:szCs w:val="20"/>
        </w:rPr>
      </w:pPr>
      <w:r w:rsidRPr="0002651B">
        <w:rPr>
          <w:b/>
          <w:sz w:val="20"/>
          <w:szCs w:val="20"/>
        </w:rPr>
        <w:t>This measure applies to:</w:t>
      </w:r>
      <w:r w:rsidR="008706E7" w:rsidRPr="0002651B">
        <w:rPr>
          <w:sz w:val="20"/>
          <w:szCs w:val="20"/>
        </w:rPr>
        <w:t xml:space="preserve"> </w:t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Medium Office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6B9500" wp14:editId="0DEE7625">
            <wp:extent cx="5943600" cy="416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AC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Large Office 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682EED" wp14:editId="648D895A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Primary School</w:t>
      </w:r>
    </w:p>
    <w:p w:rsidR="00FD399D" w:rsidRPr="0002651B" w:rsidRDefault="00FD399D" w:rsidP="00FD399D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62CBB3" wp14:editId="2F7144DA">
            <wp:extent cx="594360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Secondary School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5BB58A" wp14:editId="37B896DC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Outpatient Healthcare</w:t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Large Hotel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A6F71E" wp14:editId="753231B9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Hospital</w:t>
      </w:r>
    </w:p>
    <w:p w:rsidR="001436AC" w:rsidRPr="0002651B" w:rsidRDefault="001436AC" w:rsidP="0002651B">
      <w:pPr>
        <w:spacing w:after="0"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This measure does not apply to</w:t>
      </w:r>
      <w:r w:rsidR="001403D8" w:rsidRPr="0002651B">
        <w:rPr>
          <w:b/>
          <w:sz w:val="20"/>
          <w:szCs w:val="20"/>
        </w:rPr>
        <w:t>: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Mid Rise Apartment </w:t>
      </w:r>
    </w:p>
    <w:p w:rsidR="001436AC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High Rise Apartment </w:t>
      </w:r>
    </w:p>
    <w:p w:rsidR="008706E7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Small Office 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BB7CB" wp14:editId="7AA1B218">
            <wp:extent cx="5943600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Full Service Restaurant</w:t>
      </w:r>
    </w:p>
    <w:p w:rsidR="001436AC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sz w:val="20"/>
          <w:szCs w:val="20"/>
        </w:rPr>
      </w:pPr>
      <w:r w:rsidRPr="0002651B">
        <w:rPr>
          <w:b/>
          <w:sz w:val="20"/>
          <w:szCs w:val="20"/>
        </w:rPr>
        <w:t>Quick Service Restaurant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Stand Alone Retail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Strip Mall 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Warehouse (non-refrigerated) </w:t>
      </w:r>
    </w:p>
    <w:p w:rsidR="008706E7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Small Hotel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AAA661" wp14:editId="0BD6CBC6">
            <wp:extent cx="5943600" cy="4145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69" w:rsidRPr="0002651B" w:rsidRDefault="001436AC" w:rsidP="0002651B">
      <w:p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Test results:</w:t>
      </w:r>
    </w:p>
    <w:p w:rsidR="00147869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The delivered measure will include screen shots of the initial, final and info messages as well as screen shots of the OS Application UI showing the object modifications. </w:t>
      </w:r>
    </w:p>
    <w:p w:rsidR="001403D8" w:rsidRPr="0002651B" w:rsidRDefault="001403D8" w:rsidP="0002651B">
      <w:pPr>
        <w:spacing w:line="360" w:lineRule="auto"/>
        <w:rPr>
          <w:sz w:val="20"/>
          <w:szCs w:val="20"/>
        </w:rPr>
      </w:pPr>
    </w:p>
    <w:sectPr w:rsidR="001403D8" w:rsidRPr="0002651B" w:rsidSect="000F1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CF0" w:rsidRDefault="004E5CF0" w:rsidP="006A43F6">
      <w:pPr>
        <w:spacing w:after="0" w:line="240" w:lineRule="auto"/>
      </w:pPr>
      <w:r>
        <w:separator/>
      </w:r>
    </w:p>
  </w:endnote>
  <w:endnote w:type="continuationSeparator" w:id="0">
    <w:p w:rsidR="004E5CF0" w:rsidRDefault="004E5CF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077" w:rsidRDefault="00AE007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3D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E0077" w:rsidRDefault="00AE0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CF0" w:rsidRDefault="004E5CF0" w:rsidP="006A43F6">
      <w:pPr>
        <w:spacing w:after="0" w:line="240" w:lineRule="auto"/>
      </w:pPr>
      <w:r>
        <w:separator/>
      </w:r>
    </w:p>
  </w:footnote>
  <w:footnote w:type="continuationSeparator" w:id="0">
    <w:p w:rsidR="004E5CF0" w:rsidRDefault="004E5CF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6D74"/>
    <w:multiLevelType w:val="hybridMultilevel"/>
    <w:tmpl w:val="20B0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5DF7"/>
    <w:rsid w:val="000118B4"/>
    <w:rsid w:val="0002651B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A7E96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611"/>
    <w:rsid w:val="004C4289"/>
    <w:rsid w:val="004D0E29"/>
    <w:rsid w:val="004E2982"/>
    <w:rsid w:val="004E5CF0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67DF9"/>
    <w:rsid w:val="00570F71"/>
    <w:rsid w:val="0057393D"/>
    <w:rsid w:val="005756F2"/>
    <w:rsid w:val="00592D67"/>
    <w:rsid w:val="00595DE3"/>
    <w:rsid w:val="005B0288"/>
    <w:rsid w:val="005D0713"/>
    <w:rsid w:val="005E0F03"/>
    <w:rsid w:val="005E5E49"/>
    <w:rsid w:val="005F67D5"/>
    <w:rsid w:val="00601EF4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502A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73D7"/>
    <w:rsid w:val="008706E7"/>
    <w:rsid w:val="00877E50"/>
    <w:rsid w:val="008A0512"/>
    <w:rsid w:val="008C271A"/>
    <w:rsid w:val="008C467E"/>
    <w:rsid w:val="008C4D17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D7F74"/>
    <w:rsid w:val="009E4086"/>
    <w:rsid w:val="009F6E47"/>
    <w:rsid w:val="00A10681"/>
    <w:rsid w:val="00A22F91"/>
    <w:rsid w:val="00A23662"/>
    <w:rsid w:val="00A64750"/>
    <w:rsid w:val="00A82AEB"/>
    <w:rsid w:val="00AB0BCF"/>
    <w:rsid w:val="00AB16B4"/>
    <w:rsid w:val="00AB77D4"/>
    <w:rsid w:val="00AE0077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83FA8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C69C1"/>
    <w:rsid w:val="00CD4539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D5121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3B15"/>
    <w:rsid w:val="00E96009"/>
    <w:rsid w:val="00E971FE"/>
    <w:rsid w:val="00EC067B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2DCA"/>
    <w:rsid w:val="00FC698E"/>
    <w:rsid w:val="00FD399D"/>
    <w:rsid w:val="00FD4E13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E8AB0-EE32-4D52-9042-534D2803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2</cp:revision>
  <dcterms:created xsi:type="dcterms:W3CDTF">2015-09-14T20:41:00Z</dcterms:created>
  <dcterms:modified xsi:type="dcterms:W3CDTF">2015-09-14T20:41:00Z</dcterms:modified>
</cp:coreProperties>
</file>