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EA5" w:rsidRDefault="00E23EA5" w:rsidP="00231910">
      <w:pPr>
        <w:spacing w:after="0"/>
        <w:jc w:val="center"/>
        <w:rPr>
          <w:rFonts w:ascii="Times New Roman" w:hAnsi="Times New Roman" w:cs="Times New Roman"/>
          <w:b/>
          <w:i/>
          <w:sz w:val="22"/>
          <w:szCs w:val="22"/>
        </w:rPr>
      </w:pPr>
      <w:r w:rsidRPr="00231910">
        <w:rPr>
          <w:rFonts w:ascii="Times New Roman" w:hAnsi="Times New Roman" w:cs="Times New Roman"/>
          <w:b/>
          <w:i/>
          <w:sz w:val="22"/>
          <w:szCs w:val="22"/>
        </w:rPr>
        <w:t>Supplemental Information</w:t>
      </w:r>
    </w:p>
    <w:p w:rsidR="00231910" w:rsidRPr="00231910" w:rsidRDefault="00231910" w:rsidP="00231910">
      <w:pPr>
        <w:spacing w:after="0"/>
        <w:jc w:val="center"/>
        <w:rPr>
          <w:rFonts w:ascii="Times New Roman" w:hAnsi="Times New Roman" w:cs="Times New Roman"/>
          <w:b/>
          <w:i/>
          <w:sz w:val="22"/>
          <w:szCs w:val="22"/>
        </w:rPr>
      </w:pPr>
    </w:p>
    <w:p w:rsidR="00E23EA5" w:rsidRPr="00231910" w:rsidRDefault="00651EF6" w:rsidP="00231910">
      <w:pPr>
        <w:pStyle w:val="ListParagraph"/>
        <w:numPr>
          <w:ilvl w:val="0"/>
          <w:numId w:val="5"/>
        </w:numPr>
        <w:spacing w:after="0"/>
        <w:rPr>
          <w:rFonts w:ascii="Times New Roman" w:hAnsi="Times New Roman" w:cs="Times New Roman"/>
          <w:b/>
          <w:sz w:val="22"/>
          <w:szCs w:val="22"/>
        </w:rPr>
      </w:pPr>
      <w:r>
        <w:rPr>
          <w:rFonts w:ascii="Times New Roman" w:hAnsi="Times New Roman" w:cs="Times New Roman"/>
          <w:b/>
          <w:sz w:val="22"/>
          <w:szCs w:val="22"/>
        </w:rPr>
        <w:t>Definitions of</w:t>
      </w:r>
      <w:r w:rsidR="00E23EA5" w:rsidRPr="00231910">
        <w:rPr>
          <w:rFonts w:ascii="Times New Roman" w:hAnsi="Times New Roman" w:cs="Times New Roman"/>
          <w:b/>
          <w:sz w:val="22"/>
          <w:szCs w:val="22"/>
        </w:rPr>
        <w:t xml:space="preserve"> Land Use Change</w:t>
      </w:r>
    </w:p>
    <w:p w:rsidR="00E23EA5" w:rsidRPr="00231910" w:rsidRDefault="00E23EA5" w:rsidP="00231910">
      <w:pPr>
        <w:spacing w:after="0"/>
        <w:rPr>
          <w:rFonts w:ascii="Times New Roman" w:hAnsi="Times New Roman" w:cs="Times New Roman"/>
          <w:sz w:val="22"/>
          <w:szCs w:val="22"/>
        </w:rPr>
      </w:pPr>
    </w:p>
    <w:p w:rsidR="00E23EA5" w:rsidRDefault="00971662" w:rsidP="00231910">
      <w:pPr>
        <w:autoSpaceDE w:val="0"/>
        <w:autoSpaceDN w:val="0"/>
        <w:adjustRightInd w:val="0"/>
        <w:spacing w:after="0"/>
        <w:rPr>
          <w:rFonts w:ascii="Times New Roman" w:hAnsi="Times New Roman" w:cs="Times New Roman"/>
          <w:sz w:val="22"/>
          <w:szCs w:val="22"/>
        </w:rPr>
      </w:pPr>
      <w:r w:rsidRPr="00456E92">
        <w:rPr>
          <w:rFonts w:ascii="Times New Roman" w:hAnsi="Times New Roman"/>
          <w:sz w:val="22"/>
          <w:szCs w:val="22"/>
        </w:rPr>
        <w:t>L</w:t>
      </w:r>
      <w:r w:rsidR="00263953">
        <w:rPr>
          <w:rFonts w:ascii="Times New Roman" w:hAnsi="Times New Roman"/>
          <w:sz w:val="22"/>
          <w:szCs w:val="22"/>
        </w:rPr>
        <w:t>and use chance (L</w:t>
      </w:r>
      <w:r w:rsidRPr="00456E92">
        <w:rPr>
          <w:rFonts w:ascii="Times New Roman" w:hAnsi="Times New Roman"/>
          <w:sz w:val="22"/>
          <w:szCs w:val="22"/>
        </w:rPr>
        <w:t>UC</w:t>
      </w:r>
      <w:r w:rsidR="00263953">
        <w:rPr>
          <w:rFonts w:ascii="Times New Roman" w:hAnsi="Times New Roman"/>
          <w:sz w:val="22"/>
          <w:szCs w:val="22"/>
        </w:rPr>
        <w:t>)</w:t>
      </w:r>
      <w:r w:rsidRPr="00456E92">
        <w:rPr>
          <w:rFonts w:ascii="Times New Roman" w:hAnsi="Times New Roman"/>
          <w:sz w:val="22"/>
          <w:szCs w:val="22"/>
        </w:rPr>
        <w:t xml:space="preserve"> is set into motion through direct and indirect causal relationships. </w:t>
      </w:r>
      <w:r w:rsidR="00E23EA5" w:rsidRPr="00231910">
        <w:rPr>
          <w:rFonts w:ascii="Times New Roman" w:hAnsi="Times New Roman" w:cs="Times New Roman"/>
          <w:iCs/>
          <w:sz w:val="22"/>
          <w:szCs w:val="22"/>
        </w:rPr>
        <w:t xml:space="preserve">Global </w:t>
      </w:r>
      <w:r w:rsidR="00E23EA5" w:rsidRPr="00231910">
        <w:rPr>
          <w:rFonts w:ascii="Times New Roman" w:hAnsi="Times New Roman" w:cs="Times New Roman"/>
          <w:sz w:val="22"/>
          <w:szCs w:val="22"/>
        </w:rPr>
        <w:t xml:space="preserve">LUC includes </w:t>
      </w:r>
      <w:r w:rsidR="00DC3ACA">
        <w:rPr>
          <w:rFonts w:ascii="Times New Roman" w:hAnsi="Times New Roman" w:cs="Times New Roman"/>
          <w:sz w:val="22"/>
          <w:szCs w:val="22"/>
        </w:rPr>
        <w:t>direct and indirect LUC (</w:t>
      </w:r>
      <w:r w:rsidR="00E23EA5" w:rsidRPr="00231910">
        <w:rPr>
          <w:rFonts w:ascii="Times New Roman" w:hAnsi="Times New Roman" w:cs="Times New Roman"/>
          <w:sz w:val="22"/>
          <w:szCs w:val="22"/>
        </w:rPr>
        <w:t xml:space="preserve">dLUC and </w:t>
      </w:r>
      <w:proofErr w:type="spellStart"/>
      <w:r w:rsidR="00E23EA5" w:rsidRPr="00231910">
        <w:rPr>
          <w:rFonts w:ascii="Times New Roman" w:hAnsi="Times New Roman" w:cs="Times New Roman"/>
          <w:sz w:val="22"/>
          <w:szCs w:val="22"/>
        </w:rPr>
        <w:t>iLUC</w:t>
      </w:r>
      <w:proofErr w:type="spellEnd"/>
      <w:r w:rsidR="00DC3ACA">
        <w:rPr>
          <w:rFonts w:ascii="Times New Roman" w:hAnsi="Times New Roman" w:cs="Times New Roman"/>
          <w:sz w:val="22"/>
          <w:szCs w:val="22"/>
        </w:rPr>
        <w:t>),</w:t>
      </w:r>
      <w:r w:rsidR="00E23EA5" w:rsidRPr="00231910">
        <w:rPr>
          <w:rFonts w:ascii="Times New Roman" w:hAnsi="Times New Roman" w:cs="Times New Roman"/>
          <w:sz w:val="22"/>
          <w:szCs w:val="22"/>
        </w:rPr>
        <w:t xml:space="preserve"> which are overlapping phenomena defined as</w:t>
      </w:r>
      <w:r w:rsidR="00DC3ACA">
        <w:rPr>
          <w:rFonts w:ascii="Times New Roman" w:hAnsi="Times New Roman" w:cs="Times New Roman"/>
          <w:sz w:val="22"/>
          <w:szCs w:val="22"/>
        </w:rPr>
        <w:t xml:space="preserve"> follows</w:t>
      </w:r>
      <w:r w:rsidR="00E23EA5" w:rsidRPr="00231910">
        <w:rPr>
          <w:rFonts w:ascii="Times New Roman" w:hAnsi="Times New Roman" w:cs="Times New Roman"/>
          <w:sz w:val="22"/>
          <w:szCs w:val="22"/>
        </w:rPr>
        <w:t>:</w:t>
      </w:r>
    </w:p>
    <w:p w:rsidR="00231910" w:rsidRPr="00231910" w:rsidRDefault="00231910" w:rsidP="00231910">
      <w:pPr>
        <w:autoSpaceDE w:val="0"/>
        <w:autoSpaceDN w:val="0"/>
        <w:adjustRightInd w:val="0"/>
        <w:spacing w:after="0"/>
        <w:rPr>
          <w:rFonts w:ascii="Times New Roman" w:hAnsi="Times New Roman" w:cs="Times New Roman"/>
          <w:iCs/>
          <w:sz w:val="22"/>
          <w:szCs w:val="22"/>
        </w:rPr>
      </w:pPr>
    </w:p>
    <w:p w:rsidR="00E23EA5" w:rsidRPr="00231910" w:rsidRDefault="00402E8B" w:rsidP="00231910">
      <w:pPr>
        <w:pStyle w:val="ListParagraph"/>
        <w:numPr>
          <w:ilvl w:val="0"/>
          <w:numId w:val="3"/>
        </w:numPr>
        <w:autoSpaceDE w:val="0"/>
        <w:autoSpaceDN w:val="0"/>
        <w:adjustRightInd w:val="0"/>
        <w:spacing w:after="0"/>
        <w:rPr>
          <w:rFonts w:ascii="Times New Roman" w:hAnsi="Times New Roman" w:cs="Times New Roman"/>
          <w:iCs/>
          <w:sz w:val="22"/>
          <w:szCs w:val="22"/>
        </w:rPr>
      </w:pPr>
      <w:r w:rsidRPr="00456E92">
        <w:rPr>
          <w:rFonts w:ascii="Times New Roman" w:hAnsi="Times New Roman"/>
          <w:sz w:val="22"/>
          <w:szCs w:val="22"/>
        </w:rPr>
        <w:t xml:space="preserve">Biofuel-induced </w:t>
      </w:r>
      <w:r>
        <w:rPr>
          <w:rFonts w:ascii="Times New Roman" w:hAnsi="Times New Roman"/>
          <w:sz w:val="22"/>
          <w:szCs w:val="22"/>
        </w:rPr>
        <w:t xml:space="preserve">dLUC </w:t>
      </w:r>
      <w:r w:rsidRPr="00456E92">
        <w:rPr>
          <w:rFonts w:ascii="Times New Roman" w:hAnsi="Times New Roman"/>
          <w:sz w:val="22"/>
          <w:szCs w:val="22"/>
        </w:rPr>
        <w:t>is caused by growing biofuel crops on land previously used for a different purpose</w:t>
      </w:r>
      <w:r>
        <w:rPr>
          <w:rFonts w:ascii="Times New Roman" w:hAnsi="Times New Roman"/>
          <w:sz w:val="22"/>
          <w:szCs w:val="22"/>
        </w:rPr>
        <w:t xml:space="preserve"> (e.g., agricultural, forestry, pristine land)</w:t>
      </w:r>
      <w:r w:rsidRPr="00456E92">
        <w:rPr>
          <w:rFonts w:ascii="Times New Roman" w:hAnsi="Times New Roman"/>
          <w:sz w:val="22"/>
          <w:szCs w:val="22"/>
        </w:rPr>
        <w:t xml:space="preserve">. </w:t>
      </w:r>
      <w:r w:rsidR="00E23EA5" w:rsidRPr="00231910">
        <w:rPr>
          <w:rFonts w:ascii="Times New Roman" w:hAnsi="Times New Roman" w:cs="Times New Roman"/>
          <w:iCs/>
          <w:sz w:val="22"/>
          <w:szCs w:val="22"/>
        </w:rPr>
        <w:t xml:space="preserve">Greenhouse gas (GHG) emissions from dLUC depend on site-specific conditions such as soil type, local climate, and food and bioenergy crop management practices. Despite uncertainties, dLUC can be quantified with sufficient </w:t>
      </w:r>
      <w:r w:rsidR="00263953" w:rsidRPr="00231910">
        <w:rPr>
          <w:rFonts w:ascii="Times New Roman" w:hAnsi="Times New Roman" w:cs="Times New Roman"/>
          <w:iCs/>
          <w:sz w:val="22"/>
          <w:szCs w:val="22"/>
        </w:rPr>
        <w:t xml:space="preserve">confidence </w:t>
      </w:r>
      <w:r w:rsidR="00263953">
        <w:rPr>
          <w:rFonts w:ascii="Times New Roman" w:hAnsi="Times New Roman" w:cs="Times New Roman"/>
          <w:iCs/>
          <w:sz w:val="22"/>
          <w:szCs w:val="22"/>
        </w:rPr>
        <w:t>that there is considerable consensus about its use</w:t>
      </w:r>
      <w:r w:rsidR="00E23EA5" w:rsidRPr="00231910">
        <w:rPr>
          <w:rFonts w:ascii="Times New Roman" w:hAnsi="Times New Roman" w:cs="Times New Roman"/>
          <w:iCs/>
          <w:sz w:val="22"/>
          <w:szCs w:val="22"/>
        </w:rPr>
        <w:t xml:space="preserve"> for policy guidance (e.g., Gibbs </w:t>
      </w:r>
      <w:r w:rsidR="00E23EA5" w:rsidRPr="00231910">
        <w:rPr>
          <w:rFonts w:ascii="Times New Roman" w:hAnsi="Times New Roman" w:cs="Times New Roman"/>
          <w:i/>
          <w:iCs/>
          <w:sz w:val="22"/>
          <w:szCs w:val="22"/>
        </w:rPr>
        <w:t>et al</w:t>
      </w:r>
      <w:r w:rsidR="00E23EA5" w:rsidRPr="00231910">
        <w:rPr>
          <w:rFonts w:ascii="Times New Roman" w:hAnsi="Times New Roman" w:cs="Times New Roman"/>
          <w:iCs/>
          <w:sz w:val="22"/>
          <w:szCs w:val="22"/>
        </w:rPr>
        <w:t xml:space="preserve"> 2008).</w:t>
      </w:r>
    </w:p>
    <w:p w:rsidR="00231910" w:rsidRPr="00263953" w:rsidRDefault="00263953" w:rsidP="00263953">
      <w:pPr>
        <w:pStyle w:val="CommentText"/>
        <w:numPr>
          <w:ilvl w:val="0"/>
          <w:numId w:val="3"/>
        </w:numPr>
        <w:rPr>
          <w:rFonts w:ascii="Times New Roman" w:hAnsi="Times New Roman" w:cs="Times New Roman"/>
          <w:iCs/>
          <w:sz w:val="22"/>
          <w:szCs w:val="22"/>
        </w:rPr>
      </w:pPr>
      <w:r w:rsidRPr="00231910">
        <w:rPr>
          <w:rFonts w:ascii="Times New Roman" w:hAnsi="Times New Roman" w:cs="Times New Roman"/>
          <w:iCs/>
          <w:sz w:val="22"/>
          <w:szCs w:val="22"/>
        </w:rPr>
        <w:t xml:space="preserve">Biofuel-induced </w:t>
      </w:r>
      <w:proofErr w:type="spellStart"/>
      <w:r w:rsidRPr="00231910">
        <w:rPr>
          <w:rFonts w:ascii="Times New Roman" w:hAnsi="Times New Roman" w:cs="Times New Roman"/>
          <w:iCs/>
          <w:sz w:val="22"/>
          <w:szCs w:val="22"/>
        </w:rPr>
        <w:t>iLUC</w:t>
      </w:r>
      <w:proofErr w:type="spellEnd"/>
      <w:r w:rsidRPr="00231910">
        <w:rPr>
          <w:rFonts w:ascii="Times New Roman" w:hAnsi="Times New Roman" w:cs="Times New Roman"/>
          <w:iCs/>
          <w:sz w:val="22"/>
          <w:szCs w:val="22"/>
        </w:rPr>
        <w:t xml:space="preserve"> is caused</w:t>
      </w:r>
      <w:r>
        <w:rPr>
          <w:rFonts w:ascii="Times New Roman" w:hAnsi="Times New Roman" w:cs="Times New Roman"/>
          <w:iCs/>
          <w:sz w:val="22"/>
          <w:szCs w:val="22"/>
        </w:rPr>
        <w:t xml:space="preserve"> by biofuel feedstock production displacing other crops and market responses that spur compensating production elsewhere.  When biofuel feedstock cultivation replaces the original crops, the price of those original crops increases due to the decline in supply, prompting increased production of those or substitute crops in another region or country. </w:t>
      </w:r>
      <w:proofErr w:type="spellStart"/>
      <w:proofErr w:type="gramStart"/>
      <w:r w:rsidR="00E23EA5" w:rsidRPr="00263953">
        <w:rPr>
          <w:rFonts w:ascii="Times New Roman" w:hAnsi="Times New Roman" w:cs="Times New Roman"/>
          <w:iCs/>
          <w:sz w:val="22"/>
          <w:szCs w:val="22"/>
        </w:rPr>
        <w:t>iLUC</w:t>
      </w:r>
      <w:proofErr w:type="spellEnd"/>
      <w:proofErr w:type="gramEnd"/>
      <w:r w:rsidR="00E23EA5" w:rsidRPr="00263953">
        <w:rPr>
          <w:rFonts w:ascii="Times New Roman" w:hAnsi="Times New Roman" w:cs="Times New Roman"/>
          <w:iCs/>
          <w:sz w:val="22"/>
          <w:szCs w:val="22"/>
        </w:rPr>
        <w:t xml:space="preserve"> remains a contentious policy issue</w:t>
      </w:r>
      <w:r w:rsidR="004D78C7" w:rsidRPr="00263953">
        <w:rPr>
          <w:rFonts w:ascii="Times New Roman" w:hAnsi="Times New Roman" w:cs="Times New Roman"/>
          <w:iCs/>
          <w:sz w:val="22"/>
          <w:szCs w:val="22"/>
        </w:rPr>
        <w:t xml:space="preserve"> because of uncertainty in estimation</w:t>
      </w:r>
      <w:r w:rsidR="009465E6" w:rsidRPr="00263953">
        <w:rPr>
          <w:rFonts w:ascii="Times New Roman" w:hAnsi="Times New Roman" w:cs="Times New Roman"/>
          <w:iCs/>
          <w:sz w:val="22"/>
          <w:szCs w:val="22"/>
        </w:rPr>
        <w:t>,</w:t>
      </w:r>
      <w:r w:rsidR="004D78C7" w:rsidRPr="00263953">
        <w:rPr>
          <w:rFonts w:ascii="Times New Roman" w:hAnsi="Times New Roman" w:cs="Times New Roman"/>
          <w:iCs/>
          <w:sz w:val="22"/>
          <w:szCs w:val="22"/>
        </w:rPr>
        <w:t xml:space="preserve"> </w:t>
      </w:r>
      <w:r>
        <w:rPr>
          <w:rFonts w:ascii="Times New Roman" w:hAnsi="Times New Roman" w:cs="Times New Roman"/>
          <w:iCs/>
          <w:sz w:val="22"/>
          <w:szCs w:val="22"/>
        </w:rPr>
        <w:t xml:space="preserve">as </w:t>
      </w:r>
      <w:r w:rsidR="004D78C7" w:rsidRPr="00263953">
        <w:rPr>
          <w:rFonts w:ascii="Times New Roman" w:hAnsi="Times New Roman" w:cs="Times New Roman"/>
          <w:iCs/>
          <w:sz w:val="22"/>
          <w:szCs w:val="22"/>
        </w:rPr>
        <w:t>outlined in the main paper</w:t>
      </w:r>
      <w:r w:rsidR="009465E6" w:rsidRPr="00263953">
        <w:rPr>
          <w:rFonts w:ascii="Times New Roman" w:hAnsi="Times New Roman" w:cs="Times New Roman"/>
          <w:iCs/>
          <w:sz w:val="22"/>
          <w:szCs w:val="22"/>
        </w:rPr>
        <w:t>.</w:t>
      </w:r>
    </w:p>
    <w:p w:rsidR="004D78C7" w:rsidRDefault="004D78C7">
      <w:pPr>
        <w:pStyle w:val="ListParagraph"/>
        <w:spacing w:after="0"/>
        <w:ind w:left="360"/>
        <w:rPr>
          <w:rFonts w:ascii="Times New Roman" w:hAnsi="Times New Roman"/>
          <w:sz w:val="22"/>
        </w:rPr>
      </w:pPr>
    </w:p>
    <w:p w:rsidR="00231910" w:rsidRPr="004B2E88" w:rsidRDefault="004D78C7" w:rsidP="004B2E88">
      <w:pPr>
        <w:pStyle w:val="ListParagraph"/>
        <w:numPr>
          <w:ilvl w:val="0"/>
          <w:numId w:val="5"/>
        </w:numPr>
        <w:spacing w:after="0"/>
        <w:rPr>
          <w:rFonts w:ascii="Times New Roman" w:hAnsi="Times New Roman" w:cs="Times New Roman"/>
          <w:b/>
          <w:sz w:val="22"/>
          <w:szCs w:val="22"/>
        </w:rPr>
      </w:pPr>
      <w:r>
        <w:rPr>
          <w:rFonts w:ascii="Times New Roman" w:hAnsi="Times New Roman" w:cs="Times New Roman"/>
          <w:b/>
          <w:sz w:val="22"/>
          <w:szCs w:val="22"/>
        </w:rPr>
        <w:t>System Dynamics</w:t>
      </w:r>
    </w:p>
    <w:p w:rsidR="002D354D" w:rsidRDefault="002D354D" w:rsidP="00596499">
      <w:pPr>
        <w:spacing w:after="0"/>
        <w:rPr>
          <w:rFonts w:ascii="Times New Roman" w:hAnsi="Times New Roman" w:cs="Times New Roman"/>
          <w:b/>
          <w:sz w:val="22"/>
          <w:szCs w:val="22"/>
        </w:rPr>
      </w:pPr>
    </w:p>
    <w:p w:rsidR="002D354D" w:rsidRPr="002D354D" w:rsidRDefault="00D06A98" w:rsidP="002D354D">
      <w:pPr>
        <w:rPr>
          <w:rFonts w:ascii="Times New Roman" w:hAnsi="Times New Roman" w:cs="Times New Roman"/>
          <w:sz w:val="22"/>
          <w:szCs w:val="22"/>
        </w:rPr>
      </w:pPr>
      <w:r w:rsidRPr="00D06A98">
        <w:rPr>
          <w:rFonts w:ascii="Times New Roman" w:hAnsi="Times New Roman" w:cs="Times New Roman"/>
          <w:sz w:val="22"/>
          <w:szCs w:val="22"/>
        </w:rPr>
        <w:t xml:space="preserve">System dynamics </w:t>
      </w:r>
      <w:r w:rsidR="00263953">
        <w:rPr>
          <w:rFonts w:ascii="Times New Roman" w:hAnsi="Times New Roman" w:cs="Times New Roman"/>
          <w:sz w:val="22"/>
          <w:szCs w:val="22"/>
        </w:rPr>
        <w:t xml:space="preserve">(SD) </w:t>
      </w:r>
      <w:r w:rsidRPr="00D06A98">
        <w:rPr>
          <w:rFonts w:ascii="Times New Roman" w:hAnsi="Times New Roman" w:cs="Times New Roman"/>
          <w:sz w:val="22"/>
          <w:szCs w:val="22"/>
        </w:rPr>
        <w:t xml:space="preserve">can be characterized as </w:t>
      </w:r>
      <w:r w:rsidR="004E5871">
        <w:rPr>
          <w:rFonts w:ascii="Times New Roman" w:hAnsi="Times New Roman" w:cs="Times New Roman"/>
          <w:sz w:val="22"/>
          <w:szCs w:val="22"/>
        </w:rPr>
        <w:t>an analytical framework for</w:t>
      </w:r>
      <w:r w:rsidRPr="00D06A98">
        <w:rPr>
          <w:rFonts w:ascii="Times New Roman" w:hAnsi="Times New Roman" w:cs="Times New Roman"/>
          <w:sz w:val="22"/>
          <w:szCs w:val="22"/>
        </w:rPr>
        <w:t xml:space="preserve"> understanding and improving the performance dynamic </w:t>
      </w:r>
      <w:r w:rsidR="004E5871">
        <w:rPr>
          <w:rFonts w:ascii="Times New Roman" w:hAnsi="Times New Roman" w:cs="Times New Roman"/>
          <w:sz w:val="22"/>
          <w:szCs w:val="22"/>
        </w:rPr>
        <w:t xml:space="preserve">of </w:t>
      </w:r>
      <w:r w:rsidRPr="00D06A98">
        <w:rPr>
          <w:rFonts w:ascii="Times New Roman" w:hAnsi="Times New Roman" w:cs="Times New Roman"/>
          <w:sz w:val="22"/>
          <w:szCs w:val="22"/>
        </w:rPr>
        <w:t>sy</w:t>
      </w:r>
      <w:r w:rsidR="008773B5">
        <w:rPr>
          <w:rFonts w:ascii="Times New Roman" w:hAnsi="Times New Roman" w:cs="Times New Roman"/>
          <w:sz w:val="22"/>
          <w:szCs w:val="22"/>
        </w:rPr>
        <w:t>stems and processes</w:t>
      </w:r>
      <w:r w:rsidR="004E5871">
        <w:rPr>
          <w:rFonts w:ascii="Times New Roman" w:hAnsi="Times New Roman" w:cs="Times New Roman"/>
          <w:sz w:val="22"/>
          <w:szCs w:val="22"/>
        </w:rPr>
        <w:t xml:space="preserve"> that are </w:t>
      </w:r>
      <w:r w:rsidR="00263953">
        <w:rPr>
          <w:rFonts w:ascii="Times New Roman" w:hAnsi="Times New Roman" w:cs="Times New Roman"/>
          <w:sz w:val="22"/>
          <w:szCs w:val="22"/>
        </w:rPr>
        <w:t>feedback-</w:t>
      </w:r>
      <w:r w:rsidR="004E5871">
        <w:rPr>
          <w:rFonts w:ascii="Times New Roman" w:hAnsi="Times New Roman" w:cs="Times New Roman"/>
          <w:sz w:val="22"/>
          <w:szCs w:val="22"/>
        </w:rPr>
        <w:t>rich</w:t>
      </w:r>
      <w:r w:rsidR="008773B5">
        <w:rPr>
          <w:rFonts w:ascii="Times New Roman" w:hAnsi="Times New Roman" w:cs="Times New Roman"/>
          <w:sz w:val="22"/>
          <w:szCs w:val="22"/>
        </w:rPr>
        <w:t xml:space="preserve">. </w:t>
      </w:r>
      <w:r w:rsidRPr="00D06A98">
        <w:rPr>
          <w:rFonts w:ascii="Times New Roman" w:hAnsi="Times New Roman" w:cs="Times New Roman"/>
          <w:sz w:val="22"/>
          <w:szCs w:val="22"/>
        </w:rPr>
        <w:t xml:space="preserve">It was developed in the 1950s at MIT as an extension of feedback-control-system principles to the analysis of production and distribution systems.  Throughout its history, the framework has been </w:t>
      </w:r>
      <w:r w:rsidR="004E5871">
        <w:rPr>
          <w:rFonts w:ascii="Times New Roman" w:hAnsi="Times New Roman" w:cs="Times New Roman"/>
          <w:sz w:val="22"/>
          <w:szCs w:val="22"/>
        </w:rPr>
        <w:t>applied to a broad range of issues</w:t>
      </w:r>
      <w:r w:rsidRPr="00D06A98">
        <w:rPr>
          <w:rFonts w:ascii="Times New Roman" w:hAnsi="Times New Roman" w:cs="Times New Roman"/>
          <w:sz w:val="22"/>
          <w:szCs w:val="22"/>
        </w:rPr>
        <w:t xml:space="preserve"> in business, government,</w:t>
      </w:r>
      <w:r w:rsidR="004E5871">
        <w:rPr>
          <w:rFonts w:ascii="Times New Roman" w:hAnsi="Times New Roman" w:cs="Times New Roman"/>
          <w:sz w:val="22"/>
          <w:szCs w:val="22"/>
        </w:rPr>
        <w:t xml:space="preserve"> non-profit</w:t>
      </w:r>
      <w:r w:rsidR="009465E6">
        <w:rPr>
          <w:rFonts w:ascii="Times New Roman" w:hAnsi="Times New Roman" w:cs="Times New Roman"/>
          <w:sz w:val="22"/>
          <w:szCs w:val="22"/>
        </w:rPr>
        <w:t>,</w:t>
      </w:r>
      <w:r w:rsidR="004E5871">
        <w:rPr>
          <w:rFonts w:ascii="Times New Roman" w:hAnsi="Times New Roman" w:cs="Times New Roman"/>
          <w:sz w:val="22"/>
          <w:szCs w:val="22"/>
        </w:rPr>
        <w:t xml:space="preserve"> and </w:t>
      </w:r>
      <w:r w:rsidRPr="00D06A98">
        <w:rPr>
          <w:rFonts w:ascii="Times New Roman" w:hAnsi="Times New Roman" w:cs="Times New Roman"/>
          <w:sz w:val="22"/>
          <w:szCs w:val="22"/>
        </w:rPr>
        <w:t xml:space="preserve">academic settings. Many of these uses </w:t>
      </w:r>
      <w:r w:rsidR="004E5871">
        <w:rPr>
          <w:rFonts w:ascii="Times New Roman" w:hAnsi="Times New Roman" w:cs="Times New Roman"/>
          <w:sz w:val="22"/>
          <w:szCs w:val="22"/>
        </w:rPr>
        <w:t xml:space="preserve">described are noted in </w:t>
      </w:r>
      <w:r w:rsidRPr="00801AB9">
        <w:rPr>
          <w:rFonts w:ascii="Times New Roman" w:hAnsi="Times New Roman" w:cs="Times New Roman"/>
          <w:i/>
          <w:sz w:val="22"/>
          <w:szCs w:val="22"/>
        </w:rPr>
        <w:t>Business Dynamics</w:t>
      </w:r>
      <w:r w:rsidR="00801AB9" w:rsidRPr="00801AB9">
        <w:rPr>
          <w:rFonts w:ascii="Times New Roman" w:hAnsi="Times New Roman" w:cs="Times New Roman"/>
          <w:i/>
          <w:sz w:val="22"/>
          <w:szCs w:val="22"/>
        </w:rPr>
        <w:t>: Systems Thinking and Modeling for a Complex World</w:t>
      </w:r>
      <w:r w:rsidRPr="00D06A98">
        <w:rPr>
          <w:rFonts w:ascii="Times New Roman" w:hAnsi="Times New Roman" w:cs="Times New Roman"/>
          <w:sz w:val="22"/>
          <w:szCs w:val="22"/>
        </w:rPr>
        <w:t xml:space="preserve"> </w:t>
      </w:r>
      <w:r w:rsidR="000C7A6D">
        <w:rPr>
          <w:rFonts w:ascii="Times New Roman" w:hAnsi="Times New Roman" w:cs="Times New Roman"/>
          <w:sz w:val="22"/>
          <w:szCs w:val="22"/>
        </w:rPr>
        <w:t>(</w:t>
      </w:r>
      <w:proofErr w:type="spellStart"/>
      <w:r w:rsidR="00801AB9">
        <w:rPr>
          <w:rFonts w:ascii="Times New Roman" w:hAnsi="Times New Roman" w:cs="Times New Roman"/>
          <w:sz w:val="22"/>
          <w:szCs w:val="22"/>
        </w:rPr>
        <w:t>Sterman</w:t>
      </w:r>
      <w:proofErr w:type="spellEnd"/>
      <w:r w:rsidR="00801AB9">
        <w:rPr>
          <w:rFonts w:ascii="Times New Roman" w:hAnsi="Times New Roman" w:cs="Times New Roman"/>
          <w:sz w:val="22"/>
          <w:szCs w:val="22"/>
        </w:rPr>
        <w:t xml:space="preserve"> </w:t>
      </w:r>
      <w:r w:rsidR="000C7A6D">
        <w:rPr>
          <w:rFonts w:ascii="Times New Roman" w:hAnsi="Times New Roman" w:cs="Times New Roman"/>
          <w:sz w:val="22"/>
          <w:szCs w:val="22"/>
        </w:rPr>
        <w:t>2000)</w:t>
      </w:r>
      <w:r w:rsidR="009465E6">
        <w:rPr>
          <w:rFonts w:ascii="Times New Roman" w:hAnsi="Times New Roman" w:cs="Times New Roman"/>
          <w:sz w:val="22"/>
          <w:szCs w:val="22"/>
        </w:rPr>
        <w:t>,</w:t>
      </w:r>
      <w:r w:rsidRPr="00D06A98">
        <w:rPr>
          <w:rFonts w:ascii="Times New Roman" w:hAnsi="Times New Roman" w:cs="Times New Roman"/>
          <w:sz w:val="22"/>
          <w:szCs w:val="22"/>
        </w:rPr>
        <w:t xml:space="preserve"> which focuses on business and policy applications.</w:t>
      </w:r>
    </w:p>
    <w:p w:rsidR="002D354D" w:rsidRPr="002D354D" w:rsidRDefault="00D06A98" w:rsidP="002D354D">
      <w:pPr>
        <w:rPr>
          <w:rFonts w:ascii="Times New Roman" w:hAnsi="Times New Roman" w:cs="Times New Roman"/>
          <w:sz w:val="22"/>
          <w:szCs w:val="22"/>
        </w:rPr>
      </w:pPr>
      <w:r w:rsidRPr="00D06A98">
        <w:rPr>
          <w:rFonts w:ascii="Times New Roman" w:hAnsi="Times New Roman" w:cs="Times New Roman"/>
          <w:sz w:val="22"/>
          <w:szCs w:val="22"/>
        </w:rPr>
        <w:t xml:space="preserve">A central theme in </w:t>
      </w:r>
      <w:r w:rsidR="00263953">
        <w:rPr>
          <w:rFonts w:ascii="Times New Roman" w:hAnsi="Times New Roman" w:cs="Times New Roman"/>
          <w:sz w:val="22"/>
          <w:szCs w:val="22"/>
        </w:rPr>
        <w:t xml:space="preserve">(SD) </w:t>
      </w:r>
      <w:r w:rsidRPr="00D06A98">
        <w:rPr>
          <w:rFonts w:ascii="Times New Roman" w:hAnsi="Times New Roman" w:cs="Times New Roman"/>
          <w:sz w:val="22"/>
          <w:szCs w:val="22"/>
        </w:rPr>
        <w:t>applications is the graphical representation of a system’s feedback structure u</w:t>
      </w:r>
      <w:r w:rsidR="00C767CD">
        <w:rPr>
          <w:rFonts w:ascii="Times New Roman" w:hAnsi="Times New Roman" w:cs="Times New Roman"/>
          <w:sz w:val="22"/>
          <w:szCs w:val="22"/>
        </w:rPr>
        <w:t xml:space="preserve">sing stocks and flows (see </w:t>
      </w:r>
      <w:r w:rsidR="000C7A6D">
        <w:rPr>
          <w:rFonts w:ascii="Times New Roman" w:hAnsi="Times New Roman" w:cs="Times New Roman"/>
          <w:sz w:val="22"/>
          <w:szCs w:val="22"/>
        </w:rPr>
        <w:t>figure S1</w:t>
      </w:r>
      <w:r w:rsidRPr="00D06A98">
        <w:rPr>
          <w:rFonts w:ascii="Times New Roman" w:hAnsi="Times New Roman" w:cs="Times New Roman"/>
          <w:sz w:val="22"/>
          <w:szCs w:val="22"/>
        </w:rPr>
        <w:t xml:space="preserve"> for a simple stock-flow diagram). Stocks represent accumulation processes, while flows represent the rates of change over time which build or deplete stocks. Stocks depict the state variables within a system, while flows represent time derivatives. </w:t>
      </w:r>
    </w:p>
    <w:p w:rsidR="002D354D" w:rsidRPr="002D354D" w:rsidRDefault="000E5216" w:rsidP="002D354D">
      <w:pPr>
        <w:rPr>
          <w:rFonts w:ascii="Times New Roman" w:hAnsi="Times New Roman" w:cs="Times New Roman"/>
          <w:sz w:val="22"/>
          <w:szCs w:val="22"/>
        </w:rPr>
      </w:pPr>
      <w:r>
        <w:rPr>
          <w:rFonts w:ascii="Times New Roman" w:hAnsi="Times New Roman" w:cs="Times New Roman"/>
          <w:noProof/>
          <w:sz w:val="22"/>
          <w:szCs w:val="22"/>
        </w:rPr>
        <w:pict>
          <v:shapetype id="_x0000_t202" coordsize="21600,21600" o:spt="202" path="m,l,21600r21600,l21600,xe">
            <v:stroke joinstyle="miter"/>
            <v:path gradientshapeok="t" o:connecttype="rect"/>
          </v:shapetype>
          <v:shape id="Text Box 2" o:spid="_x0000_s1026" type="#_x0000_t202" style="position:absolute;margin-left:142.75pt;margin-top:5.2pt;width:186.6pt;height:73.9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">
            <v:textbox>
              <w:txbxContent>
                <w:p w:rsidR="00457248" w:rsidRPr="00732824" w:rsidRDefault="00457248" w:rsidP="00801AB9">
                  <w:pPr>
                    <w:spacing w:after="0"/>
                    <w:rPr>
                      <w:rFonts w:asciiTheme="minorHAnsi" w:hAnsiTheme="minorHAnsi" w:cstheme="minorHAnsi"/>
                    </w:rPr>
                  </w:pPr>
                  <w:proofErr w:type="gramStart"/>
                  <w:r w:rsidRPr="00732824">
                    <w:rPr>
                      <w:rFonts w:asciiTheme="minorHAnsi" w:hAnsiTheme="minorHAnsi" w:cstheme="minorHAnsi"/>
                    </w:rPr>
                    <w:t>Stock(</w:t>
                  </w:r>
                  <w:proofErr w:type="gramEnd"/>
                  <w:r w:rsidRPr="00732824">
                    <w:rPr>
                      <w:rFonts w:asciiTheme="minorHAnsi" w:hAnsiTheme="minorHAnsi" w:cstheme="minorHAnsi"/>
                    </w:rPr>
                    <w:t>t) = Stock (t-</w:t>
                  </w:r>
                  <w:proofErr w:type="spellStart"/>
                  <w:r w:rsidRPr="00732824">
                    <w:rPr>
                      <w:rFonts w:asciiTheme="minorHAnsi" w:hAnsiTheme="minorHAnsi" w:cstheme="minorHAnsi"/>
                    </w:rPr>
                    <w:t>dt</w:t>
                  </w:r>
                  <w:proofErr w:type="spellEnd"/>
                  <w:r w:rsidRPr="00732824">
                    <w:rPr>
                      <w:rFonts w:asciiTheme="minorHAnsi" w:hAnsiTheme="minorHAnsi" w:cstheme="minorHAnsi"/>
                    </w:rPr>
                    <w:t>) + (flow)*</w:t>
                  </w:r>
                  <w:proofErr w:type="spellStart"/>
                  <w:r w:rsidRPr="00732824">
                    <w:rPr>
                      <w:rFonts w:asciiTheme="minorHAnsi" w:hAnsiTheme="minorHAnsi" w:cstheme="minorHAnsi"/>
                    </w:rPr>
                    <w:t>dt</w:t>
                  </w:r>
                  <w:proofErr w:type="spellEnd"/>
                </w:p>
                <w:p w:rsidR="00457248" w:rsidRPr="00263953" w:rsidRDefault="00457248" w:rsidP="00801AB9">
                  <w:pPr>
                    <w:spacing w:after="0"/>
                    <w:rPr>
                      <w:rFonts w:asciiTheme="minorHAnsi" w:hAnsiTheme="minorHAnsi" w:cstheme="minorHAnsi"/>
                    </w:rPr>
                  </w:pPr>
                  <w:r w:rsidRPr="00732824">
                    <w:rPr>
                      <w:rFonts w:asciiTheme="minorHAnsi" w:hAnsiTheme="minorHAnsi" w:cstheme="minorHAnsi"/>
                    </w:rPr>
                    <w:t xml:space="preserve">Flow = </w:t>
                  </w:r>
                  <w:r w:rsidRPr="00263953">
                    <w:rPr>
                      <w:rFonts w:asciiTheme="minorHAnsi" w:hAnsiTheme="minorHAnsi" w:cstheme="minorHAnsi"/>
                    </w:rPr>
                    <w:t>stock * k</w:t>
                  </w:r>
                </w:p>
                <w:p w:rsidR="00457248" w:rsidRPr="003529C4" w:rsidRDefault="00457248" w:rsidP="00801AB9">
                  <w:pPr>
                    <w:spacing w:after="0"/>
                    <w:rPr>
                      <w:rFonts w:asciiTheme="minorHAnsi" w:hAnsiTheme="minorHAnsi" w:cstheme="minorHAnsi"/>
                    </w:rPr>
                  </w:pPr>
                  <w:r w:rsidRPr="00263953">
                    <w:rPr>
                      <w:rFonts w:asciiTheme="minorHAnsi" w:hAnsiTheme="minorHAnsi" w:cstheme="minorHAnsi"/>
                    </w:rPr>
                    <w:t>k = constant</w:t>
                  </w:r>
                </w:p>
                <w:p w:rsidR="00457248" w:rsidRPr="003529C4" w:rsidRDefault="00457248" w:rsidP="002D354D">
                  <w:pPr>
                    <w:rPr>
                      <w:rFonts w:asciiTheme="minorHAnsi" w:hAnsiTheme="minorHAnsi" w:cstheme="minorHAnsi"/>
                    </w:rPr>
                  </w:pPr>
                  <w:proofErr w:type="spellStart"/>
                  <w:proofErr w:type="gramStart"/>
                  <w:r w:rsidRPr="003529C4">
                    <w:rPr>
                      <w:rFonts w:asciiTheme="minorHAnsi" w:hAnsiTheme="minorHAnsi" w:cstheme="minorHAnsi"/>
                    </w:rPr>
                    <w:t>dt</w:t>
                  </w:r>
                  <w:proofErr w:type="spellEnd"/>
                  <w:proofErr w:type="gramEnd"/>
                  <w:r w:rsidRPr="003529C4">
                    <w:rPr>
                      <w:rFonts w:asciiTheme="minorHAnsi" w:hAnsiTheme="minorHAnsi" w:cstheme="minorHAnsi"/>
                    </w:rPr>
                    <w:t xml:space="preserve"> = </w:t>
                  </w:r>
                  <w:r w:rsidRPr="003529C4">
                    <w:rPr>
                      <w:rFonts w:asciiTheme="minorHAnsi" w:hAnsiTheme="minorHAnsi"/>
                    </w:rPr>
                    <w:t>simulation solution interval</w:t>
                  </w:r>
                </w:p>
              </w:txbxContent>
            </v:textbox>
          </v:shape>
        </w:pict>
      </w:r>
      <w:r w:rsidR="004D78C7" w:rsidRPr="006E4334">
        <w:rPr>
          <w:rFonts w:asciiTheme="minorHAnsi" w:hAnsiTheme="minorHAnsi" w:cstheme="minorHAnsi"/>
          <w:noProof/>
          <w:sz w:val="22"/>
          <w:szCs w:val="22"/>
        </w:rPr>
        <w:drawing>
          <wp:inline distT="0" distB="0" distL="0" distR="0">
            <wp:extent cx="1717482" cy="1294216"/>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18841" cy="1295240"/>
                    </a:xfrm>
                    <a:prstGeom prst="rect">
                      <a:avLst/>
                    </a:prstGeom>
                    <a:noFill/>
                    <a:ln>
                      <a:noFill/>
                    </a:ln>
                  </pic:spPr>
                </pic:pic>
              </a:graphicData>
            </a:graphic>
          </wp:inline>
        </w:drawing>
      </w:r>
    </w:p>
    <w:p w:rsidR="002D354D" w:rsidRPr="00BC510A" w:rsidRDefault="00D22F20" w:rsidP="002D354D">
      <w:pPr>
        <w:rPr>
          <w:rFonts w:ascii="Times New Roman" w:hAnsi="Times New Roman" w:cs="Times New Roman"/>
          <w:sz w:val="20"/>
          <w:szCs w:val="20"/>
        </w:rPr>
      </w:pPr>
      <w:r w:rsidRPr="00D22F20">
        <w:rPr>
          <w:rFonts w:ascii="Times New Roman" w:hAnsi="Times New Roman" w:cs="Times New Roman"/>
          <w:b/>
          <w:sz w:val="20"/>
          <w:szCs w:val="20"/>
        </w:rPr>
        <w:t>Figure S1</w:t>
      </w:r>
      <w:r w:rsidR="00BC510A">
        <w:rPr>
          <w:rFonts w:ascii="Times New Roman" w:hAnsi="Times New Roman" w:cs="Times New Roman"/>
          <w:sz w:val="20"/>
          <w:szCs w:val="20"/>
        </w:rPr>
        <w:t>.</w:t>
      </w:r>
      <w:r w:rsidR="00BC510A" w:rsidRPr="00BC510A">
        <w:rPr>
          <w:rFonts w:ascii="Times New Roman" w:hAnsi="Times New Roman" w:cs="Times New Roman"/>
          <w:sz w:val="20"/>
          <w:szCs w:val="20"/>
        </w:rPr>
        <w:t xml:space="preserve"> </w:t>
      </w:r>
      <w:proofErr w:type="gramStart"/>
      <w:r w:rsidR="00801AB9" w:rsidRPr="00BC510A">
        <w:rPr>
          <w:rFonts w:ascii="Times New Roman" w:hAnsi="Times New Roman" w:cs="Times New Roman"/>
          <w:sz w:val="20"/>
          <w:szCs w:val="20"/>
        </w:rPr>
        <w:t>A</w:t>
      </w:r>
      <w:r w:rsidR="00732824">
        <w:rPr>
          <w:rFonts w:ascii="Times New Roman" w:hAnsi="Times New Roman" w:cs="Times New Roman"/>
          <w:sz w:val="20"/>
          <w:szCs w:val="20"/>
        </w:rPr>
        <w:t xml:space="preserve">n SD </w:t>
      </w:r>
      <w:r w:rsidR="00801AB9" w:rsidRPr="00BC510A">
        <w:rPr>
          <w:rFonts w:ascii="Times New Roman" w:hAnsi="Times New Roman" w:cs="Times New Roman"/>
          <w:sz w:val="20"/>
          <w:szCs w:val="20"/>
        </w:rPr>
        <w:t>representation of a very simple feedback mechanism or controller.</w:t>
      </w:r>
      <w:proofErr w:type="gramEnd"/>
      <w:r w:rsidR="00263953" w:rsidRPr="00263953">
        <w:t xml:space="preserve"> </w:t>
      </w:r>
      <w:r w:rsidR="00263953">
        <w:rPr>
          <w:rFonts w:ascii="Times New Roman" w:hAnsi="Times New Roman" w:cs="Times New Roman"/>
          <w:sz w:val="20"/>
          <w:szCs w:val="20"/>
        </w:rPr>
        <w:t>The c</w:t>
      </w:r>
      <w:r w:rsidR="00263953" w:rsidRPr="00263953">
        <w:rPr>
          <w:rFonts w:ascii="Times New Roman" w:hAnsi="Times New Roman" w:cs="Times New Roman"/>
          <w:sz w:val="20"/>
          <w:szCs w:val="20"/>
        </w:rPr>
        <w:t>loud symbol indicates the system boundary</w:t>
      </w:r>
      <w:r w:rsidR="00263953">
        <w:rPr>
          <w:rFonts w:ascii="Times New Roman" w:hAnsi="Times New Roman" w:cs="Times New Roman"/>
          <w:sz w:val="20"/>
          <w:szCs w:val="20"/>
        </w:rPr>
        <w:t>.</w:t>
      </w:r>
    </w:p>
    <w:p w:rsidR="002D354D" w:rsidRPr="002D354D" w:rsidRDefault="00D06A98" w:rsidP="002D354D">
      <w:pPr>
        <w:rPr>
          <w:rFonts w:ascii="Times New Roman" w:hAnsi="Times New Roman" w:cs="Times New Roman"/>
          <w:sz w:val="22"/>
          <w:szCs w:val="22"/>
        </w:rPr>
      </w:pPr>
      <w:r w:rsidRPr="00D06A98">
        <w:rPr>
          <w:rFonts w:ascii="Times New Roman" w:hAnsi="Times New Roman" w:cs="Times New Roman"/>
          <w:sz w:val="22"/>
          <w:szCs w:val="22"/>
        </w:rPr>
        <w:lastRenderedPageBreak/>
        <w:t xml:space="preserve">Mathematically, the structure of a formal model corresponding to a system dynamics diagram comprises a system of coupled, nonlinear, </w:t>
      </w:r>
      <w:r w:rsidR="009465E6" w:rsidRPr="00D06A98">
        <w:rPr>
          <w:rFonts w:ascii="Times New Roman" w:hAnsi="Times New Roman" w:cs="Times New Roman"/>
          <w:sz w:val="22"/>
          <w:szCs w:val="22"/>
        </w:rPr>
        <w:t>first</w:t>
      </w:r>
      <w:r w:rsidR="009465E6">
        <w:rPr>
          <w:rFonts w:ascii="Times New Roman" w:hAnsi="Times New Roman" w:cs="Times New Roman"/>
          <w:sz w:val="22"/>
          <w:szCs w:val="22"/>
        </w:rPr>
        <w:t>-</w:t>
      </w:r>
      <w:r w:rsidRPr="00D06A98">
        <w:rPr>
          <w:rFonts w:ascii="Times New Roman" w:hAnsi="Times New Roman" w:cs="Times New Roman"/>
          <w:sz w:val="22"/>
          <w:szCs w:val="22"/>
        </w:rPr>
        <w:t xml:space="preserve">order differential equations.  These are </w:t>
      </w:r>
      <w:r w:rsidR="00801AB9">
        <w:rPr>
          <w:rFonts w:ascii="Times New Roman" w:hAnsi="Times New Roman" w:cs="Times New Roman"/>
          <w:sz w:val="22"/>
          <w:szCs w:val="22"/>
        </w:rPr>
        <w:t>typically implemented i</w:t>
      </w:r>
      <w:r w:rsidRPr="00D06A98">
        <w:rPr>
          <w:rFonts w:ascii="Times New Roman" w:hAnsi="Times New Roman" w:cs="Times New Roman"/>
          <w:sz w:val="22"/>
          <w:szCs w:val="22"/>
        </w:rPr>
        <w:t xml:space="preserve">n system dynamics software tools as </w:t>
      </w:r>
      <w:r w:rsidR="00F35EFD" w:rsidRPr="00D06A98">
        <w:rPr>
          <w:rFonts w:ascii="Times New Roman" w:hAnsi="Times New Roman" w:cs="Times New Roman"/>
          <w:sz w:val="22"/>
          <w:szCs w:val="22"/>
        </w:rPr>
        <w:t>first</w:t>
      </w:r>
      <w:r w:rsidR="00F35EFD">
        <w:rPr>
          <w:rFonts w:ascii="Times New Roman" w:hAnsi="Times New Roman" w:cs="Times New Roman"/>
          <w:sz w:val="22"/>
          <w:szCs w:val="22"/>
        </w:rPr>
        <w:t>-</w:t>
      </w:r>
      <w:r w:rsidRPr="00D06A98">
        <w:rPr>
          <w:rFonts w:ascii="Times New Roman" w:hAnsi="Times New Roman" w:cs="Times New Roman"/>
          <w:sz w:val="22"/>
          <w:szCs w:val="22"/>
        </w:rPr>
        <w:t>order difference equations</w:t>
      </w:r>
      <w:r w:rsidR="00801AB9">
        <w:rPr>
          <w:rFonts w:ascii="Times New Roman" w:hAnsi="Times New Roman" w:cs="Times New Roman"/>
          <w:sz w:val="22"/>
          <w:szCs w:val="22"/>
        </w:rPr>
        <w:t>, and s</w:t>
      </w:r>
      <w:r w:rsidRPr="00D06A98">
        <w:rPr>
          <w:rFonts w:ascii="Times New Roman" w:hAnsi="Times New Roman" w:cs="Times New Roman"/>
          <w:sz w:val="22"/>
          <w:szCs w:val="22"/>
        </w:rPr>
        <w:t>imulation is accomplished through use of standard numerical methods.</w:t>
      </w:r>
    </w:p>
    <w:p w:rsidR="002D354D" w:rsidRPr="002D354D" w:rsidRDefault="00801AB9" w:rsidP="002D354D">
      <w:pPr>
        <w:rPr>
          <w:rFonts w:ascii="Times New Roman" w:hAnsi="Times New Roman" w:cs="Times New Roman"/>
          <w:sz w:val="22"/>
          <w:szCs w:val="22"/>
        </w:rPr>
      </w:pPr>
      <w:r>
        <w:rPr>
          <w:rFonts w:ascii="Times New Roman" w:hAnsi="Times New Roman" w:cs="Times New Roman"/>
          <w:sz w:val="22"/>
          <w:szCs w:val="22"/>
        </w:rPr>
        <w:t>For many real-world feedback-</w:t>
      </w:r>
      <w:r w:rsidR="00D06A98" w:rsidRPr="00D06A98">
        <w:rPr>
          <w:rFonts w:ascii="Times New Roman" w:hAnsi="Times New Roman" w:cs="Times New Roman"/>
          <w:sz w:val="22"/>
          <w:szCs w:val="22"/>
        </w:rPr>
        <w:t xml:space="preserve">rich systems, change unfolds over time in response to </w:t>
      </w:r>
      <w:r w:rsidR="00F35EFD">
        <w:rPr>
          <w:rFonts w:ascii="Times New Roman" w:hAnsi="Times New Roman" w:cs="Times New Roman"/>
          <w:sz w:val="22"/>
          <w:szCs w:val="22"/>
        </w:rPr>
        <w:t>human decisions</w:t>
      </w:r>
      <w:r w:rsidR="00D06A98" w:rsidRPr="00D06A98">
        <w:rPr>
          <w:rFonts w:ascii="Times New Roman" w:hAnsi="Times New Roman" w:cs="Times New Roman"/>
          <w:sz w:val="22"/>
          <w:szCs w:val="22"/>
        </w:rPr>
        <w:t xml:space="preserve"> and institutional actors within the system. An important </w:t>
      </w:r>
      <w:r>
        <w:rPr>
          <w:rFonts w:ascii="Times New Roman" w:hAnsi="Times New Roman" w:cs="Times New Roman"/>
          <w:sz w:val="22"/>
          <w:szCs w:val="22"/>
        </w:rPr>
        <w:t xml:space="preserve">common </w:t>
      </w:r>
      <w:r w:rsidR="00D06A98" w:rsidRPr="00D06A98">
        <w:rPr>
          <w:rFonts w:ascii="Times New Roman" w:hAnsi="Times New Roman" w:cs="Times New Roman"/>
          <w:sz w:val="22"/>
          <w:szCs w:val="22"/>
        </w:rPr>
        <w:t xml:space="preserve">characteristic </w:t>
      </w:r>
      <w:r>
        <w:rPr>
          <w:rFonts w:ascii="Times New Roman" w:hAnsi="Times New Roman" w:cs="Times New Roman"/>
          <w:sz w:val="22"/>
          <w:szCs w:val="22"/>
        </w:rPr>
        <w:t xml:space="preserve">of system dynamics models </w:t>
      </w:r>
      <w:r w:rsidR="00D06A98" w:rsidRPr="00D06A98">
        <w:rPr>
          <w:rFonts w:ascii="Times New Roman" w:hAnsi="Times New Roman" w:cs="Times New Roman"/>
          <w:sz w:val="22"/>
          <w:szCs w:val="22"/>
        </w:rPr>
        <w:t xml:space="preserve">is their focus on transparent representation of decision rules that drive actions. In many instances (such as the Biomass Scenario Model </w:t>
      </w:r>
      <w:r w:rsidR="004D78C7">
        <w:rPr>
          <w:rFonts w:ascii="Times New Roman" w:hAnsi="Times New Roman" w:cs="Times New Roman"/>
          <w:sz w:val="22"/>
          <w:szCs w:val="22"/>
        </w:rPr>
        <w:t xml:space="preserve">described elsewhere in this special </w:t>
      </w:r>
      <w:r w:rsidR="00D06A98" w:rsidRPr="00D06A98">
        <w:rPr>
          <w:rFonts w:ascii="Times New Roman" w:hAnsi="Times New Roman" w:cs="Times New Roman"/>
          <w:sz w:val="22"/>
          <w:szCs w:val="22"/>
        </w:rPr>
        <w:t>issue)</w:t>
      </w:r>
      <w:r w:rsidR="00F35EFD">
        <w:rPr>
          <w:rFonts w:ascii="Times New Roman" w:hAnsi="Times New Roman" w:cs="Times New Roman"/>
          <w:sz w:val="22"/>
          <w:szCs w:val="22"/>
        </w:rPr>
        <w:t>,</w:t>
      </w:r>
      <w:r w:rsidR="00D06A98" w:rsidRPr="00D06A98">
        <w:rPr>
          <w:rFonts w:ascii="Times New Roman" w:hAnsi="Times New Roman" w:cs="Times New Roman"/>
          <w:sz w:val="22"/>
          <w:szCs w:val="22"/>
        </w:rPr>
        <w:t xml:space="preserve"> decisions are depicted as economic in nature, responding to and </w:t>
      </w:r>
      <w:r>
        <w:rPr>
          <w:rFonts w:ascii="Times New Roman" w:hAnsi="Times New Roman" w:cs="Times New Roman"/>
          <w:sz w:val="22"/>
          <w:szCs w:val="22"/>
        </w:rPr>
        <w:t xml:space="preserve">subsequently </w:t>
      </w:r>
      <w:r w:rsidR="00D06A98" w:rsidRPr="00D06A98">
        <w:rPr>
          <w:rFonts w:ascii="Times New Roman" w:hAnsi="Times New Roman" w:cs="Times New Roman"/>
          <w:sz w:val="22"/>
          <w:szCs w:val="22"/>
        </w:rPr>
        <w:t xml:space="preserve">influencing endogenously-generated market dynamics.  In other instances, such as the </w:t>
      </w:r>
      <w:r w:rsidR="00F35EFD">
        <w:rPr>
          <w:rFonts w:ascii="Times New Roman" w:hAnsi="Times New Roman" w:cs="Times New Roman"/>
          <w:sz w:val="22"/>
          <w:szCs w:val="22"/>
        </w:rPr>
        <w:t>LUC</w:t>
      </w:r>
      <w:r w:rsidR="00D06A98" w:rsidRPr="00D06A98">
        <w:rPr>
          <w:rFonts w:ascii="Times New Roman" w:hAnsi="Times New Roman" w:cs="Times New Roman"/>
          <w:sz w:val="22"/>
          <w:szCs w:val="22"/>
        </w:rPr>
        <w:t xml:space="preserve"> described here, decisions are represented at a highly aggregated level without representing pricing dynamics explicitly.</w:t>
      </w:r>
    </w:p>
    <w:p w:rsidR="002D354D" w:rsidRDefault="00D06A98" w:rsidP="002D354D">
      <w:pPr>
        <w:rPr>
          <w:rFonts w:ascii="Times New Roman" w:hAnsi="Times New Roman" w:cs="Times New Roman"/>
          <w:sz w:val="22"/>
          <w:szCs w:val="22"/>
        </w:rPr>
      </w:pPr>
      <w:r w:rsidRPr="00D06A98">
        <w:rPr>
          <w:rFonts w:ascii="Times New Roman" w:hAnsi="Times New Roman" w:cs="Times New Roman"/>
          <w:sz w:val="22"/>
          <w:szCs w:val="22"/>
        </w:rPr>
        <w:t>One productive use of system dynamics is to create “virtual worlds” in which policies and scenarios are tested in a simulation mode</w:t>
      </w:r>
      <w:r w:rsidR="00801AB9">
        <w:rPr>
          <w:rFonts w:ascii="Times New Roman" w:hAnsi="Times New Roman" w:cs="Times New Roman"/>
          <w:sz w:val="22"/>
          <w:szCs w:val="22"/>
        </w:rPr>
        <w:t>l of the real system</w:t>
      </w:r>
      <w:r w:rsidRPr="00D06A98">
        <w:rPr>
          <w:rFonts w:ascii="Times New Roman" w:hAnsi="Times New Roman" w:cs="Times New Roman"/>
          <w:sz w:val="22"/>
          <w:szCs w:val="22"/>
        </w:rPr>
        <w:t>. The potential of virtual worlds to underwrite learning and insight is great in settings characterized by a high degree of dynamic complexity</w:t>
      </w:r>
      <w:r w:rsidR="000C7A6D">
        <w:rPr>
          <w:rFonts w:ascii="Times New Roman" w:hAnsi="Times New Roman" w:cs="Times New Roman"/>
          <w:sz w:val="22"/>
          <w:szCs w:val="22"/>
        </w:rPr>
        <w:t xml:space="preserve"> (</w:t>
      </w:r>
      <w:proofErr w:type="spellStart"/>
      <w:r w:rsidR="000C7A6D">
        <w:rPr>
          <w:rFonts w:ascii="Times New Roman" w:hAnsi="Times New Roman" w:cs="Times New Roman"/>
          <w:sz w:val="22"/>
          <w:szCs w:val="22"/>
        </w:rPr>
        <w:t>Sterman</w:t>
      </w:r>
      <w:proofErr w:type="spellEnd"/>
      <w:r w:rsidR="000C7A6D">
        <w:rPr>
          <w:rFonts w:ascii="Times New Roman" w:hAnsi="Times New Roman" w:cs="Times New Roman"/>
          <w:sz w:val="22"/>
          <w:szCs w:val="22"/>
        </w:rPr>
        <w:t xml:space="preserve"> 2006)</w:t>
      </w:r>
      <w:r w:rsidRPr="00D06A98">
        <w:rPr>
          <w:rFonts w:ascii="Times New Roman" w:hAnsi="Times New Roman" w:cs="Times New Roman"/>
          <w:sz w:val="22"/>
          <w:szCs w:val="22"/>
        </w:rPr>
        <w:t>.  The learning process is an iterative one, in which discrepancies among individual mental models, formal simulation models, and data can identify weaknesses and areas for improvement in each arena</w:t>
      </w:r>
      <w:r w:rsidR="000C7A6D">
        <w:rPr>
          <w:rFonts w:ascii="Times New Roman" w:hAnsi="Times New Roman" w:cs="Times New Roman"/>
          <w:sz w:val="22"/>
          <w:szCs w:val="22"/>
        </w:rPr>
        <w:t xml:space="preserve"> (Homer</w:t>
      </w:r>
      <w:r w:rsidR="00F35EFD">
        <w:rPr>
          <w:rFonts w:ascii="Times New Roman" w:hAnsi="Times New Roman" w:cs="Times New Roman"/>
          <w:sz w:val="22"/>
          <w:szCs w:val="22"/>
        </w:rPr>
        <w:t xml:space="preserve"> </w:t>
      </w:r>
      <w:r w:rsidR="000C7A6D">
        <w:rPr>
          <w:rFonts w:ascii="Times New Roman" w:hAnsi="Times New Roman" w:cs="Times New Roman"/>
          <w:sz w:val="22"/>
          <w:szCs w:val="22"/>
        </w:rPr>
        <w:t>1996)</w:t>
      </w:r>
      <w:r w:rsidRPr="00D06A98">
        <w:rPr>
          <w:rFonts w:ascii="Times New Roman" w:hAnsi="Times New Roman" w:cs="Times New Roman"/>
          <w:sz w:val="22"/>
          <w:szCs w:val="22"/>
        </w:rPr>
        <w:t>.</w:t>
      </w:r>
    </w:p>
    <w:p w:rsidR="004D78C7" w:rsidRPr="002D354D" w:rsidRDefault="004D78C7" w:rsidP="002D354D">
      <w:pPr>
        <w:rPr>
          <w:rFonts w:ascii="Times New Roman" w:hAnsi="Times New Roman" w:cs="Times New Roman"/>
          <w:sz w:val="22"/>
          <w:szCs w:val="22"/>
        </w:rPr>
      </w:pPr>
      <w:r w:rsidRPr="00D06A98">
        <w:rPr>
          <w:rFonts w:ascii="Times New Roman" w:hAnsi="Times New Roman" w:cs="Times New Roman"/>
          <w:sz w:val="22"/>
          <w:szCs w:val="22"/>
        </w:rPr>
        <w:t xml:space="preserve">System dynamics has long been used to approach global social-economic-system (SES) issues.  For example, </w:t>
      </w:r>
      <w:r w:rsidRPr="00D06A98">
        <w:rPr>
          <w:rFonts w:ascii="Times New Roman" w:hAnsi="Times New Roman" w:cs="Times New Roman"/>
          <w:i/>
          <w:sz w:val="22"/>
          <w:szCs w:val="22"/>
        </w:rPr>
        <w:t>World Dynamics</w:t>
      </w:r>
      <w:r>
        <w:rPr>
          <w:rFonts w:ascii="Times New Roman" w:hAnsi="Times New Roman" w:cs="Times New Roman"/>
          <w:i/>
          <w:sz w:val="22"/>
          <w:szCs w:val="22"/>
        </w:rPr>
        <w:t xml:space="preserve"> </w:t>
      </w:r>
      <w:r>
        <w:rPr>
          <w:rFonts w:ascii="Times New Roman" w:hAnsi="Times New Roman" w:cs="Times New Roman"/>
          <w:sz w:val="22"/>
          <w:szCs w:val="22"/>
        </w:rPr>
        <w:t>(Forrester 1971)</w:t>
      </w:r>
      <w:r w:rsidRPr="00D06A98">
        <w:rPr>
          <w:rFonts w:ascii="Times New Roman" w:hAnsi="Times New Roman" w:cs="Times New Roman"/>
          <w:sz w:val="22"/>
          <w:szCs w:val="22"/>
        </w:rPr>
        <w:t xml:space="preserve"> and </w:t>
      </w:r>
      <w:r w:rsidRPr="00D06A98">
        <w:rPr>
          <w:rFonts w:ascii="Times New Roman" w:hAnsi="Times New Roman" w:cs="Times New Roman"/>
          <w:i/>
          <w:sz w:val="22"/>
          <w:szCs w:val="22"/>
        </w:rPr>
        <w:t>Limits to Growth</w:t>
      </w:r>
      <w:r>
        <w:rPr>
          <w:rFonts w:ascii="Times New Roman" w:hAnsi="Times New Roman" w:cs="Times New Roman"/>
          <w:i/>
          <w:sz w:val="22"/>
          <w:szCs w:val="22"/>
        </w:rPr>
        <w:t xml:space="preserve"> </w:t>
      </w:r>
      <w:r>
        <w:rPr>
          <w:rFonts w:ascii="Times New Roman" w:hAnsi="Times New Roman" w:cs="Times New Roman"/>
          <w:sz w:val="22"/>
          <w:szCs w:val="22"/>
        </w:rPr>
        <w:t>(Meadows 1972 and Meadows 2004 update)</w:t>
      </w:r>
      <w:r w:rsidRPr="00D06A98">
        <w:rPr>
          <w:rFonts w:ascii="Times New Roman" w:hAnsi="Times New Roman" w:cs="Times New Roman"/>
          <w:sz w:val="22"/>
          <w:szCs w:val="22"/>
        </w:rPr>
        <w:t xml:space="preserve"> represent early (and </w:t>
      </w:r>
      <w:r w:rsidR="00263953">
        <w:rPr>
          <w:rFonts w:ascii="Times New Roman" w:hAnsi="Times New Roman" w:cs="Times New Roman"/>
          <w:sz w:val="22"/>
          <w:szCs w:val="22"/>
        </w:rPr>
        <w:t>highly debated</w:t>
      </w:r>
      <w:r w:rsidRPr="00D06A98">
        <w:rPr>
          <w:rFonts w:ascii="Times New Roman" w:hAnsi="Times New Roman" w:cs="Times New Roman"/>
          <w:sz w:val="22"/>
          <w:szCs w:val="22"/>
        </w:rPr>
        <w:t>) efforts to generate scenarios around the dynamic interplay of population, food, in</w:t>
      </w:r>
      <w:r>
        <w:rPr>
          <w:rFonts w:ascii="Times New Roman" w:hAnsi="Times New Roman" w:cs="Times New Roman"/>
          <w:sz w:val="22"/>
          <w:szCs w:val="22"/>
        </w:rPr>
        <w:t xml:space="preserve">dustry, and natural resources. </w:t>
      </w:r>
      <w:r w:rsidRPr="00D06A98">
        <w:rPr>
          <w:rFonts w:ascii="Times New Roman" w:hAnsi="Times New Roman" w:cs="Times New Roman"/>
          <w:sz w:val="22"/>
          <w:szCs w:val="22"/>
        </w:rPr>
        <w:t xml:space="preserve">More recently, system dynamics has been used to support inquiry into global climate change dynamics. For example, Climate Interactive is an </w:t>
      </w:r>
      <w:r w:rsidR="00263953">
        <w:rPr>
          <w:rFonts w:ascii="Times New Roman" w:hAnsi="Times New Roman" w:cs="Times New Roman"/>
          <w:sz w:val="22"/>
          <w:szCs w:val="22"/>
        </w:rPr>
        <w:t xml:space="preserve">non-government </w:t>
      </w:r>
      <w:proofErr w:type="spellStart"/>
      <w:r w:rsidR="00263953">
        <w:rPr>
          <w:rFonts w:ascii="Times New Roman" w:hAnsi="Times New Roman" w:cs="Times New Roman"/>
          <w:sz w:val="22"/>
          <w:szCs w:val="22"/>
        </w:rPr>
        <w:t>organization</w:t>
      </w:r>
      <w:r w:rsidRPr="00D06A98">
        <w:rPr>
          <w:rFonts w:ascii="Times New Roman" w:hAnsi="Times New Roman" w:cs="Times New Roman"/>
          <w:sz w:val="22"/>
          <w:szCs w:val="22"/>
        </w:rPr>
        <w:t>GO</w:t>
      </w:r>
      <w:proofErr w:type="spellEnd"/>
      <w:r w:rsidRPr="00D06A98">
        <w:rPr>
          <w:rFonts w:ascii="Times New Roman" w:hAnsi="Times New Roman" w:cs="Times New Roman"/>
          <w:sz w:val="22"/>
          <w:szCs w:val="22"/>
        </w:rPr>
        <w:t xml:space="preserve"> working to build a community that “creates, shares, and uses credible models, accessible simulations, and related media in order to improve the way leaders and citizens around the world think about the climate”</w:t>
      </w:r>
      <w:r w:rsidR="0045078F">
        <w:rPr>
          <w:rFonts w:ascii="Times New Roman" w:hAnsi="Times New Roman" w:cs="Times New Roman"/>
          <w:sz w:val="22"/>
          <w:szCs w:val="22"/>
        </w:rPr>
        <w:t xml:space="preserve"> (</w:t>
      </w:r>
      <w:hyperlink r:id="rId10" w:history="1">
        <w:r w:rsidR="00263953" w:rsidRPr="00D06A98">
          <w:rPr>
            <w:rStyle w:val="Hyperlink"/>
            <w:rFonts w:ascii="Times New Roman" w:hAnsi="Times New Roman" w:cs="Times New Roman"/>
            <w:sz w:val="22"/>
            <w:szCs w:val="22"/>
          </w:rPr>
          <w:t>http://climateinteractive.org/simulations</w:t>
        </w:r>
      </w:hyperlink>
      <w:r w:rsidR="00263953">
        <w:rPr>
          <w:rFonts w:ascii="Times New Roman" w:hAnsi="Times New Roman" w:cs="Times New Roman"/>
          <w:sz w:val="22"/>
          <w:szCs w:val="22"/>
        </w:rPr>
        <w:t>)</w:t>
      </w:r>
      <w:r w:rsidRPr="00D06A98">
        <w:rPr>
          <w:rFonts w:ascii="Times New Roman" w:hAnsi="Times New Roman" w:cs="Times New Roman"/>
          <w:sz w:val="22"/>
          <w:szCs w:val="22"/>
        </w:rPr>
        <w:t xml:space="preserve">. Their simulations are based on </w:t>
      </w:r>
      <w:r w:rsidR="0045078F">
        <w:rPr>
          <w:rFonts w:ascii="Times New Roman" w:hAnsi="Times New Roman" w:cs="Times New Roman"/>
          <w:sz w:val="22"/>
          <w:szCs w:val="22"/>
        </w:rPr>
        <w:t>SD</w:t>
      </w:r>
      <w:r w:rsidRPr="00D06A98">
        <w:rPr>
          <w:rFonts w:ascii="Times New Roman" w:hAnsi="Times New Roman" w:cs="Times New Roman"/>
          <w:sz w:val="22"/>
          <w:szCs w:val="22"/>
        </w:rPr>
        <w:t xml:space="preserve"> models of energy-climate interactions.  </w:t>
      </w:r>
    </w:p>
    <w:p w:rsidR="004D78C7" w:rsidRDefault="00D06A98">
      <w:pPr>
        <w:pStyle w:val="ListParagraph"/>
        <w:numPr>
          <w:ilvl w:val="0"/>
          <w:numId w:val="5"/>
        </w:numPr>
        <w:spacing w:after="0"/>
        <w:rPr>
          <w:rFonts w:ascii="Times New Roman" w:hAnsi="Times New Roman" w:cs="Times New Roman"/>
          <w:b/>
          <w:sz w:val="22"/>
          <w:szCs w:val="22"/>
        </w:rPr>
      </w:pPr>
      <w:proofErr w:type="spellStart"/>
      <w:r w:rsidRPr="00D06A98">
        <w:rPr>
          <w:rFonts w:ascii="Times New Roman" w:hAnsi="Times New Roman" w:cs="Times New Roman"/>
          <w:b/>
          <w:sz w:val="22"/>
          <w:szCs w:val="22"/>
        </w:rPr>
        <w:t>BioLUC</w:t>
      </w:r>
      <w:proofErr w:type="spellEnd"/>
      <w:r w:rsidRPr="00D06A98">
        <w:rPr>
          <w:rFonts w:ascii="Times New Roman" w:hAnsi="Times New Roman" w:cs="Times New Roman"/>
          <w:b/>
          <w:sz w:val="22"/>
          <w:szCs w:val="22"/>
        </w:rPr>
        <w:t xml:space="preserve"> Modeling Data and Assumptions </w:t>
      </w:r>
    </w:p>
    <w:p w:rsidR="004D78C7" w:rsidRDefault="004D78C7">
      <w:pPr>
        <w:pStyle w:val="ListParagraph"/>
        <w:spacing w:after="0"/>
        <w:ind w:left="360"/>
        <w:rPr>
          <w:rFonts w:ascii="Times New Roman" w:hAnsi="Times New Roman" w:cs="Times New Roman"/>
          <w:b/>
          <w:sz w:val="22"/>
          <w:szCs w:val="22"/>
        </w:rPr>
      </w:pPr>
    </w:p>
    <w:p w:rsidR="00175C21" w:rsidRPr="002D354D" w:rsidRDefault="00D06A98" w:rsidP="00175C21">
      <w:pPr>
        <w:spacing w:after="0"/>
        <w:rPr>
          <w:rFonts w:ascii="Times New Roman" w:hAnsi="Times New Roman" w:cs="Times New Roman"/>
          <w:bCs/>
          <w:sz w:val="22"/>
          <w:szCs w:val="22"/>
        </w:rPr>
      </w:pPr>
      <w:r w:rsidRPr="00D06A98">
        <w:rPr>
          <w:rFonts w:ascii="Times New Roman" w:hAnsi="Times New Roman" w:cs="Times New Roman"/>
          <w:bCs/>
          <w:sz w:val="22"/>
          <w:szCs w:val="22"/>
        </w:rPr>
        <w:t xml:space="preserve">The model’s land use categories are based on aggregated and calculated FAO land use estimates. The specific FAO categories we utilize are </w:t>
      </w:r>
      <w:r w:rsidRPr="00D06A98">
        <w:rPr>
          <w:rFonts w:ascii="Times New Roman" w:hAnsi="Times New Roman" w:cs="Times New Roman"/>
          <w:bCs/>
          <w:i/>
          <w:sz w:val="22"/>
          <w:szCs w:val="22"/>
        </w:rPr>
        <w:t>Arable Land</w:t>
      </w:r>
      <w:r w:rsidRPr="00D06A98">
        <w:rPr>
          <w:rFonts w:ascii="Times New Roman" w:hAnsi="Times New Roman" w:cs="Times New Roman"/>
          <w:bCs/>
          <w:sz w:val="22"/>
          <w:szCs w:val="22"/>
        </w:rPr>
        <w:t>,</w:t>
      </w:r>
      <w:r w:rsidRPr="00D06A98">
        <w:rPr>
          <w:rFonts w:ascii="Times New Roman" w:hAnsi="Times New Roman" w:cs="Times New Roman"/>
          <w:bCs/>
          <w:i/>
          <w:sz w:val="22"/>
          <w:szCs w:val="22"/>
        </w:rPr>
        <w:t xml:space="preserve"> Permanent Crops</w:t>
      </w:r>
      <w:r w:rsidRPr="00D06A98">
        <w:rPr>
          <w:rFonts w:ascii="Times New Roman" w:hAnsi="Times New Roman" w:cs="Times New Roman"/>
          <w:bCs/>
          <w:sz w:val="22"/>
          <w:szCs w:val="22"/>
        </w:rPr>
        <w:t>,</w:t>
      </w:r>
      <w:r w:rsidRPr="00D06A98">
        <w:rPr>
          <w:rFonts w:ascii="Times New Roman" w:hAnsi="Times New Roman" w:cs="Times New Roman"/>
          <w:bCs/>
          <w:i/>
          <w:sz w:val="22"/>
          <w:szCs w:val="22"/>
        </w:rPr>
        <w:t xml:space="preserve"> Permanent Meadows and Pastures</w:t>
      </w:r>
      <w:r w:rsidRPr="00D06A98">
        <w:rPr>
          <w:rFonts w:ascii="Times New Roman" w:hAnsi="Times New Roman" w:cs="Times New Roman"/>
          <w:bCs/>
          <w:sz w:val="22"/>
          <w:szCs w:val="22"/>
        </w:rPr>
        <w:t xml:space="preserve">, </w:t>
      </w:r>
      <w:r w:rsidRPr="0070375B">
        <w:rPr>
          <w:rFonts w:ascii="Times New Roman" w:hAnsi="Times New Roman" w:cs="Times New Roman"/>
          <w:bCs/>
          <w:sz w:val="22"/>
          <w:szCs w:val="22"/>
        </w:rPr>
        <w:t xml:space="preserve">and </w:t>
      </w:r>
      <w:r w:rsidRPr="00D06A98">
        <w:rPr>
          <w:rFonts w:ascii="Times New Roman" w:hAnsi="Times New Roman" w:cs="Times New Roman"/>
          <w:bCs/>
          <w:i/>
          <w:sz w:val="22"/>
          <w:szCs w:val="22"/>
        </w:rPr>
        <w:t>Forest Area</w:t>
      </w:r>
      <w:r w:rsidRPr="00D06A98">
        <w:rPr>
          <w:rFonts w:ascii="Times New Roman" w:hAnsi="Times New Roman" w:cs="Times New Roman"/>
          <w:bCs/>
          <w:sz w:val="22"/>
          <w:szCs w:val="22"/>
        </w:rPr>
        <w:t xml:space="preserve">. Crop categories derived from the FAO categories are </w:t>
      </w:r>
      <w:r w:rsidRPr="00D06A98">
        <w:rPr>
          <w:rFonts w:ascii="Times New Roman" w:hAnsi="Times New Roman" w:cs="Times New Roman"/>
          <w:bCs/>
          <w:i/>
          <w:sz w:val="22"/>
          <w:szCs w:val="22"/>
        </w:rPr>
        <w:t>Cropland</w:t>
      </w:r>
      <w:r w:rsidRPr="00D06A98">
        <w:rPr>
          <w:rFonts w:ascii="Times New Roman" w:hAnsi="Times New Roman" w:cs="Times New Roman"/>
          <w:bCs/>
          <w:sz w:val="22"/>
          <w:szCs w:val="22"/>
        </w:rPr>
        <w:t>,</w:t>
      </w:r>
      <w:r w:rsidRPr="00D06A98">
        <w:rPr>
          <w:rFonts w:ascii="Times New Roman" w:hAnsi="Times New Roman" w:cs="Times New Roman"/>
          <w:bCs/>
          <w:i/>
          <w:sz w:val="22"/>
          <w:szCs w:val="22"/>
        </w:rPr>
        <w:t xml:space="preserve"> Pasture Land</w:t>
      </w:r>
      <w:r w:rsidRPr="00D06A98">
        <w:rPr>
          <w:rFonts w:ascii="Times New Roman" w:hAnsi="Times New Roman" w:cs="Times New Roman"/>
          <w:bCs/>
          <w:sz w:val="22"/>
          <w:szCs w:val="22"/>
        </w:rPr>
        <w:t>,</w:t>
      </w:r>
      <w:r w:rsidRPr="00D06A98">
        <w:rPr>
          <w:rFonts w:ascii="Times New Roman" w:hAnsi="Times New Roman" w:cs="Times New Roman"/>
          <w:bCs/>
          <w:i/>
          <w:sz w:val="22"/>
          <w:szCs w:val="22"/>
        </w:rPr>
        <w:t xml:space="preserve"> </w:t>
      </w:r>
      <w:r w:rsidR="00D22F20" w:rsidRPr="00D22F20">
        <w:rPr>
          <w:rFonts w:ascii="Times New Roman" w:hAnsi="Times New Roman" w:cs="Times New Roman"/>
          <w:bCs/>
          <w:sz w:val="22"/>
          <w:szCs w:val="22"/>
        </w:rPr>
        <w:t>and</w:t>
      </w:r>
      <w:r w:rsidRPr="00D06A98">
        <w:rPr>
          <w:rFonts w:ascii="Times New Roman" w:hAnsi="Times New Roman" w:cs="Times New Roman"/>
          <w:bCs/>
          <w:i/>
          <w:sz w:val="22"/>
          <w:szCs w:val="22"/>
        </w:rPr>
        <w:t xml:space="preserve"> Available Land </w:t>
      </w:r>
      <w:r w:rsidRPr="00D06A98">
        <w:rPr>
          <w:rFonts w:ascii="Times New Roman" w:hAnsi="Times New Roman" w:cs="Times New Roman"/>
          <w:bCs/>
          <w:sz w:val="22"/>
          <w:szCs w:val="22"/>
        </w:rPr>
        <w:t>(table S1</w:t>
      </w:r>
      <w:r w:rsidR="00D22F20" w:rsidRPr="00D22F20">
        <w:rPr>
          <w:rFonts w:ascii="Times New Roman" w:hAnsi="Times New Roman" w:cs="Times New Roman"/>
          <w:bCs/>
          <w:sz w:val="22"/>
          <w:szCs w:val="22"/>
        </w:rPr>
        <w:t>)</w:t>
      </w:r>
      <w:r w:rsidR="0070375B">
        <w:rPr>
          <w:rFonts w:ascii="Times New Roman" w:hAnsi="Times New Roman" w:cs="Times New Roman"/>
          <w:bCs/>
          <w:sz w:val="22"/>
          <w:szCs w:val="22"/>
        </w:rPr>
        <w:t>,</w:t>
      </w:r>
      <w:r w:rsidRPr="00D06A98">
        <w:rPr>
          <w:rFonts w:ascii="Times New Roman" w:hAnsi="Times New Roman" w:cs="Times New Roman"/>
          <w:bCs/>
          <w:sz w:val="22"/>
          <w:szCs w:val="22"/>
        </w:rPr>
        <w:t xml:space="preserve"> and initial land stocks for 1991 for primary land categories are shown in </w:t>
      </w:r>
      <w:r w:rsidR="000C7A6D">
        <w:rPr>
          <w:rFonts w:ascii="Times New Roman" w:hAnsi="Times New Roman" w:cs="Times New Roman"/>
          <w:bCs/>
          <w:sz w:val="22"/>
          <w:szCs w:val="22"/>
        </w:rPr>
        <w:t>f</w:t>
      </w:r>
      <w:r w:rsidRPr="00D06A98">
        <w:rPr>
          <w:rFonts w:ascii="Times New Roman" w:hAnsi="Times New Roman" w:cs="Times New Roman"/>
          <w:bCs/>
          <w:sz w:val="22"/>
          <w:szCs w:val="22"/>
        </w:rPr>
        <w:t>igure S</w:t>
      </w:r>
      <w:r w:rsidR="000C7A6D">
        <w:rPr>
          <w:rFonts w:ascii="Times New Roman" w:hAnsi="Times New Roman" w:cs="Times New Roman"/>
          <w:bCs/>
          <w:sz w:val="22"/>
          <w:szCs w:val="22"/>
        </w:rPr>
        <w:t>2</w:t>
      </w:r>
      <w:r w:rsidRPr="00D06A98">
        <w:rPr>
          <w:rFonts w:ascii="Times New Roman" w:hAnsi="Times New Roman" w:cs="Times New Roman"/>
          <w:bCs/>
          <w:sz w:val="22"/>
          <w:szCs w:val="22"/>
        </w:rPr>
        <w:t xml:space="preserve">. </w:t>
      </w:r>
      <w:r w:rsidR="00AC2F14">
        <w:rPr>
          <w:rFonts w:ascii="Times New Roman" w:hAnsi="Times New Roman" w:cs="Times New Roman"/>
          <w:bCs/>
          <w:sz w:val="22"/>
          <w:szCs w:val="22"/>
        </w:rPr>
        <w:t>I</w:t>
      </w:r>
      <w:r w:rsidR="00AC2F14" w:rsidRPr="00D06A98">
        <w:rPr>
          <w:rFonts w:ascii="Times New Roman" w:hAnsi="Times New Roman" w:cs="Times New Roman"/>
          <w:bCs/>
          <w:sz w:val="22"/>
          <w:szCs w:val="22"/>
        </w:rPr>
        <w:t>t is necessary to disaggregate the FAO Arable Land category into Cropland and Pastureland categories</w:t>
      </w:r>
      <w:r w:rsidR="00AC2F14">
        <w:rPr>
          <w:rFonts w:ascii="Times New Roman" w:hAnsi="Times New Roman" w:cs="Times New Roman"/>
          <w:bCs/>
          <w:sz w:val="22"/>
          <w:szCs w:val="22"/>
        </w:rPr>
        <w:t>, because a</w:t>
      </w:r>
      <w:r w:rsidR="00AC2F14" w:rsidRPr="00D06A98">
        <w:rPr>
          <w:rFonts w:ascii="Times New Roman" w:hAnsi="Times New Roman" w:cs="Times New Roman"/>
          <w:bCs/>
          <w:sz w:val="22"/>
          <w:szCs w:val="22"/>
        </w:rPr>
        <w:t xml:space="preserve">s Arable Land is defined by FAO as being composed of land under “temporary agricultural crops” as well as “temporary meadows for mowing or pasture,” </w:t>
      </w:r>
      <w:r w:rsidR="000E5216" w:rsidRPr="00D06A98">
        <w:rPr>
          <w:rFonts w:ascii="Times New Roman" w:hAnsi="Times New Roman" w:cs="Times New Roman"/>
          <w:bCs/>
          <w:sz w:val="22"/>
          <w:szCs w:val="22"/>
        </w:rPr>
        <w:fldChar w:fldCharType="begin"/>
      </w:r>
      <w:r w:rsidR="00AC2F14" w:rsidRPr="00D06A98">
        <w:rPr>
          <w:rFonts w:ascii="Times New Roman" w:hAnsi="Times New Roman" w:cs="Times New Roman"/>
          <w:bCs/>
          <w:sz w:val="22"/>
          <w:szCs w:val="22"/>
        </w:rPr>
        <w:instrText xml:space="preserve"> ADDIN EN.CITE &lt;EndNote&gt;&lt;Cite&gt;&lt;Author&gt;FAO&lt;/Author&gt;&lt;Year&gt;2010&lt;/Year&gt;&lt;RecNum&gt;3&lt;/RecNum&gt;&lt;DisplayText&gt;[9]&lt;/DisplayText&gt;&lt;record&gt;&lt;rec-number&gt;3&lt;/rec-number&gt;&lt;foreign-keys&gt;&lt;key app="EN" db-id="fvwpr0ff1tesasevpxn5zvtltda0f0rswt55"&gt;3&lt;/key&gt;&lt;/foreign-keys&gt;&lt;ref-type name="Online Database"&gt;45&lt;/ref-type&gt;&lt;contributors&gt;&lt;authors&gt;&lt;author&gt;FAO&lt;/author&gt;&lt;/authors&gt;&lt;/contributors&gt;&lt;titles&gt;&lt;title&gt;FAOSTAT Agricultural Statistics&lt;/title&gt;&lt;/titles&gt;&lt;keywords&gt;&lt;keyword&gt;FAO&lt;/keyword&gt;&lt;keyword&gt;agriculture&lt;/keyword&gt;&lt;keyword&gt;food demand&lt;/keyword&gt;&lt;keyword&gt;meat&lt;/keyword&gt;&lt;/keywords&gt;&lt;dates&gt;&lt;year&gt;2010&lt;/year&gt;&lt;pub-dates&gt;&lt;date&gt;2010&lt;/date&gt;&lt;/pub-dates&gt;&lt;/dates&gt;&lt;work-type&gt;Global agricultural statistics database&lt;/work-type&gt;&lt;urls&gt;&lt;related-urls&gt;&lt;url&gt;http://faostat.fao.org/site/339/default.aspx&lt;/url&gt;&lt;/related-urls&gt;&lt;/urls&gt;&lt;remote-database-provider&gt;FAOSTAT&lt;/remote-database-provider&gt;&lt;/record&gt;&lt;/Cite&gt;&lt;/EndNote&gt;</w:instrText>
      </w:r>
      <w:r w:rsidR="000E5216" w:rsidRPr="00D06A98">
        <w:rPr>
          <w:rFonts w:ascii="Times New Roman" w:hAnsi="Times New Roman" w:cs="Times New Roman"/>
          <w:bCs/>
          <w:sz w:val="22"/>
          <w:szCs w:val="22"/>
        </w:rPr>
        <w:fldChar w:fldCharType="end"/>
      </w:r>
      <w:r w:rsidR="00AC2F14" w:rsidRPr="00D06A98">
        <w:rPr>
          <w:rFonts w:ascii="Times New Roman" w:hAnsi="Times New Roman" w:cs="Times New Roman"/>
          <w:bCs/>
          <w:sz w:val="22"/>
          <w:szCs w:val="22"/>
        </w:rPr>
        <w:t>(FAO 2010b).</w:t>
      </w:r>
      <w:r w:rsidR="006811E8">
        <w:rPr>
          <w:rFonts w:ascii="Times New Roman" w:hAnsi="Times New Roman" w:cs="Times New Roman"/>
          <w:bCs/>
          <w:sz w:val="22"/>
          <w:szCs w:val="22"/>
        </w:rPr>
        <w:t xml:space="preserve"> Land categories such as forest area include land whether or not it is protected.</w:t>
      </w:r>
    </w:p>
    <w:p w:rsidR="00175C21" w:rsidRPr="002D354D" w:rsidRDefault="00175C21" w:rsidP="00175C21">
      <w:pPr>
        <w:spacing w:after="0"/>
        <w:rPr>
          <w:rFonts w:ascii="Times New Roman" w:hAnsi="Times New Roman" w:cs="Times New Roman"/>
          <w:bCs/>
          <w:sz w:val="22"/>
          <w:szCs w:val="22"/>
        </w:rPr>
      </w:pPr>
    </w:p>
    <w:p w:rsidR="00175C21" w:rsidRPr="002D354D" w:rsidRDefault="00D06A98" w:rsidP="00175C21">
      <w:pPr>
        <w:spacing w:after="0"/>
        <w:rPr>
          <w:rFonts w:ascii="Times New Roman" w:hAnsi="Times New Roman" w:cs="Times New Roman"/>
          <w:bCs/>
          <w:sz w:val="22"/>
          <w:szCs w:val="22"/>
        </w:rPr>
      </w:pPr>
      <w:proofErr w:type="spellStart"/>
      <w:r w:rsidRPr="00D06A98">
        <w:rPr>
          <w:rFonts w:ascii="Times New Roman" w:hAnsi="Times New Roman" w:cs="Times New Roman"/>
          <w:bCs/>
          <w:sz w:val="22"/>
          <w:szCs w:val="22"/>
        </w:rPr>
        <w:t>BioLUC’s</w:t>
      </w:r>
      <w:proofErr w:type="spellEnd"/>
      <w:r w:rsidRPr="00D06A98">
        <w:rPr>
          <w:rFonts w:ascii="Times New Roman" w:hAnsi="Times New Roman" w:cs="Times New Roman"/>
          <w:bCs/>
          <w:sz w:val="22"/>
          <w:szCs w:val="22"/>
        </w:rPr>
        <w:t xml:space="preserve"> land use categories are based on aggregated and calculated FAO land use estimates:</w:t>
      </w:r>
    </w:p>
    <w:p w:rsidR="00175C21" w:rsidRPr="002D354D" w:rsidRDefault="00175C21" w:rsidP="00175C21">
      <w:pPr>
        <w:spacing w:after="0"/>
        <w:rPr>
          <w:rFonts w:ascii="Times New Roman" w:hAnsi="Times New Roman" w:cs="Times New Roman"/>
          <w:bCs/>
          <w:sz w:val="22"/>
          <w:szCs w:val="22"/>
        </w:rPr>
      </w:pPr>
    </w:p>
    <w:p w:rsidR="00175C21" w:rsidRPr="00732824" w:rsidRDefault="00D06A98" w:rsidP="00175C21">
      <w:pPr>
        <w:pStyle w:val="ListParagraph"/>
        <w:numPr>
          <w:ilvl w:val="0"/>
          <w:numId w:val="4"/>
        </w:numPr>
        <w:spacing w:after="0"/>
        <w:rPr>
          <w:rFonts w:ascii="Times New Roman" w:hAnsi="Times New Roman" w:cs="Times New Roman"/>
          <w:bCs/>
          <w:sz w:val="22"/>
          <w:szCs w:val="22"/>
        </w:rPr>
      </w:pPr>
      <w:proofErr w:type="spellStart"/>
      <w:r w:rsidRPr="00732824">
        <w:rPr>
          <w:rFonts w:ascii="Times New Roman" w:hAnsi="Times New Roman" w:cs="Times New Roman"/>
          <w:bCs/>
          <w:sz w:val="22"/>
          <w:szCs w:val="22"/>
        </w:rPr>
        <w:t>BioLUC</w:t>
      </w:r>
      <w:proofErr w:type="spellEnd"/>
      <w:r w:rsidRPr="00732824">
        <w:rPr>
          <w:rFonts w:ascii="Times New Roman" w:hAnsi="Times New Roman" w:cs="Times New Roman"/>
          <w:bCs/>
          <w:sz w:val="22"/>
          <w:szCs w:val="22"/>
        </w:rPr>
        <w:t xml:space="preserve"> Available Forest Land = FAO Forest Area</w:t>
      </w:r>
    </w:p>
    <w:p w:rsidR="00175C21" w:rsidRPr="00732824" w:rsidRDefault="00A87B34" w:rsidP="00175C21">
      <w:pPr>
        <w:pStyle w:val="ListParagraph"/>
        <w:numPr>
          <w:ilvl w:val="0"/>
          <w:numId w:val="4"/>
        </w:numPr>
        <w:spacing w:after="0"/>
        <w:rPr>
          <w:rFonts w:ascii="Times New Roman" w:hAnsi="Times New Roman" w:cs="Times New Roman"/>
          <w:bCs/>
          <w:sz w:val="22"/>
          <w:szCs w:val="22"/>
        </w:rPr>
      </w:pPr>
      <w:proofErr w:type="spellStart"/>
      <w:r>
        <w:rPr>
          <w:rFonts w:ascii="Times New Roman" w:hAnsi="Times New Roman" w:cs="Times New Roman"/>
          <w:bCs/>
          <w:sz w:val="22"/>
          <w:szCs w:val="22"/>
        </w:rPr>
        <w:lastRenderedPageBreak/>
        <w:t>BioLUC</w:t>
      </w:r>
      <w:proofErr w:type="spellEnd"/>
      <w:r>
        <w:rPr>
          <w:rFonts w:ascii="Times New Roman" w:hAnsi="Times New Roman" w:cs="Times New Roman"/>
          <w:bCs/>
          <w:sz w:val="22"/>
          <w:szCs w:val="22"/>
        </w:rPr>
        <w:t xml:space="preserve"> Cropland – (Cropland regional share) *(FAO Arable Land) where regional share is 0.95 for ROW and 0.86 for US (FAO 2010a, Holmgren 2006)</w:t>
      </w:r>
    </w:p>
    <w:p w:rsidR="00175C21" w:rsidRPr="00732824" w:rsidRDefault="00A87B34" w:rsidP="00175C21">
      <w:pPr>
        <w:pStyle w:val="ListParagraph"/>
        <w:numPr>
          <w:ilvl w:val="0"/>
          <w:numId w:val="4"/>
        </w:numPr>
        <w:spacing w:after="0"/>
        <w:rPr>
          <w:rFonts w:ascii="Times New Roman" w:hAnsi="Times New Roman" w:cs="Times New Roman"/>
          <w:bCs/>
          <w:sz w:val="22"/>
          <w:szCs w:val="22"/>
        </w:rPr>
      </w:pPr>
      <w:proofErr w:type="spellStart"/>
      <w:r>
        <w:rPr>
          <w:rFonts w:ascii="Times New Roman" w:hAnsi="Times New Roman" w:cs="Times New Roman"/>
          <w:bCs/>
          <w:sz w:val="22"/>
          <w:szCs w:val="22"/>
        </w:rPr>
        <w:t>BioLUC</w:t>
      </w:r>
      <w:proofErr w:type="spellEnd"/>
      <w:r>
        <w:rPr>
          <w:rFonts w:ascii="Times New Roman" w:hAnsi="Times New Roman" w:cs="Times New Roman"/>
          <w:bCs/>
          <w:sz w:val="22"/>
          <w:szCs w:val="22"/>
        </w:rPr>
        <w:t xml:space="preserve"> Pastureland = (Pasture regional share) * (FAO Arable Land) where regional share is </w:t>
      </w:r>
      <w:r w:rsidR="00AC2F14">
        <w:rPr>
          <w:rFonts w:ascii="Times New Roman" w:hAnsi="Times New Roman" w:cs="Times New Roman"/>
          <w:bCs/>
          <w:sz w:val="22"/>
          <w:szCs w:val="22"/>
        </w:rPr>
        <w:t>0.05</w:t>
      </w:r>
      <w:r>
        <w:rPr>
          <w:rFonts w:ascii="Times New Roman" w:hAnsi="Times New Roman" w:cs="Times New Roman"/>
          <w:bCs/>
          <w:sz w:val="22"/>
          <w:szCs w:val="22"/>
        </w:rPr>
        <w:t xml:space="preserve"> for ROW and </w:t>
      </w:r>
      <w:r w:rsidR="00AC2F14">
        <w:rPr>
          <w:rFonts w:ascii="Times New Roman" w:hAnsi="Times New Roman" w:cs="Times New Roman"/>
          <w:bCs/>
          <w:sz w:val="22"/>
          <w:szCs w:val="22"/>
        </w:rPr>
        <w:t>0.14</w:t>
      </w:r>
      <w:r>
        <w:rPr>
          <w:rFonts w:ascii="Times New Roman" w:hAnsi="Times New Roman" w:cs="Times New Roman"/>
          <w:bCs/>
          <w:sz w:val="22"/>
          <w:szCs w:val="22"/>
        </w:rPr>
        <w:t xml:space="preserve"> for the US</w:t>
      </w:r>
    </w:p>
    <w:p w:rsidR="00175C21" w:rsidRPr="00732824" w:rsidRDefault="00A87B34" w:rsidP="00175C21">
      <w:pPr>
        <w:pStyle w:val="ListParagraph"/>
        <w:numPr>
          <w:ilvl w:val="0"/>
          <w:numId w:val="4"/>
        </w:numPr>
        <w:spacing w:after="0"/>
        <w:rPr>
          <w:rFonts w:ascii="Times New Roman" w:hAnsi="Times New Roman" w:cs="Times New Roman"/>
          <w:bCs/>
          <w:sz w:val="22"/>
          <w:szCs w:val="22"/>
        </w:rPr>
      </w:pPr>
      <w:r>
        <w:rPr>
          <w:rFonts w:ascii="Times New Roman" w:hAnsi="Times New Roman" w:cs="Times New Roman"/>
          <w:bCs/>
          <w:sz w:val="22"/>
          <w:szCs w:val="22"/>
        </w:rPr>
        <w:t>Cropland regional share = FAO Permanent Crops for region/FAO Arable Land for region</w:t>
      </w:r>
    </w:p>
    <w:p w:rsidR="00175C21" w:rsidRPr="00231910" w:rsidRDefault="00175C21" w:rsidP="00175C21">
      <w:pPr>
        <w:spacing w:after="0"/>
        <w:rPr>
          <w:rFonts w:ascii="Times New Roman" w:hAnsi="Times New Roman" w:cs="Times New Roman"/>
          <w:bCs/>
          <w:sz w:val="22"/>
          <w:szCs w:val="22"/>
        </w:rPr>
      </w:pPr>
    </w:p>
    <w:p w:rsidR="00175C21" w:rsidRPr="00231910" w:rsidRDefault="00175C21" w:rsidP="00175C21">
      <w:pPr>
        <w:spacing w:after="0"/>
        <w:rPr>
          <w:rFonts w:ascii="Times New Roman" w:hAnsi="Times New Roman" w:cs="Times New Roman"/>
          <w:bCs/>
          <w:sz w:val="22"/>
          <w:szCs w:val="22"/>
        </w:rPr>
      </w:pPr>
      <w:r w:rsidRPr="00231910">
        <w:rPr>
          <w:rFonts w:ascii="Times New Roman" w:hAnsi="Times New Roman" w:cs="Times New Roman"/>
          <w:bCs/>
          <w:sz w:val="22"/>
          <w:szCs w:val="22"/>
        </w:rPr>
        <w:t xml:space="preserve">Other </w:t>
      </w:r>
      <w:r w:rsidR="00347C61">
        <w:rPr>
          <w:rFonts w:ascii="Times New Roman" w:hAnsi="Times New Roman" w:cs="Times New Roman"/>
          <w:bCs/>
          <w:sz w:val="22"/>
          <w:szCs w:val="22"/>
        </w:rPr>
        <w:t>l</w:t>
      </w:r>
      <w:r w:rsidR="00347C61" w:rsidRPr="00231910">
        <w:rPr>
          <w:rFonts w:ascii="Times New Roman" w:hAnsi="Times New Roman" w:cs="Times New Roman"/>
          <w:bCs/>
          <w:sz w:val="22"/>
          <w:szCs w:val="22"/>
        </w:rPr>
        <w:t>and</w:t>
      </w:r>
      <w:r w:rsidRPr="00231910">
        <w:rPr>
          <w:rFonts w:ascii="Times New Roman" w:hAnsi="Times New Roman" w:cs="Times New Roman"/>
          <w:bCs/>
          <w:sz w:val="22"/>
          <w:szCs w:val="22"/>
        </w:rPr>
        <w:t xml:space="preserve"> </w:t>
      </w:r>
      <w:r>
        <w:rPr>
          <w:rFonts w:ascii="Times New Roman" w:hAnsi="Times New Roman" w:cs="Times New Roman"/>
          <w:bCs/>
          <w:sz w:val="22"/>
          <w:szCs w:val="22"/>
        </w:rPr>
        <w:t>is</w:t>
      </w:r>
      <w:r w:rsidRPr="00231910">
        <w:rPr>
          <w:rFonts w:ascii="Times New Roman" w:hAnsi="Times New Roman" w:cs="Times New Roman"/>
          <w:bCs/>
          <w:sz w:val="22"/>
          <w:szCs w:val="22"/>
        </w:rPr>
        <w:t xml:space="preserve"> not considered directly in this version of </w:t>
      </w:r>
      <w:proofErr w:type="spellStart"/>
      <w:r w:rsidRPr="00231910">
        <w:rPr>
          <w:rFonts w:ascii="Times New Roman" w:hAnsi="Times New Roman" w:cs="Times New Roman"/>
          <w:bCs/>
          <w:sz w:val="22"/>
          <w:szCs w:val="22"/>
        </w:rPr>
        <w:t>BioLUC</w:t>
      </w:r>
      <w:proofErr w:type="spellEnd"/>
      <w:r w:rsidRPr="00231910">
        <w:rPr>
          <w:rFonts w:ascii="Times New Roman" w:hAnsi="Times New Roman" w:cs="Times New Roman"/>
          <w:bCs/>
          <w:sz w:val="22"/>
          <w:szCs w:val="22"/>
        </w:rPr>
        <w:t xml:space="preserve"> due </w:t>
      </w:r>
      <w:r w:rsidR="002E1536">
        <w:rPr>
          <w:rFonts w:ascii="Times New Roman" w:hAnsi="Times New Roman" w:cs="Times New Roman"/>
          <w:bCs/>
          <w:sz w:val="22"/>
          <w:szCs w:val="22"/>
        </w:rPr>
        <w:t xml:space="preserve">to </w:t>
      </w:r>
      <w:r w:rsidRPr="00231910">
        <w:rPr>
          <w:rFonts w:ascii="Times New Roman" w:hAnsi="Times New Roman" w:cs="Times New Roman"/>
          <w:bCs/>
          <w:sz w:val="22"/>
          <w:szCs w:val="22"/>
        </w:rPr>
        <w:t xml:space="preserve">ambiguities and data concerns (Matthews 2001). </w:t>
      </w:r>
    </w:p>
    <w:p w:rsidR="00175C21" w:rsidRPr="00231910" w:rsidRDefault="00175C21" w:rsidP="00175C21">
      <w:pPr>
        <w:spacing w:after="0"/>
        <w:ind w:firstLine="450"/>
        <w:rPr>
          <w:rFonts w:ascii="Times New Roman" w:hAnsi="Times New Roman" w:cs="Times New Roman"/>
          <w:bCs/>
          <w:sz w:val="22"/>
          <w:szCs w:val="22"/>
        </w:rPr>
      </w:pPr>
    </w:p>
    <w:p w:rsidR="00175C21" w:rsidRDefault="00175C21" w:rsidP="00175C21">
      <w:pPr>
        <w:spacing w:after="0"/>
        <w:rPr>
          <w:rFonts w:ascii="Times New Roman" w:hAnsi="Times New Roman" w:cs="Times New Roman"/>
          <w:bCs/>
          <w:sz w:val="22"/>
          <w:szCs w:val="22"/>
        </w:rPr>
      </w:pPr>
      <w:r>
        <w:rPr>
          <w:rFonts w:ascii="Times New Roman" w:hAnsi="Times New Roman" w:cs="Times New Roman"/>
          <w:bCs/>
          <w:sz w:val="22"/>
          <w:szCs w:val="22"/>
        </w:rPr>
        <w:t>Initial land stocks and r</w:t>
      </w:r>
      <w:r w:rsidRPr="00231910">
        <w:rPr>
          <w:rFonts w:ascii="Times New Roman" w:hAnsi="Times New Roman" w:cs="Times New Roman"/>
          <w:bCs/>
          <w:sz w:val="22"/>
          <w:szCs w:val="22"/>
        </w:rPr>
        <w:t xml:space="preserve">ates of land abandonment, where cropland is used so intensively that it must be abandoned, </w:t>
      </w:r>
      <w:r>
        <w:rPr>
          <w:rFonts w:ascii="Times New Roman" w:hAnsi="Times New Roman" w:cs="Times New Roman"/>
          <w:bCs/>
          <w:sz w:val="22"/>
          <w:szCs w:val="22"/>
        </w:rPr>
        <w:t>are</w:t>
      </w:r>
      <w:r w:rsidRPr="00231910">
        <w:rPr>
          <w:rFonts w:ascii="Times New Roman" w:hAnsi="Times New Roman" w:cs="Times New Roman"/>
          <w:bCs/>
          <w:sz w:val="22"/>
          <w:szCs w:val="22"/>
        </w:rPr>
        <w:t xml:space="preserve"> taken from global studies and applied equally to global and US regions (Campbell </w:t>
      </w:r>
      <w:r w:rsidRPr="009F4A76">
        <w:rPr>
          <w:rFonts w:ascii="Times New Roman" w:hAnsi="Times New Roman" w:cs="Times New Roman"/>
          <w:bCs/>
          <w:i/>
          <w:sz w:val="22"/>
          <w:szCs w:val="22"/>
        </w:rPr>
        <w:t>et al</w:t>
      </w:r>
      <w:r w:rsidRPr="00231910">
        <w:rPr>
          <w:rFonts w:ascii="Times New Roman" w:hAnsi="Times New Roman" w:cs="Times New Roman"/>
          <w:bCs/>
          <w:sz w:val="22"/>
          <w:szCs w:val="22"/>
        </w:rPr>
        <w:t xml:space="preserve"> 2008). Land abandonment rates are calculated based on existing cropland and retain a constant rate throughout the model analysis. Rates of land restoration, where abandoned agricultural land returns to Available Land, </w:t>
      </w:r>
      <w:r>
        <w:rPr>
          <w:rFonts w:ascii="Times New Roman" w:hAnsi="Times New Roman" w:cs="Times New Roman"/>
          <w:bCs/>
          <w:sz w:val="22"/>
          <w:szCs w:val="22"/>
        </w:rPr>
        <w:t>are</w:t>
      </w:r>
      <w:r w:rsidRPr="00231910">
        <w:rPr>
          <w:rFonts w:ascii="Times New Roman" w:hAnsi="Times New Roman" w:cs="Times New Roman"/>
          <w:bCs/>
          <w:sz w:val="22"/>
          <w:szCs w:val="22"/>
        </w:rPr>
        <w:t xml:space="preserve"> taken from Houghton </w:t>
      </w:r>
      <w:r w:rsidRPr="009F4A76">
        <w:rPr>
          <w:rFonts w:ascii="Times New Roman" w:hAnsi="Times New Roman" w:cs="Times New Roman"/>
          <w:bCs/>
          <w:i/>
          <w:sz w:val="22"/>
          <w:szCs w:val="22"/>
        </w:rPr>
        <w:t>et al</w:t>
      </w:r>
      <w:r w:rsidRPr="00231910">
        <w:rPr>
          <w:rFonts w:ascii="Times New Roman" w:hAnsi="Times New Roman" w:cs="Times New Roman"/>
          <w:bCs/>
          <w:sz w:val="22"/>
          <w:szCs w:val="22"/>
        </w:rPr>
        <w:t xml:space="preserve"> (2000). Fallow land estimates </w:t>
      </w:r>
      <w:r>
        <w:rPr>
          <w:rFonts w:ascii="Times New Roman" w:hAnsi="Times New Roman" w:cs="Times New Roman"/>
          <w:bCs/>
          <w:sz w:val="22"/>
          <w:szCs w:val="22"/>
        </w:rPr>
        <w:t>are</w:t>
      </w:r>
      <w:r w:rsidRPr="00231910">
        <w:rPr>
          <w:rFonts w:ascii="Times New Roman" w:hAnsi="Times New Roman" w:cs="Times New Roman"/>
          <w:bCs/>
          <w:sz w:val="22"/>
          <w:szCs w:val="22"/>
        </w:rPr>
        <w:t xml:space="preserve"> taken from FAO for the US region in 2002 and from Siebert </w:t>
      </w:r>
      <w:r w:rsidRPr="009F4A76">
        <w:rPr>
          <w:rFonts w:ascii="Times New Roman" w:hAnsi="Times New Roman" w:cs="Times New Roman"/>
          <w:bCs/>
          <w:i/>
          <w:sz w:val="22"/>
          <w:szCs w:val="22"/>
        </w:rPr>
        <w:t>et al</w:t>
      </w:r>
      <w:r w:rsidRPr="00231910">
        <w:rPr>
          <w:rFonts w:ascii="Times New Roman" w:hAnsi="Times New Roman" w:cs="Times New Roman"/>
          <w:bCs/>
          <w:i/>
          <w:sz w:val="22"/>
          <w:szCs w:val="22"/>
        </w:rPr>
        <w:t xml:space="preserve"> </w:t>
      </w:r>
      <w:r w:rsidR="00D22F20" w:rsidRPr="00D22F20">
        <w:rPr>
          <w:rFonts w:ascii="Times New Roman" w:hAnsi="Times New Roman" w:cs="Times New Roman"/>
          <w:bCs/>
          <w:sz w:val="22"/>
          <w:szCs w:val="22"/>
        </w:rPr>
        <w:t>(</w:t>
      </w:r>
      <w:r w:rsidRPr="00231910">
        <w:rPr>
          <w:rFonts w:ascii="Times New Roman" w:hAnsi="Times New Roman" w:cs="Times New Roman"/>
          <w:bCs/>
          <w:sz w:val="22"/>
          <w:szCs w:val="22"/>
        </w:rPr>
        <w:t>2010)</w:t>
      </w:r>
      <w:r w:rsidRPr="00231910">
        <w:rPr>
          <w:rFonts w:ascii="Times New Roman" w:hAnsi="Times New Roman" w:cs="Times New Roman"/>
          <w:bCs/>
          <w:i/>
          <w:sz w:val="22"/>
          <w:szCs w:val="22"/>
        </w:rPr>
        <w:t xml:space="preserve"> </w:t>
      </w:r>
      <w:r w:rsidRPr="00231910">
        <w:rPr>
          <w:rFonts w:ascii="Times New Roman" w:hAnsi="Times New Roman" w:cs="Times New Roman"/>
          <w:bCs/>
          <w:sz w:val="22"/>
          <w:szCs w:val="22"/>
        </w:rPr>
        <w:t xml:space="preserve">for the global region. Fallow land remains a constant percentage of total cropland throughout the model analysis. </w:t>
      </w:r>
    </w:p>
    <w:p w:rsidR="004B2E88" w:rsidRPr="00231910" w:rsidRDefault="004B2E88" w:rsidP="004B2E88">
      <w:pPr>
        <w:spacing w:after="0"/>
        <w:rPr>
          <w:rFonts w:ascii="Times New Roman" w:hAnsi="Times New Roman" w:cs="Times New Roman"/>
          <w:bCs/>
          <w:sz w:val="22"/>
          <w:szCs w:val="22"/>
        </w:rPr>
      </w:pPr>
    </w:p>
    <w:p w:rsidR="00D22F20" w:rsidRPr="00D22F20" w:rsidRDefault="00D22F20" w:rsidP="00D22F20">
      <w:pPr>
        <w:spacing w:after="0"/>
        <w:rPr>
          <w:rFonts w:ascii="Times New Roman" w:hAnsi="Times New Roman" w:cs="Times New Roman"/>
          <w:bCs/>
          <w:sz w:val="20"/>
          <w:szCs w:val="20"/>
        </w:rPr>
      </w:pPr>
      <w:r w:rsidRPr="00D22F20">
        <w:rPr>
          <w:rFonts w:ascii="Times New Roman" w:hAnsi="Times New Roman" w:cs="Times New Roman"/>
          <w:b/>
          <w:bCs/>
          <w:sz w:val="20"/>
          <w:szCs w:val="20"/>
        </w:rPr>
        <w:t xml:space="preserve">Table S1. </w:t>
      </w:r>
      <w:r w:rsidRPr="00D22F20">
        <w:rPr>
          <w:rFonts w:ascii="Times New Roman" w:hAnsi="Times New Roman" w:cs="Times New Roman"/>
          <w:bCs/>
          <w:sz w:val="20"/>
          <w:szCs w:val="20"/>
        </w:rPr>
        <w:t xml:space="preserve">Land use and animal product categories used in </w:t>
      </w:r>
      <w:proofErr w:type="spellStart"/>
      <w:r w:rsidRPr="00D22F20">
        <w:rPr>
          <w:rFonts w:ascii="Times New Roman" w:hAnsi="Times New Roman" w:cs="Times New Roman"/>
          <w:bCs/>
          <w:sz w:val="20"/>
          <w:szCs w:val="20"/>
        </w:rPr>
        <w:t>BioLUC</w:t>
      </w:r>
      <w:proofErr w:type="spellEnd"/>
      <w:r w:rsidRPr="00D22F20">
        <w:rPr>
          <w:rFonts w:ascii="Times New Roman" w:hAnsi="Times New Roman" w:cs="Times New Roman"/>
          <w:bCs/>
          <w:sz w:val="20"/>
          <w:szCs w:val="20"/>
        </w:rPr>
        <w:t>.</w:t>
      </w:r>
    </w:p>
    <w:tbl>
      <w:tblPr>
        <w:tblW w:w="8805" w:type="dxa"/>
        <w:jc w:val="center"/>
        <w:tblInd w:w="93" w:type="dxa"/>
        <w:tblBorders>
          <w:top w:val="single" w:sz="4" w:space="0" w:color="auto"/>
          <w:bottom w:val="single" w:sz="4" w:space="0" w:color="auto"/>
          <w:insideH w:val="dashed" w:sz="4" w:space="0" w:color="auto"/>
        </w:tblBorders>
        <w:tblLook w:val="04A0"/>
      </w:tblPr>
      <w:tblGrid>
        <w:gridCol w:w="1800"/>
        <w:gridCol w:w="2260"/>
        <w:gridCol w:w="1900"/>
        <w:gridCol w:w="2845"/>
      </w:tblGrid>
      <w:tr w:rsidR="004B2E88" w:rsidRPr="00231910" w:rsidTr="00971662">
        <w:trPr>
          <w:trHeight w:val="259"/>
          <w:jc w:val="center"/>
        </w:trPr>
        <w:tc>
          <w:tcPr>
            <w:tcW w:w="1800" w:type="dxa"/>
            <w:vMerge w:val="restart"/>
            <w:shd w:val="clear" w:color="auto" w:fill="auto"/>
            <w:noWrap/>
            <w:vAlign w:val="center"/>
            <w:hideMark/>
          </w:tcPr>
          <w:p w:rsidR="004B2E88" w:rsidRPr="0070375B" w:rsidRDefault="00D22F20" w:rsidP="00971662">
            <w:pPr>
              <w:spacing w:after="0"/>
              <w:rPr>
                <w:rFonts w:ascii="Times New Roman" w:hAnsi="Times New Roman" w:cs="Times New Roman"/>
                <w:color w:val="000000"/>
                <w:sz w:val="20"/>
                <w:szCs w:val="20"/>
              </w:rPr>
            </w:pPr>
            <w:r w:rsidRPr="00D22F20">
              <w:rPr>
                <w:rFonts w:ascii="Times New Roman" w:hAnsi="Times New Roman" w:cs="Times New Roman"/>
                <w:color w:val="000000"/>
                <w:sz w:val="20"/>
                <w:szCs w:val="20"/>
              </w:rPr>
              <w:t>Available Land</w:t>
            </w:r>
          </w:p>
        </w:tc>
        <w:tc>
          <w:tcPr>
            <w:tcW w:w="2260" w:type="dxa"/>
            <w:shd w:val="clear" w:color="auto" w:fill="auto"/>
            <w:noWrap/>
            <w:vAlign w:val="center"/>
            <w:hideMark/>
          </w:tcPr>
          <w:p w:rsidR="004B2E88" w:rsidRPr="0070375B" w:rsidRDefault="00D22F20" w:rsidP="00971662">
            <w:pPr>
              <w:spacing w:after="0"/>
              <w:rPr>
                <w:rFonts w:ascii="Times New Roman" w:hAnsi="Times New Roman" w:cs="Times New Roman"/>
                <w:color w:val="000000"/>
                <w:sz w:val="20"/>
                <w:szCs w:val="20"/>
              </w:rPr>
            </w:pPr>
            <w:r w:rsidRPr="00D22F20">
              <w:rPr>
                <w:rFonts w:ascii="Times New Roman" w:hAnsi="Times New Roman" w:cs="Times New Roman"/>
                <w:color w:val="000000"/>
                <w:sz w:val="20"/>
                <w:szCs w:val="20"/>
              </w:rPr>
              <w:t>Forest</w:t>
            </w:r>
          </w:p>
        </w:tc>
        <w:tc>
          <w:tcPr>
            <w:tcW w:w="1900" w:type="dxa"/>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845" w:type="dxa"/>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r>
      <w:tr w:rsidR="004B2E88" w:rsidRPr="00231910" w:rsidTr="00971662">
        <w:trPr>
          <w:trHeight w:val="259"/>
          <w:jc w:val="center"/>
        </w:trPr>
        <w:tc>
          <w:tcPr>
            <w:tcW w:w="1800" w:type="dxa"/>
            <w:vMerge/>
            <w:tcBorders>
              <w:bottom w:val="single" w:sz="4" w:space="0" w:color="auto"/>
            </w:tcBorders>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260" w:type="dxa"/>
            <w:tcBorders>
              <w:bottom w:val="single" w:sz="4" w:space="0" w:color="auto"/>
            </w:tcBorders>
            <w:shd w:val="clear" w:color="auto" w:fill="auto"/>
            <w:noWrap/>
            <w:vAlign w:val="center"/>
            <w:hideMark/>
          </w:tcPr>
          <w:p w:rsidR="004B2E88" w:rsidRPr="0070375B" w:rsidRDefault="00D22F20" w:rsidP="00971662">
            <w:pPr>
              <w:spacing w:after="0"/>
              <w:rPr>
                <w:rFonts w:ascii="Times New Roman" w:hAnsi="Times New Roman" w:cs="Times New Roman"/>
                <w:color w:val="000000"/>
                <w:sz w:val="20"/>
                <w:szCs w:val="20"/>
              </w:rPr>
            </w:pPr>
            <w:r w:rsidRPr="00D22F20">
              <w:rPr>
                <w:rFonts w:ascii="Times New Roman" w:hAnsi="Times New Roman" w:cs="Times New Roman"/>
                <w:color w:val="000000"/>
                <w:sz w:val="20"/>
                <w:szCs w:val="20"/>
              </w:rPr>
              <w:t>Grassland</w:t>
            </w:r>
          </w:p>
        </w:tc>
        <w:tc>
          <w:tcPr>
            <w:tcW w:w="1900" w:type="dxa"/>
            <w:tcBorders>
              <w:bottom w:val="single" w:sz="4" w:space="0" w:color="auto"/>
            </w:tcBorders>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845" w:type="dxa"/>
            <w:tcBorders>
              <w:bottom w:val="single" w:sz="4" w:space="0" w:color="auto"/>
            </w:tcBorders>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r>
      <w:tr w:rsidR="004B2E88" w:rsidRPr="00231910" w:rsidTr="00971662">
        <w:trPr>
          <w:trHeight w:val="259"/>
          <w:jc w:val="center"/>
        </w:trPr>
        <w:tc>
          <w:tcPr>
            <w:tcW w:w="1800" w:type="dxa"/>
            <w:vMerge w:val="restart"/>
            <w:tcBorders>
              <w:top w:val="single" w:sz="4" w:space="0" w:color="auto"/>
              <w:bottom w:val="dashed" w:sz="4" w:space="0" w:color="auto"/>
            </w:tcBorders>
            <w:shd w:val="clear" w:color="auto" w:fill="auto"/>
            <w:noWrap/>
            <w:vAlign w:val="center"/>
            <w:hideMark/>
          </w:tcPr>
          <w:p w:rsidR="004B2E88" w:rsidRPr="0070375B" w:rsidRDefault="004B2E88" w:rsidP="006E7875">
            <w:pPr>
              <w:spacing w:after="0"/>
              <w:rPr>
                <w:rFonts w:ascii="Times New Roman" w:hAnsi="Times New Roman" w:cs="Times New Roman"/>
                <w:color w:val="000000"/>
                <w:sz w:val="20"/>
                <w:szCs w:val="20"/>
              </w:rPr>
            </w:pPr>
            <w:r w:rsidRPr="0070375B">
              <w:rPr>
                <w:rFonts w:ascii="Times New Roman" w:hAnsi="Times New Roman" w:cs="Times New Roman"/>
                <w:color w:val="000000"/>
                <w:sz w:val="20"/>
                <w:szCs w:val="20"/>
              </w:rPr>
              <w:t>Pasture</w:t>
            </w:r>
            <w:r w:rsidR="006E7875">
              <w:rPr>
                <w:rFonts w:ascii="Times New Roman" w:hAnsi="Times New Roman" w:cs="Times New Roman"/>
                <w:color w:val="000000"/>
                <w:sz w:val="20"/>
                <w:szCs w:val="20"/>
              </w:rPr>
              <w:t>l</w:t>
            </w:r>
            <w:r w:rsidRPr="0070375B">
              <w:rPr>
                <w:rFonts w:ascii="Times New Roman" w:hAnsi="Times New Roman" w:cs="Times New Roman"/>
                <w:color w:val="000000"/>
                <w:sz w:val="20"/>
                <w:szCs w:val="20"/>
              </w:rPr>
              <w:t>and</w:t>
            </w:r>
          </w:p>
        </w:tc>
        <w:tc>
          <w:tcPr>
            <w:tcW w:w="2260" w:type="dxa"/>
            <w:tcBorders>
              <w:top w:val="single" w:sz="4" w:space="0" w:color="auto"/>
              <w:bottom w:val="dashed" w:sz="4" w:space="0" w:color="auto"/>
            </w:tcBorders>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r w:rsidRPr="0070375B">
              <w:rPr>
                <w:rFonts w:ascii="Times New Roman" w:hAnsi="Times New Roman" w:cs="Times New Roman"/>
                <w:color w:val="000000"/>
                <w:sz w:val="20"/>
                <w:szCs w:val="20"/>
              </w:rPr>
              <w:t>Formerly Forest</w:t>
            </w:r>
          </w:p>
        </w:tc>
        <w:tc>
          <w:tcPr>
            <w:tcW w:w="1900" w:type="dxa"/>
            <w:tcBorders>
              <w:top w:val="single" w:sz="4" w:space="0" w:color="auto"/>
              <w:bottom w:val="dashed" w:sz="4" w:space="0" w:color="auto"/>
            </w:tcBorders>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845" w:type="dxa"/>
            <w:tcBorders>
              <w:top w:val="single" w:sz="4" w:space="0" w:color="auto"/>
              <w:bottom w:val="dashed" w:sz="4" w:space="0" w:color="auto"/>
            </w:tcBorders>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r>
      <w:tr w:rsidR="004B2E88" w:rsidRPr="00231910" w:rsidTr="00971662">
        <w:trPr>
          <w:trHeight w:val="259"/>
          <w:jc w:val="center"/>
        </w:trPr>
        <w:tc>
          <w:tcPr>
            <w:tcW w:w="1800" w:type="dxa"/>
            <w:vMerge/>
            <w:tcBorders>
              <w:top w:val="dashed" w:sz="4" w:space="0" w:color="auto"/>
              <w:bottom w:val="single" w:sz="4" w:space="0" w:color="auto"/>
            </w:tcBorders>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260" w:type="dxa"/>
            <w:tcBorders>
              <w:top w:val="dashed" w:sz="4" w:space="0" w:color="auto"/>
              <w:bottom w:val="single" w:sz="4" w:space="0" w:color="auto"/>
            </w:tcBorders>
            <w:shd w:val="clear" w:color="auto" w:fill="auto"/>
            <w:noWrap/>
            <w:vAlign w:val="center"/>
            <w:hideMark/>
          </w:tcPr>
          <w:p w:rsidR="004B2E88" w:rsidRPr="0070375B" w:rsidRDefault="00D22F20" w:rsidP="00971662">
            <w:pPr>
              <w:spacing w:after="0"/>
              <w:rPr>
                <w:rFonts w:ascii="Times New Roman" w:hAnsi="Times New Roman" w:cs="Times New Roman"/>
                <w:color w:val="000000"/>
                <w:sz w:val="20"/>
                <w:szCs w:val="20"/>
              </w:rPr>
            </w:pPr>
            <w:r w:rsidRPr="00D22F20">
              <w:rPr>
                <w:rFonts w:ascii="Times New Roman" w:hAnsi="Times New Roman" w:cs="Times New Roman"/>
                <w:color w:val="000000"/>
                <w:sz w:val="20"/>
                <w:szCs w:val="20"/>
              </w:rPr>
              <w:t>Formerly Pasture</w:t>
            </w:r>
          </w:p>
        </w:tc>
        <w:tc>
          <w:tcPr>
            <w:tcW w:w="1900" w:type="dxa"/>
            <w:tcBorders>
              <w:top w:val="dashed" w:sz="4" w:space="0" w:color="auto"/>
              <w:bottom w:val="single" w:sz="4" w:space="0" w:color="auto"/>
            </w:tcBorders>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845" w:type="dxa"/>
            <w:tcBorders>
              <w:top w:val="dashed" w:sz="4" w:space="0" w:color="auto"/>
              <w:bottom w:val="single" w:sz="4" w:space="0" w:color="auto"/>
            </w:tcBorders>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r>
      <w:tr w:rsidR="004B2E88" w:rsidRPr="00231910" w:rsidTr="00971662">
        <w:trPr>
          <w:trHeight w:val="259"/>
          <w:jc w:val="center"/>
        </w:trPr>
        <w:tc>
          <w:tcPr>
            <w:tcW w:w="1800" w:type="dxa"/>
            <w:vMerge w:val="restart"/>
            <w:tcBorders>
              <w:top w:val="single" w:sz="4" w:space="0" w:color="auto"/>
            </w:tcBorders>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r w:rsidRPr="0070375B">
              <w:rPr>
                <w:rFonts w:ascii="Times New Roman" w:hAnsi="Times New Roman" w:cs="Times New Roman"/>
                <w:color w:val="000000"/>
                <w:sz w:val="20"/>
                <w:szCs w:val="20"/>
              </w:rPr>
              <w:t>Cropland</w:t>
            </w:r>
          </w:p>
        </w:tc>
        <w:tc>
          <w:tcPr>
            <w:tcW w:w="2260" w:type="dxa"/>
            <w:vMerge w:val="restart"/>
            <w:tcBorders>
              <w:top w:val="single" w:sz="4" w:space="0" w:color="auto"/>
            </w:tcBorders>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r w:rsidRPr="0070375B">
              <w:rPr>
                <w:rFonts w:ascii="Times New Roman" w:hAnsi="Times New Roman" w:cs="Times New Roman"/>
                <w:color w:val="000000"/>
                <w:sz w:val="20"/>
                <w:szCs w:val="20"/>
              </w:rPr>
              <w:t>Formerly Forest</w:t>
            </w:r>
            <w:r w:rsidR="00261D82">
              <w:rPr>
                <w:rFonts w:ascii="Times New Roman" w:hAnsi="Times New Roman" w:cs="Times New Roman"/>
                <w:color w:val="000000"/>
                <w:sz w:val="20"/>
                <w:szCs w:val="20"/>
              </w:rPr>
              <w:t xml:space="preserve"> or Pasture</w:t>
            </w:r>
          </w:p>
        </w:tc>
        <w:tc>
          <w:tcPr>
            <w:tcW w:w="1900" w:type="dxa"/>
            <w:tcBorders>
              <w:top w:val="single" w:sz="4" w:space="0" w:color="auto"/>
            </w:tcBorders>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r w:rsidRPr="0070375B">
              <w:rPr>
                <w:rFonts w:ascii="Times New Roman" w:hAnsi="Times New Roman" w:cs="Times New Roman"/>
                <w:color w:val="000000"/>
                <w:sz w:val="20"/>
                <w:szCs w:val="20"/>
              </w:rPr>
              <w:t>Fallow</w:t>
            </w:r>
          </w:p>
        </w:tc>
        <w:tc>
          <w:tcPr>
            <w:tcW w:w="2845" w:type="dxa"/>
            <w:tcBorders>
              <w:top w:val="single" w:sz="4" w:space="0" w:color="auto"/>
            </w:tcBorders>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r>
      <w:tr w:rsidR="004B2E88" w:rsidRPr="00231910" w:rsidTr="00971662">
        <w:trPr>
          <w:trHeight w:val="259"/>
          <w:jc w:val="center"/>
        </w:trPr>
        <w:tc>
          <w:tcPr>
            <w:tcW w:w="180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26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1900" w:type="dxa"/>
            <w:shd w:val="clear" w:color="auto" w:fill="auto"/>
            <w:noWrap/>
            <w:vAlign w:val="center"/>
            <w:hideMark/>
          </w:tcPr>
          <w:p w:rsidR="004B2E88" w:rsidRPr="0070375B" w:rsidRDefault="00D22F20" w:rsidP="00971662">
            <w:pPr>
              <w:spacing w:after="0"/>
              <w:rPr>
                <w:rFonts w:ascii="Times New Roman" w:hAnsi="Times New Roman" w:cs="Times New Roman"/>
                <w:color w:val="000000"/>
                <w:sz w:val="20"/>
                <w:szCs w:val="20"/>
              </w:rPr>
            </w:pPr>
            <w:r w:rsidRPr="00D22F20">
              <w:rPr>
                <w:rFonts w:ascii="Times New Roman" w:hAnsi="Times New Roman" w:cs="Times New Roman"/>
                <w:color w:val="000000"/>
                <w:sz w:val="20"/>
                <w:szCs w:val="20"/>
              </w:rPr>
              <w:t>Forage</w:t>
            </w:r>
          </w:p>
        </w:tc>
        <w:tc>
          <w:tcPr>
            <w:tcW w:w="2845" w:type="dxa"/>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r>
      <w:tr w:rsidR="004B2E88" w:rsidRPr="00231910" w:rsidTr="00971662">
        <w:trPr>
          <w:trHeight w:val="259"/>
          <w:jc w:val="center"/>
        </w:trPr>
        <w:tc>
          <w:tcPr>
            <w:tcW w:w="180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26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4745" w:type="dxa"/>
            <w:gridSpan w:val="2"/>
            <w:shd w:val="clear" w:color="auto" w:fill="auto"/>
            <w:noWrap/>
            <w:vAlign w:val="center"/>
            <w:hideMark/>
          </w:tcPr>
          <w:p w:rsidR="004B2E88" w:rsidRPr="0070375B" w:rsidRDefault="00D22F20" w:rsidP="00971662">
            <w:pPr>
              <w:spacing w:after="0"/>
              <w:rPr>
                <w:rFonts w:ascii="Times New Roman" w:hAnsi="Times New Roman" w:cs="Times New Roman"/>
                <w:color w:val="000000"/>
                <w:sz w:val="20"/>
                <w:szCs w:val="20"/>
              </w:rPr>
            </w:pPr>
            <w:r w:rsidRPr="00D22F20">
              <w:rPr>
                <w:rFonts w:ascii="Times New Roman" w:hAnsi="Times New Roman" w:cs="Times New Roman"/>
                <w:color w:val="000000"/>
                <w:sz w:val="20"/>
                <w:szCs w:val="20"/>
              </w:rPr>
              <w:t>Fiber | Vegetable/Fruit/Nut | Other</w:t>
            </w:r>
          </w:p>
        </w:tc>
      </w:tr>
      <w:tr w:rsidR="004B2E88" w:rsidRPr="00231910" w:rsidTr="00971662">
        <w:trPr>
          <w:trHeight w:val="259"/>
          <w:jc w:val="center"/>
        </w:trPr>
        <w:tc>
          <w:tcPr>
            <w:tcW w:w="180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26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1900" w:type="dxa"/>
            <w:vMerge w:val="restart"/>
            <w:shd w:val="clear" w:color="auto" w:fill="auto"/>
            <w:noWrap/>
            <w:vAlign w:val="center"/>
            <w:hideMark/>
          </w:tcPr>
          <w:p w:rsidR="004B2E88" w:rsidRPr="0070375B" w:rsidRDefault="00D22F20" w:rsidP="00971662">
            <w:pPr>
              <w:spacing w:after="0"/>
              <w:rPr>
                <w:rFonts w:ascii="Times New Roman" w:hAnsi="Times New Roman" w:cs="Times New Roman"/>
                <w:color w:val="000000"/>
                <w:sz w:val="20"/>
                <w:szCs w:val="20"/>
              </w:rPr>
            </w:pPr>
            <w:r w:rsidRPr="00D22F20">
              <w:rPr>
                <w:rFonts w:ascii="Times New Roman" w:hAnsi="Times New Roman" w:cs="Times New Roman"/>
                <w:color w:val="000000"/>
                <w:sz w:val="20"/>
                <w:szCs w:val="20"/>
              </w:rPr>
              <w:t>Commodity Crops</w:t>
            </w:r>
          </w:p>
        </w:tc>
        <w:tc>
          <w:tcPr>
            <w:tcW w:w="2845" w:type="dxa"/>
            <w:shd w:val="clear" w:color="auto" w:fill="auto"/>
            <w:noWrap/>
            <w:vAlign w:val="center"/>
            <w:hideMark/>
          </w:tcPr>
          <w:p w:rsidR="004B2E88" w:rsidRPr="0070375B" w:rsidRDefault="00D22F20" w:rsidP="00971662">
            <w:pPr>
              <w:spacing w:after="0"/>
              <w:rPr>
                <w:rFonts w:ascii="Times New Roman" w:hAnsi="Times New Roman" w:cs="Times New Roman"/>
                <w:color w:val="000000"/>
                <w:sz w:val="20"/>
                <w:szCs w:val="20"/>
              </w:rPr>
            </w:pPr>
            <w:r w:rsidRPr="00D22F20">
              <w:rPr>
                <w:rFonts w:ascii="Times New Roman" w:hAnsi="Times New Roman" w:cs="Times New Roman"/>
                <w:color w:val="000000"/>
                <w:sz w:val="20"/>
                <w:szCs w:val="20"/>
              </w:rPr>
              <w:t>Maize</w:t>
            </w:r>
          </w:p>
        </w:tc>
      </w:tr>
      <w:tr w:rsidR="004B2E88" w:rsidRPr="00231910" w:rsidTr="00971662">
        <w:trPr>
          <w:trHeight w:val="259"/>
          <w:jc w:val="center"/>
        </w:trPr>
        <w:tc>
          <w:tcPr>
            <w:tcW w:w="180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26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190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845" w:type="dxa"/>
            <w:shd w:val="clear" w:color="auto" w:fill="auto"/>
            <w:noWrap/>
            <w:vAlign w:val="center"/>
            <w:hideMark/>
          </w:tcPr>
          <w:p w:rsidR="004B2E88" w:rsidRPr="0070375B" w:rsidRDefault="00D22F20" w:rsidP="00971662">
            <w:pPr>
              <w:spacing w:after="0"/>
              <w:rPr>
                <w:rFonts w:ascii="Times New Roman" w:hAnsi="Times New Roman" w:cs="Times New Roman"/>
                <w:color w:val="000000"/>
                <w:sz w:val="20"/>
                <w:szCs w:val="20"/>
              </w:rPr>
            </w:pPr>
            <w:r w:rsidRPr="00D22F20">
              <w:rPr>
                <w:rFonts w:ascii="Times New Roman" w:hAnsi="Times New Roman" w:cs="Times New Roman"/>
                <w:color w:val="000000"/>
                <w:sz w:val="20"/>
                <w:szCs w:val="20"/>
              </w:rPr>
              <w:t>Wheat</w:t>
            </w:r>
          </w:p>
        </w:tc>
      </w:tr>
      <w:tr w:rsidR="004B2E88" w:rsidRPr="00231910" w:rsidTr="00971662">
        <w:trPr>
          <w:trHeight w:val="259"/>
          <w:jc w:val="center"/>
        </w:trPr>
        <w:tc>
          <w:tcPr>
            <w:tcW w:w="180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26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190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845" w:type="dxa"/>
            <w:shd w:val="clear" w:color="auto" w:fill="auto"/>
            <w:noWrap/>
            <w:vAlign w:val="center"/>
            <w:hideMark/>
          </w:tcPr>
          <w:p w:rsidR="004B2E88" w:rsidRPr="0070375B" w:rsidRDefault="00D22F20" w:rsidP="00971662">
            <w:pPr>
              <w:spacing w:after="0"/>
              <w:rPr>
                <w:rFonts w:ascii="Times New Roman" w:hAnsi="Times New Roman" w:cs="Times New Roman"/>
                <w:color w:val="000000"/>
                <w:sz w:val="20"/>
                <w:szCs w:val="20"/>
              </w:rPr>
            </w:pPr>
            <w:r w:rsidRPr="00D22F20">
              <w:rPr>
                <w:rFonts w:ascii="Times New Roman" w:hAnsi="Times New Roman" w:cs="Times New Roman"/>
                <w:color w:val="000000"/>
                <w:sz w:val="20"/>
                <w:szCs w:val="20"/>
              </w:rPr>
              <w:t>Rice</w:t>
            </w:r>
          </w:p>
        </w:tc>
      </w:tr>
      <w:tr w:rsidR="004B2E88" w:rsidRPr="00231910" w:rsidTr="00971662">
        <w:trPr>
          <w:trHeight w:val="259"/>
          <w:jc w:val="center"/>
        </w:trPr>
        <w:tc>
          <w:tcPr>
            <w:tcW w:w="180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26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190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845" w:type="dxa"/>
            <w:shd w:val="clear" w:color="auto" w:fill="auto"/>
            <w:noWrap/>
            <w:vAlign w:val="center"/>
            <w:hideMark/>
          </w:tcPr>
          <w:p w:rsidR="004B2E88" w:rsidRPr="0070375B" w:rsidRDefault="00D22F20" w:rsidP="00971662">
            <w:pPr>
              <w:spacing w:after="0"/>
              <w:rPr>
                <w:rFonts w:ascii="Times New Roman" w:hAnsi="Times New Roman" w:cs="Times New Roman"/>
                <w:color w:val="000000"/>
                <w:sz w:val="20"/>
                <w:szCs w:val="20"/>
              </w:rPr>
            </w:pPr>
            <w:r w:rsidRPr="00D22F20">
              <w:rPr>
                <w:rFonts w:ascii="Times New Roman" w:hAnsi="Times New Roman" w:cs="Times New Roman"/>
                <w:color w:val="000000"/>
                <w:sz w:val="20"/>
                <w:szCs w:val="20"/>
              </w:rPr>
              <w:t>Grains Not Elsewhere Classified</w:t>
            </w:r>
          </w:p>
        </w:tc>
      </w:tr>
      <w:tr w:rsidR="004B2E88" w:rsidRPr="00231910" w:rsidTr="00971662">
        <w:trPr>
          <w:trHeight w:val="259"/>
          <w:jc w:val="center"/>
        </w:trPr>
        <w:tc>
          <w:tcPr>
            <w:tcW w:w="180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26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190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845" w:type="dxa"/>
            <w:shd w:val="clear" w:color="auto" w:fill="auto"/>
            <w:noWrap/>
            <w:vAlign w:val="center"/>
            <w:hideMark/>
          </w:tcPr>
          <w:p w:rsidR="004B2E88" w:rsidRPr="003B45AD" w:rsidRDefault="00D22F20" w:rsidP="003B45AD">
            <w:pPr>
              <w:spacing w:after="0"/>
              <w:rPr>
                <w:rFonts w:ascii="Times New Roman" w:hAnsi="Times New Roman" w:cs="Times New Roman"/>
                <w:color w:val="000000"/>
                <w:sz w:val="20"/>
                <w:szCs w:val="20"/>
              </w:rPr>
            </w:pPr>
            <w:r w:rsidRPr="00D22F20">
              <w:rPr>
                <w:rFonts w:ascii="Times New Roman" w:hAnsi="Times New Roman" w:cs="Times New Roman"/>
                <w:color w:val="000000"/>
                <w:sz w:val="20"/>
                <w:szCs w:val="20"/>
              </w:rPr>
              <w:t xml:space="preserve">Oil </w:t>
            </w:r>
            <w:r w:rsidR="003B45AD">
              <w:rPr>
                <w:rFonts w:ascii="Times New Roman" w:hAnsi="Times New Roman" w:cs="Times New Roman"/>
                <w:color w:val="000000"/>
                <w:sz w:val="20"/>
                <w:szCs w:val="20"/>
              </w:rPr>
              <w:t>C</w:t>
            </w:r>
            <w:r w:rsidR="003B45AD" w:rsidRPr="003B45AD">
              <w:rPr>
                <w:rFonts w:ascii="Times New Roman" w:hAnsi="Times New Roman" w:cs="Times New Roman"/>
                <w:color w:val="000000"/>
                <w:sz w:val="20"/>
                <w:szCs w:val="20"/>
              </w:rPr>
              <w:t>rops</w:t>
            </w:r>
          </w:p>
        </w:tc>
      </w:tr>
      <w:tr w:rsidR="004B2E88" w:rsidRPr="00231910" w:rsidTr="00971662">
        <w:trPr>
          <w:trHeight w:val="259"/>
          <w:jc w:val="center"/>
        </w:trPr>
        <w:tc>
          <w:tcPr>
            <w:tcW w:w="180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26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190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845" w:type="dxa"/>
            <w:shd w:val="clear" w:color="auto" w:fill="auto"/>
            <w:noWrap/>
            <w:vAlign w:val="center"/>
            <w:hideMark/>
          </w:tcPr>
          <w:p w:rsidR="004B2E88" w:rsidRPr="0070375B" w:rsidRDefault="00D22F20" w:rsidP="00971662">
            <w:pPr>
              <w:spacing w:after="0"/>
              <w:rPr>
                <w:rFonts w:ascii="Times New Roman" w:hAnsi="Times New Roman" w:cs="Times New Roman"/>
                <w:color w:val="000000"/>
                <w:sz w:val="20"/>
                <w:szCs w:val="20"/>
              </w:rPr>
            </w:pPr>
            <w:r w:rsidRPr="00D22F20">
              <w:rPr>
                <w:rFonts w:ascii="Times New Roman" w:hAnsi="Times New Roman" w:cs="Times New Roman"/>
                <w:color w:val="000000"/>
                <w:sz w:val="20"/>
                <w:szCs w:val="20"/>
              </w:rPr>
              <w:t>Sugar</w:t>
            </w:r>
          </w:p>
        </w:tc>
      </w:tr>
      <w:tr w:rsidR="004B2E88" w:rsidRPr="00231910" w:rsidTr="00971662">
        <w:trPr>
          <w:trHeight w:val="259"/>
          <w:jc w:val="center"/>
        </w:trPr>
        <w:tc>
          <w:tcPr>
            <w:tcW w:w="180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26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4745" w:type="dxa"/>
            <w:gridSpan w:val="2"/>
            <w:shd w:val="clear" w:color="auto" w:fill="auto"/>
            <w:noWrap/>
            <w:vAlign w:val="center"/>
            <w:hideMark/>
          </w:tcPr>
          <w:p w:rsidR="004B2E88" w:rsidRPr="0070375B" w:rsidRDefault="00D22F20" w:rsidP="00971662">
            <w:pPr>
              <w:spacing w:after="0"/>
              <w:rPr>
                <w:rFonts w:ascii="Times New Roman" w:hAnsi="Times New Roman" w:cs="Times New Roman"/>
                <w:color w:val="000000"/>
                <w:sz w:val="20"/>
                <w:szCs w:val="20"/>
              </w:rPr>
            </w:pPr>
            <w:r w:rsidRPr="00D22F20">
              <w:rPr>
                <w:rFonts w:ascii="Times New Roman" w:hAnsi="Times New Roman" w:cs="Times New Roman"/>
                <w:color w:val="000000"/>
                <w:sz w:val="20"/>
                <w:szCs w:val="20"/>
              </w:rPr>
              <w:t>Energy Crops</w:t>
            </w:r>
          </w:p>
        </w:tc>
      </w:tr>
      <w:tr w:rsidR="004B2E88" w:rsidRPr="00231910" w:rsidTr="00971662">
        <w:trPr>
          <w:trHeight w:val="259"/>
          <w:jc w:val="center"/>
        </w:trPr>
        <w:tc>
          <w:tcPr>
            <w:tcW w:w="180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260" w:type="dxa"/>
            <w:vMerge/>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1900" w:type="dxa"/>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845" w:type="dxa"/>
            <w:shd w:val="clear" w:color="auto" w:fill="auto"/>
            <w:noWrap/>
            <w:vAlign w:val="center"/>
            <w:hideMark/>
          </w:tcPr>
          <w:p w:rsidR="004B2E88" w:rsidRPr="0070375B" w:rsidRDefault="00D22F20" w:rsidP="00971662">
            <w:pPr>
              <w:spacing w:after="0"/>
              <w:rPr>
                <w:rFonts w:ascii="Times New Roman" w:hAnsi="Times New Roman" w:cs="Times New Roman"/>
                <w:color w:val="000000"/>
                <w:sz w:val="20"/>
                <w:szCs w:val="20"/>
              </w:rPr>
            </w:pPr>
            <w:r w:rsidRPr="00D22F20">
              <w:rPr>
                <w:rFonts w:ascii="Times New Roman" w:hAnsi="Times New Roman" w:cs="Times New Roman"/>
                <w:color w:val="000000"/>
                <w:sz w:val="20"/>
                <w:szCs w:val="20"/>
              </w:rPr>
              <w:t>Sugar</w:t>
            </w:r>
          </w:p>
        </w:tc>
      </w:tr>
      <w:tr w:rsidR="004B2E88" w:rsidRPr="00231910" w:rsidTr="00971662">
        <w:trPr>
          <w:trHeight w:val="259"/>
          <w:jc w:val="center"/>
        </w:trPr>
        <w:tc>
          <w:tcPr>
            <w:tcW w:w="1800" w:type="dxa"/>
            <w:vMerge/>
            <w:tcBorders>
              <w:bottom w:val="single" w:sz="4" w:space="0" w:color="auto"/>
            </w:tcBorders>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260" w:type="dxa"/>
            <w:vMerge/>
            <w:tcBorders>
              <w:bottom w:val="single" w:sz="4" w:space="0" w:color="auto"/>
            </w:tcBorders>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1900" w:type="dxa"/>
            <w:tcBorders>
              <w:bottom w:val="single" w:sz="4" w:space="0" w:color="auto"/>
            </w:tcBorders>
            <w:shd w:val="clear" w:color="auto" w:fill="auto"/>
            <w:noWrap/>
            <w:vAlign w:val="center"/>
            <w:hideMark/>
          </w:tcPr>
          <w:p w:rsidR="004B2E88" w:rsidRPr="0070375B" w:rsidRDefault="00D22F20" w:rsidP="00971662">
            <w:pPr>
              <w:spacing w:after="0"/>
              <w:rPr>
                <w:rFonts w:ascii="Times New Roman" w:hAnsi="Times New Roman" w:cs="Times New Roman"/>
                <w:color w:val="000000"/>
                <w:sz w:val="20"/>
                <w:szCs w:val="20"/>
              </w:rPr>
            </w:pPr>
            <w:r w:rsidRPr="00D22F20">
              <w:rPr>
                <w:rFonts w:ascii="Times New Roman" w:hAnsi="Times New Roman" w:cs="Times New Roman"/>
                <w:color w:val="000000"/>
                <w:sz w:val="20"/>
                <w:szCs w:val="20"/>
              </w:rPr>
              <w:t>Energy Crops</w:t>
            </w:r>
          </w:p>
        </w:tc>
        <w:tc>
          <w:tcPr>
            <w:tcW w:w="2845" w:type="dxa"/>
            <w:tcBorders>
              <w:bottom w:val="single" w:sz="4" w:space="0" w:color="auto"/>
            </w:tcBorders>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r>
      <w:tr w:rsidR="004B2E88" w:rsidRPr="00231910" w:rsidTr="00971662">
        <w:trPr>
          <w:trHeight w:val="259"/>
          <w:jc w:val="center"/>
        </w:trPr>
        <w:tc>
          <w:tcPr>
            <w:tcW w:w="1800" w:type="dxa"/>
            <w:vMerge w:val="restart"/>
            <w:tcBorders>
              <w:top w:val="single" w:sz="4" w:space="0" w:color="auto"/>
              <w:bottom w:val="dashed" w:sz="4" w:space="0" w:color="auto"/>
            </w:tcBorders>
            <w:shd w:val="clear" w:color="auto" w:fill="auto"/>
            <w:noWrap/>
            <w:vAlign w:val="center"/>
            <w:hideMark/>
          </w:tcPr>
          <w:p w:rsidR="004B2E88" w:rsidRPr="0070375B" w:rsidRDefault="00D22F20" w:rsidP="00971662">
            <w:pPr>
              <w:spacing w:after="0"/>
              <w:rPr>
                <w:rFonts w:ascii="Times New Roman" w:hAnsi="Times New Roman" w:cs="Times New Roman"/>
                <w:color w:val="000000"/>
                <w:sz w:val="20"/>
                <w:szCs w:val="20"/>
              </w:rPr>
            </w:pPr>
            <w:r w:rsidRPr="00D22F20">
              <w:rPr>
                <w:rFonts w:ascii="Times New Roman" w:hAnsi="Times New Roman" w:cs="Times New Roman"/>
                <w:color w:val="000000"/>
                <w:sz w:val="20"/>
                <w:szCs w:val="20"/>
              </w:rPr>
              <w:t>Abandoned</w:t>
            </w:r>
          </w:p>
        </w:tc>
        <w:tc>
          <w:tcPr>
            <w:tcW w:w="2260" w:type="dxa"/>
            <w:tcBorders>
              <w:top w:val="single" w:sz="4" w:space="0" w:color="auto"/>
              <w:bottom w:val="dashed" w:sz="4" w:space="0" w:color="auto"/>
            </w:tcBorders>
            <w:shd w:val="clear" w:color="auto" w:fill="auto"/>
            <w:noWrap/>
            <w:vAlign w:val="center"/>
            <w:hideMark/>
          </w:tcPr>
          <w:p w:rsidR="004B2E88" w:rsidRPr="0070375B" w:rsidRDefault="00D22F20" w:rsidP="00971662">
            <w:pPr>
              <w:spacing w:after="0"/>
              <w:rPr>
                <w:rFonts w:ascii="Times New Roman" w:hAnsi="Times New Roman" w:cs="Times New Roman"/>
                <w:color w:val="000000"/>
                <w:sz w:val="20"/>
                <w:szCs w:val="20"/>
              </w:rPr>
            </w:pPr>
            <w:r w:rsidRPr="00D22F20">
              <w:rPr>
                <w:rFonts w:ascii="Times New Roman" w:hAnsi="Times New Roman" w:cs="Times New Roman"/>
                <w:color w:val="000000"/>
                <w:sz w:val="20"/>
                <w:szCs w:val="20"/>
              </w:rPr>
              <w:t>Formerly Forest</w:t>
            </w:r>
          </w:p>
        </w:tc>
        <w:tc>
          <w:tcPr>
            <w:tcW w:w="1900" w:type="dxa"/>
            <w:tcBorders>
              <w:top w:val="single" w:sz="4" w:space="0" w:color="auto"/>
              <w:bottom w:val="dashed" w:sz="4" w:space="0" w:color="auto"/>
            </w:tcBorders>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c>
          <w:tcPr>
            <w:tcW w:w="2845" w:type="dxa"/>
            <w:tcBorders>
              <w:top w:val="single" w:sz="4" w:space="0" w:color="auto"/>
              <w:bottom w:val="dashed" w:sz="4" w:space="0" w:color="auto"/>
            </w:tcBorders>
            <w:shd w:val="clear" w:color="auto" w:fill="auto"/>
            <w:noWrap/>
            <w:vAlign w:val="center"/>
            <w:hideMark/>
          </w:tcPr>
          <w:p w:rsidR="004B2E88" w:rsidRPr="0070375B" w:rsidRDefault="004B2E88" w:rsidP="00971662">
            <w:pPr>
              <w:spacing w:after="0"/>
              <w:rPr>
                <w:rFonts w:ascii="Times New Roman" w:hAnsi="Times New Roman" w:cs="Times New Roman"/>
                <w:color w:val="000000"/>
                <w:sz w:val="20"/>
                <w:szCs w:val="20"/>
              </w:rPr>
            </w:pPr>
          </w:p>
        </w:tc>
      </w:tr>
      <w:tr w:rsidR="004B2E88" w:rsidRPr="00231910" w:rsidTr="00971662">
        <w:trPr>
          <w:trHeight w:val="259"/>
          <w:jc w:val="center"/>
        </w:trPr>
        <w:tc>
          <w:tcPr>
            <w:tcW w:w="1800" w:type="dxa"/>
            <w:vMerge/>
            <w:tcBorders>
              <w:top w:val="dashed" w:sz="4" w:space="0" w:color="auto"/>
              <w:bottom w:val="single" w:sz="4" w:space="0" w:color="auto"/>
            </w:tcBorders>
            <w:shd w:val="clear" w:color="auto" w:fill="auto"/>
            <w:noWrap/>
            <w:vAlign w:val="center"/>
            <w:hideMark/>
          </w:tcPr>
          <w:p w:rsidR="004B2E88" w:rsidRPr="0070375B" w:rsidRDefault="004B2E88" w:rsidP="00971662">
            <w:pPr>
              <w:spacing w:after="0"/>
              <w:rPr>
                <w:rFonts w:ascii="Times New Roman" w:hAnsi="Times New Roman" w:cs="Times New Roman"/>
                <w:b/>
                <w:color w:val="000000"/>
                <w:sz w:val="20"/>
                <w:szCs w:val="20"/>
              </w:rPr>
            </w:pPr>
          </w:p>
        </w:tc>
        <w:tc>
          <w:tcPr>
            <w:tcW w:w="2260" w:type="dxa"/>
            <w:tcBorders>
              <w:top w:val="dashed" w:sz="4" w:space="0" w:color="auto"/>
              <w:bottom w:val="single" w:sz="4" w:space="0" w:color="auto"/>
            </w:tcBorders>
            <w:shd w:val="clear" w:color="auto" w:fill="auto"/>
            <w:noWrap/>
            <w:vAlign w:val="center"/>
            <w:hideMark/>
          </w:tcPr>
          <w:p w:rsidR="004B2E88" w:rsidRPr="0070375B" w:rsidRDefault="00D22F20" w:rsidP="00971662">
            <w:pPr>
              <w:spacing w:after="0"/>
              <w:rPr>
                <w:rFonts w:ascii="Times New Roman" w:hAnsi="Times New Roman" w:cs="Times New Roman"/>
                <w:color w:val="000000"/>
                <w:sz w:val="20"/>
                <w:szCs w:val="20"/>
              </w:rPr>
            </w:pPr>
            <w:r w:rsidRPr="00D22F20">
              <w:rPr>
                <w:rFonts w:ascii="Times New Roman" w:hAnsi="Times New Roman" w:cs="Times New Roman"/>
                <w:color w:val="000000"/>
                <w:sz w:val="20"/>
                <w:szCs w:val="20"/>
              </w:rPr>
              <w:t>Formerly Pasture</w:t>
            </w:r>
          </w:p>
        </w:tc>
        <w:tc>
          <w:tcPr>
            <w:tcW w:w="1900" w:type="dxa"/>
            <w:tcBorders>
              <w:top w:val="dashed" w:sz="4" w:space="0" w:color="auto"/>
              <w:bottom w:val="single" w:sz="4" w:space="0" w:color="auto"/>
            </w:tcBorders>
            <w:shd w:val="clear" w:color="auto" w:fill="auto"/>
            <w:noWrap/>
            <w:vAlign w:val="center"/>
            <w:hideMark/>
          </w:tcPr>
          <w:p w:rsidR="004B2E88" w:rsidRPr="0070375B" w:rsidRDefault="004B2E88" w:rsidP="00971662">
            <w:pPr>
              <w:spacing w:after="0"/>
              <w:rPr>
                <w:rFonts w:ascii="Times New Roman" w:hAnsi="Times New Roman" w:cs="Times New Roman"/>
                <w:b/>
                <w:color w:val="000000"/>
                <w:sz w:val="20"/>
                <w:szCs w:val="20"/>
              </w:rPr>
            </w:pPr>
          </w:p>
        </w:tc>
        <w:tc>
          <w:tcPr>
            <w:tcW w:w="2845" w:type="dxa"/>
            <w:tcBorders>
              <w:top w:val="dashed" w:sz="4" w:space="0" w:color="auto"/>
              <w:bottom w:val="single" w:sz="4" w:space="0" w:color="auto"/>
            </w:tcBorders>
            <w:shd w:val="clear" w:color="auto" w:fill="auto"/>
            <w:noWrap/>
            <w:vAlign w:val="center"/>
            <w:hideMark/>
          </w:tcPr>
          <w:p w:rsidR="004B2E88" w:rsidRPr="0070375B" w:rsidRDefault="004B2E88" w:rsidP="00971662">
            <w:pPr>
              <w:spacing w:after="0"/>
              <w:rPr>
                <w:rFonts w:ascii="Times New Roman" w:hAnsi="Times New Roman" w:cs="Times New Roman"/>
                <w:b/>
                <w:color w:val="000000"/>
                <w:sz w:val="20"/>
                <w:szCs w:val="20"/>
              </w:rPr>
            </w:pPr>
          </w:p>
        </w:tc>
      </w:tr>
    </w:tbl>
    <w:p w:rsidR="004B2E88" w:rsidRPr="00231910" w:rsidRDefault="004B2E88" w:rsidP="004B2E88">
      <w:pPr>
        <w:spacing w:after="0"/>
        <w:ind w:firstLine="450"/>
        <w:rPr>
          <w:rFonts w:ascii="Times New Roman" w:hAnsi="Times New Roman" w:cs="Times New Roman"/>
          <w:bCs/>
          <w:sz w:val="22"/>
          <w:szCs w:val="22"/>
        </w:rPr>
      </w:pPr>
    </w:p>
    <w:p w:rsidR="004B2E88" w:rsidRDefault="004D78C7" w:rsidP="004B2E88">
      <w:pPr>
        <w:spacing w:after="0"/>
        <w:ind w:firstLine="450"/>
        <w:rPr>
          <w:rFonts w:ascii="Times New Roman" w:hAnsi="Times New Roman" w:cs="Times New Roman"/>
          <w:bCs/>
          <w:sz w:val="22"/>
          <w:szCs w:val="22"/>
        </w:rPr>
      </w:pPr>
      <w:r>
        <w:rPr>
          <w:rFonts w:ascii="Times New Roman" w:hAnsi="Times New Roman" w:cs="Times New Roman"/>
          <w:bCs/>
          <w:noProof/>
          <w:sz w:val="22"/>
          <w:szCs w:val="22"/>
        </w:rPr>
        <w:lastRenderedPageBreak/>
        <w:drawing>
          <wp:inline distT="0" distB="0" distL="0" distR="0">
            <wp:extent cx="5495925" cy="34004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22F20" w:rsidRDefault="00D22F20" w:rsidP="00D22F20">
      <w:pPr>
        <w:spacing w:after="0"/>
        <w:ind w:firstLine="450"/>
        <w:rPr>
          <w:rFonts w:ascii="Times New Roman" w:hAnsi="Times New Roman" w:cs="Times New Roman"/>
          <w:bCs/>
          <w:sz w:val="20"/>
          <w:szCs w:val="20"/>
        </w:rPr>
      </w:pPr>
      <w:r w:rsidRPr="00D22F20">
        <w:rPr>
          <w:rFonts w:ascii="Times New Roman" w:hAnsi="Times New Roman" w:cs="Times New Roman"/>
          <w:b/>
          <w:bCs/>
          <w:sz w:val="20"/>
          <w:szCs w:val="20"/>
        </w:rPr>
        <w:t>Figure S2</w:t>
      </w:r>
      <w:r w:rsidR="00BC510A">
        <w:rPr>
          <w:rFonts w:ascii="Times New Roman" w:hAnsi="Times New Roman" w:cs="Times New Roman"/>
          <w:bCs/>
          <w:sz w:val="20"/>
          <w:szCs w:val="20"/>
        </w:rPr>
        <w:t>.</w:t>
      </w:r>
      <w:r w:rsidR="004B2E88" w:rsidRPr="00BC510A">
        <w:rPr>
          <w:rFonts w:ascii="Times New Roman" w:hAnsi="Times New Roman" w:cs="Times New Roman"/>
          <w:bCs/>
          <w:sz w:val="20"/>
          <w:szCs w:val="20"/>
        </w:rPr>
        <w:t xml:space="preserve"> Initial land stocks </w:t>
      </w:r>
      <w:r w:rsidR="00732824">
        <w:rPr>
          <w:rFonts w:ascii="Times New Roman" w:hAnsi="Times New Roman" w:cs="Times New Roman"/>
          <w:bCs/>
          <w:sz w:val="20"/>
          <w:szCs w:val="20"/>
        </w:rPr>
        <w:t>i</w:t>
      </w:r>
      <w:r w:rsidR="00732824" w:rsidRPr="00BC510A">
        <w:rPr>
          <w:rFonts w:ascii="Times New Roman" w:hAnsi="Times New Roman" w:cs="Times New Roman"/>
          <w:bCs/>
          <w:sz w:val="20"/>
          <w:szCs w:val="20"/>
        </w:rPr>
        <w:t xml:space="preserve">n </w:t>
      </w:r>
      <w:r w:rsidR="004B2E88" w:rsidRPr="00BC510A">
        <w:rPr>
          <w:rFonts w:ascii="Times New Roman" w:hAnsi="Times New Roman" w:cs="Times New Roman"/>
          <w:bCs/>
          <w:sz w:val="20"/>
          <w:szCs w:val="20"/>
        </w:rPr>
        <w:t>1991.</w:t>
      </w:r>
    </w:p>
    <w:p w:rsidR="004B2E88" w:rsidRPr="00231910" w:rsidRDefault="004B2E88" w:rsidP="004B2E88">
      <w:pPr>
        <w:spacing w:after="0"/>
        <w:ind w:firstLine="450"/>
        <w:rPr>
          <w:rFonts w:ascii="Times New Roman" w:hAnsi="Times New Roman" w:cs="Times New Roman"/>
          <w:bCs/>
          <w:sz w:val="22"/>
          <w:szCs w:val="22"/>
        </w:rPr>
      </w:pPr>
    </w:p>
    <w:p w:rsidR="00175C21" w:rsidRPr="00231910" w:rsidRDefault="00175C21" w:rsidP="00175C21">
      <w:pPr>
        <w:spacing w:after="0"/>
        <w:rPr>
          <w:rFonts w:ascii="Times New Roman" w:hAnsi="Times New Roman" w:cs="Times New Roman"/>
          <w:bCs/>
          <w:sz w:val="22"/>
          <w:szCs w:val="22"/>
        </w:rPr>
      </w:pPr>
      <w:r w:rsidRPr="00231910">
        <w:rPr>
          <w:rFonts w:ascii="Times New Roman" w:hAnsi="Times New Roman" w:cs="Times New Roman"/>
          <w:bCs/>
          <w:sz w:val="22"/>
          <w:szCs w:val="22"/>
        </w:rPr>
        <w:t>In the model, cropland and pastureland taken out of production will revert back to either forest or pasture</w:t>
      </w:r>
      <w:r>
        <w:rPr>
          <w:rFonts w:ascii="Times New Roman" w:hAnsi="Times New Roman" w:cs="Times New Roman"/>
          <w:bCs/>
          <w:sz w:val="22"/>
          <w:szCs w:val="22"/>
        </w:rPr>
        <w:t>land</w:t>
      </w:r>
      <w:r w:rsidRPr="00231910">
        <w:rPr>
          <w:rFonts w:ascii="Times New Roman" w:hAnsi="Times New Roman" w:cs="Times New Roman"/>
          <w:bCs/>
          <w:sz w:val="22"/>
          <w:szCs w:val="22"/>
        </w:rPr>
        <w:t xml:space="preserve">, depending on local climate. </w:t>
      </w:r>
      <w:r w:rsidR="004D78C7">
        <w:rPr>
          <w:rFonts w:ascii="Times New Roman" w:hAnsi="Times New Roman" w:cs="Times New Roman"/>
          <w:bCs/>
          <w:sz w:val="22"/>
          <w:szCs w:val="22"/>
        </w:rPr>
        <w:t>The percentage of cropland and p</w:t>
      </w:r>
      <w:r w:rsidRPr="00231910">
        <w:rPr>
          <w:rFonts w:ascii="Times New Roman" w:hAnsi="Times New Roman" w:cs="Times New Roman"/>
          <w:bCs/>
          <w:sz w:val="22"/>
          <w:szCs w:val="22"/>
        </w:rPr>
        <w:t xml:space="preserve">astureland that reverts to forest or pasture remains constant throughout the duration of the study period and is derived from global and North American estimates discussed in Cha </w:t>
      </w:r>
      <w:r w:rsidR="003B45AD">
        <w:rPr>
          <w:rFonts w:ascii="Times New Roman" w:hAnsi="Times New Roman" w:cs="Times New Roman"/>
          <w:bCs/>
          <w:sz w:val="22"/>
          <w:szCs w:val="22"/>
        </w:rPr>
        <w:t>(</w:t>
      </w:r>
      <w:r w:rsidRPr="00231910">
        <w:rPr>
          <w:rFonts w:ascii="Times New Roman" w:hAnsi="Times New Roman" w:cs="Times New Roman"/>
          <w:bCs/>
          <w:sz w:val="22"/>
          <w:szCs w:val="22"/>
        </w:rPr>
        <w:t>1997</w:t>
      </w:r>
      <w:r w:rsidR="003B45AD">
        <w:rPr>
          <w:rFonts w:ascii="Times New Roman" w:hAnsi="Times New Roman" w:cs="Times New Roman"/>
          <w:bCs/>
          <w:sz w:val="22"/>
          <w:szCs w:val="22"/>
        </w:rPr>
        <w:t>)</w:t>
      </w:r>
      <w:r w:rsidRPr="00231910">
        <w:rPr>
          <w:rFonts w:ascii="Times New Roman" w:hAnsi="Times New Roman" w:cs="Times New Roman"/>
          <w:bCs/>
          <w:sz w:val="22"/>
          <w:szCs w:val="22"/>
        </w:rPr>
        <w:t xml:space="preserve">. </w:t>
      </w:r>
      <w:r w:rsidR="00AC2F14">
        <w:rPr>
          <w:rFonts w:ascii="Times New Roman" w:hAnsi="Times New Roman" w:cs="Times New Roman"/>
          <w:bCs/>
          <w:sz w:val="22"/>
          <w:szCs w:val="22"/>
        </w:rPr>
        <w:t>The real-world process of</w:t>
      </w:r>
      <w:r w:rsidR="00AC2F14" w:rsidRPr="00231910">
        <w:rPr>
          <w:rFonts w:ascii="Times New Roman" w:hAnsi="Times New Roman" w:cs="Times New Roman"/>
          <w:bCs/>
          <w:sz w:val="22"/>
          <w:szCs w:val="22"/>
        </w:rPr>
        <w:t xml:space="preserve"> land reverting to forest and/or pasture </w:t>
      </w:r>
      <w:r w:rsidR="00AC2F14">
        <w:rPr>
          <w:rFonts w:ascii="Times New Roman" w:hAnsi="Times New Roman" w:cs="Times New Roman"/>
          <w:bCs/>
          <w:sz w:val="22"/>
          <w:szCs w:val="22"/>
        </w:rPr>
        <w:t>would</w:t>
      </w:r>
      <w:r w:rsidR="00AC2F14" w:rsidRPr="00231910">
        <w:rPr>
          <w:rFonts w:ascii="Times New Roman" w:hAnsi="Times New Roman" w:cs="Times New Roman"/>
          <w:bCs/>
          <w:sz w:val="22"/>
          <w:szCs w:val="22"/>
        </w:rPr>
        <w:t xml:space="preserve"> not return </w:t>
      </w:r>
      <w:r w:rsidR="00AC2F14">
        <w:rPr>
          <w:rFonts w:ascii="Times New Roman" w:hAnsi="Times New Roman" w:cs="Times New Roman"/>
          <w:bCs/>
          <w:sz w:val="22"/>
          <w:szCs w:val="22"/>
        </w:rPr>
        <w:t xml:space="preserve">land </w:t>
      </w:r>
      <w:r w:rsidR="00AC2F14" w:rsidRPr="00231910">
        <w:rPr>
          <w:rFonts w:ascii="Times New Roman" w:hAnsi="Times New Roman" w:cs="Times New Roman"/>
          <w:bCs/>
          <w:sz w:val="22"/>
          <w:szCs w:val="22"/>
        </w:rPr>
        <w:t>to the exact characteristics of the prior land category</w:t>
      </w:r>
      <w:r w:rsidR="00AC2F14">
        <w:rPr>
          <w:rFonts w:ascii="Times New Roman" w:hAnsi="Times New Roman" w:cs="Times New Roman"/>
          <w:bCs/>
          <w:sz w:val="22"/>
          <w:szCs w:val="22"/>
        </w:rPr>
        <w:t xml:space="preserve">. </w:t>
      </w:r>
      <w:r w:rsidR="00D85A9F">
        <w:rPr>
          <w:rFonts w:ascii="Times New Roman" w:hAnsi="Times New Roman" w:cs="Times New Roman"/>
          <w:bCs/>
          <w:sz w:val="22"/>
          <w:szCs w:val="22"/>
        </w:rPr>
        <w:t>T</w:t>
      </w:r>
      <w:r w:rsidRPr="00231910">
        <w:rPr>
          <w:rFonts w:ascii="Times New Roman" w:hAnsi="Times New Roman" w:cs="Times New Roman"/>
          <w:bCs/>
          <w:sz w:val="22"/>
          <w:szCs w:val="22"/>
        </w:rPr>
        <w:t>he longer-term effects of land conversion, abandonment</w:t>
      </w:r>
      <w:r>
        <w:rPr>
          <w:rFonts w:ascii="Times New Roman" w:hAnsi="Times New Roman" w:cs="Times New Roman"/>
          <w:bCs/>
          <w:sz w:val="22"/>
          <w:szCs w:val="22"/>
        </w:rPr>
        <w:t>,</w:t>
      </w:r>
      <w:r w:rsidRPr="00231910">
        <w:rPr>
          <w:rFonts w:ascii="Times New Roman" w:hAnsi="Times New Roman" w:cs="Times New Roman"/>
          <w:bCs/>
          <w:sz w:val="22"/>
          <w:szCs w:val="22"/>
        </w:rPr>
        <w:t xml:space="preserve"> and reversion are outside the dynamics of th</w:t>
      </w:r>
      <w:r>
        <w:rPr>
          <w:rFonts w:ascii="Times New Roman" w:hAnsi="Times New Roman" w:cs="Times New Roman"/>
          <w:bCs/>
          <w:sz w:val="22"/>
          <w:szCs w:val="22"/>
        </w:rPr>
        <w:t xml:space="preserve">is </w:t>
      </w:r>
      <w:r w:rsidRPr="00231910">
        <w:rPr>
          <w:rFonts w:ascii="Times New Roman" w:hAnsi="Times New Roman" w:cs="Times New Roman"/>
          <w:bCs/>
          <w:sz w:val="22"/>
          <w:szCs w:val="22"/>
        </w:rPr>
        <w:t xml:space="preserve">model, even though they could lead to long-term changes in biodiversity and soil structure. </w:t>
      </w:r>
      <w:r w:rsidRPr="00231910">
        <w:rPr>
          <w:rFonts w:ascii="Times New Roman" w:hAnsi="Times New Roman" w:cs="Times New Roman"/>
          <w:sz w:val="22"/>
          <w:szCs w:val="22"/>
        </w:rPr>
        <w:t>Data on deforestation and forest carbon stocks are from the FAO Forest Resource Assessment (FAO 2010</w:t>
      </w:r>
      <w:r w:rsidR="004D78C7">
        <w:rPr>
          <w:rFonts w:ascii="Times New Roman" w:hAnsi="Times New Roman" w:cs="Times New Roman"/>
          <w:sz w:val="22"/>
          <w:szCs w:val="22"/>
        </w:rPr>
        <w:t>a</w:t>
      </w:r>
      <w:r w:rsidRPr="00231910">
        <w:rPr>
          <w:rFonts w:ascii="Times New Roman" w:hAnsi="Times New Roman" w:cs="Times New Roman"/>
          <w:sz w:val="22"/>
          <w:szCs w:val="22"/>
        </w:rPr>
        <w:t>).</w:t>
      </w:r>
      <w:r w:rsidR="000E15CC">
        <w:rPr>
          <w:rFonts w:ascii="Times New Roman" w:hAnsi="Times New Roman" w:cs="Times New Roman"/>
          <w:sz w:val="22"/>
          <w:szCs w:val="22"/>
        </w:rPr>
        <w:t xml:space="preserve"> T</w:t>
      </w:r>
      <w:r w:rsidR="000E15CC" w:rsidRPr="000E15CC">
        <w:rPr>
          <w:rFonts w:ascii="Times New Roman" w:hAnsi="Times New Roman" w:cs="Times New Roman"/>
          <w:sz w:val="22"/>
          <w:szCs w:val="22"/>
        </w:rPr>
        <w:t xml:space="preserve">he details of </w:t>
      </w:r>
      <w:r w:rsidR="00395504">
        <w:rPr>
          <w:rFonts w:ascii="Times New Roman" w:hAnsi="Times New Roman" w:cs="Times New Roman"/>
          <w:sz w:val="22"/>
          <w:szCs w:val="22"/>
        </w:rPr>
        <w:t xml:space="preserve">future </w:t>
      </w:r>
      <w:r w:rsidR="000E15CC" w:rsidRPr="000E15CC">
        <w:rPr>
          <w:rFonts w:ascii="Times New Roman" w:hAnsi="Times New Roman" w:cs="Times New Roman"/>
          <w:sz w:val="22"/>
          <w:szCs w:val="22"/>
        </w:rPr>
        <w:t>forest management practices are b</w:t>
      </w:r>
      <w:r w:rsidR="00395504">
        <w:rPr>
          <w:rFonts w:ascii="Times New Roman" w:hAnsi="Times New Roman" w:cs="Times New Roman"/>
          <w:sz w:val="22"/>
          <w:szCs w:val="22"/>
        </w:rPr>
        <w:t xml:space="preserve">elow the resolution of </w:t>
      </w:r>
      <w:proofErr w:type="spellStart"/>
      <w:r w:rsidR="00395504">
        <w:rPr>
          <w:rFonts w:ascii="Times New Roman" w:hAnsi="Times New Roman" w:cs="Times New Roman"/>
          <w:sz w:val="22"/>
          <w:szCs w:val="22"/>
        </w:rPr>
        <w:t>BioLUC</w:t>
      </w:r>
      <w:proofErr w:type="spellEnd"/>
      <w:r w:rsidR="000E15CC" w:rsidRPr="000E15CC">
        <w:rPr>
          <w:rFonts w:ascii="Times New Roman" w:hAnsi="Times New Roman" w:cs="Times New Roman"/>
          <w:sz w:val="22"/>
          <w:szCs w:val="22"/>
        </w:rPr>
        <w:t>.</w:t>
      </w:r>
    </w:p>
    <w:p w:rsidR="00175C21" w:rsidRDefault="00175C21" w:rsidP="00231910">
      <w:pPr>
        <w:spacing w:after="0"/>
        <w:rPr>
          <w:rFonts w:ascii="Times New Roman" w:hAnsi="Times New Roman"/>
          <w:sz w:val="22"/>
        </w:rPr>
      </w:pPr>
    </w:p>
    <w:p w:rsidR="00596499" w:rsidRDefault="00E23EA5" w:rsidP="00231910">
      <w:pPr>
        <w:spacing w:after="0"/>
        <w:rPr>
          <w:rFonts w:ascii="Times New Roman" w:hAnsi="Times New Roman" w:cs="Times New Roman"/>
          <w:bCs/>
          <w:sz w:val="22"/>
          <w:szCs w:val="22"/>
        </w:rPr>
      </w:pPr>
      <w:r w:rsidRPr="00231910">
        <w:rPr>
          <w:rFonts w:ascii="Times New Roman" w:hAnsi="Times New Roman" w:cs="Times New Roman"/>
          <w:bCs/>
          <w:sz w:val="22"/>
          <w:szCs w:val="22"/>
        </w:rPr>
        <w:t xml:space="preserve">FAOSTAT </w:t>
      </w:r>
      <w:r w:rsidR="00D85A9F">
        <w:rPr>
          <w:rFonts w:ascii="Times New Roman" w:hAnsi="Times New Roman" w:cs="Times New Roman"/>
          <w:bCs/>
          <w:sz w:val="22"/>
          <w:szCs w:val="22"/>
        </w:rPr>
        <w:t>(2010</w:t>
      </w:r>
      <w:r w:rsidR="004D78C7">
        <w:rPr>
          <w:rFonts w:ascii="Times New Roman" w:hAnsi="Times New Roman" w:cs="Times New Roman"/>
          <w:bCs/>
          <w:sz w:val="22"/>
          <w:szCs w:val="22"/>
        </w:rPr>
        <w:t>b</w:t>
      </w:r>
      <w:r w:rsidR="00D85A9F">
        <w:rPr>
          <w:rFonts w:ascii="Times New Roman" w:hAnsi="Times New Roman" w:cs="Times New Roman"/>
          <w:bCs/>
          <w:sz w:val="22"/>
          <w:szCs w:val="22"/>
        </w:rPr>
        <w:t xml:space="preserve">) </w:t>
      </w:r>
      <w:r w:rsidRPr="00231910">
        <w:rPr>
          <w:rFonts w:ascii="Times New Roman" w:hAnsi="Times New Roman" w:cs="Times New Roman"/>
          <w:bCs/>
          <w:sz w:val="22"/>
          <w:szCs w:val="22"/>
        </w:rPr>
        <w:t xml:space="preserve">datasets </w:t>
      </w:r>
      <w:r w:rsidR="00DC3ACA">
        <w:rPr>
          <w:rFonts w:ascii="Times New Roman" w:hAnsi="Times New Roman" w:cs="Times New Roman"/>
          <w:bCs/>
          <w:sz w:val="22"/>
          <w:szCs w:val="22"/>
        </w:rPr>
        <w:t>are</w:t>
      </w:r>
      <w:r w:rsidR="00DC3ACA" w:rsidRPr="00231910">
        <w:rPr>
          <w:rFonts w:ascii="Times New Roman" w:hAnsi="Times New Roman" w:cs="Times New Roman"/>
          <w:bCs/>
          <w:sz w:val="22"/>
          <w:szCs w:val="22"/>
        </w:rPr>
        <w:t xml:space="preserve"> </w:t>
      </w:r>
      <w:r w:rsidRPr="00231910">
        <w:rPr>
          <w:rFonts w:ascii="Times New Roman" w:hAnsi="Times New Roman" w:cs="Times New Roman"/>
          <w:bCs/>
          <w:sz w:val="22"/>
          <w:szCs w:val="22"/>
        </w:rPr>
        <w:t xml:space="preserve">used to populate most SD model variables </w:t>
      </w:r>
      <w:r w:rsidR="00596499">
        <w:rPr>
          <w:rFonts w:ascii="Times New Roman" w:hAnsi="Times New Roman" w:cs="Times New Roman"/>
          <w:bCs/>
          <w:sz w:val="22"/>
          <w:szCs w:val="22"/>
        </w:rPr>
        <w:t>up to the present</w:t>
      </w:r>
      <w:r w:rsidR="00005821">
        <w:rPr>
          <w:rFonts w:ascii="Times New Roman" w:hAnsi="Times New Roman" w:cs="Times New Roman"/>
          <w:bCs/>
          <w:sz w:val="22"/>
          <w:szCs w:val="22"/>
        </w:rPr>
        <w:t>; they are</w:t>
      </w:r>
      <w:r w:rsidR="00596499">
        <w:rPr>
          <w:rFonts w:ascii="Times New Roman" w:hAnsi="Times New Roman" w:cs="Times New Roman"/>
          <w:bCs/>
          <w:sz w:val="22"/>
          <w:szCs w:val="22"/>
        </w:rPr>
        <w:t xml:space="preserve"> </w:t>
      </w:r>
      <w:r w:rsidRPr="00231910">
        <w:rPr>
          <w:rFonts w:ascii="Times New Roman" w:hAnsi="Times New Roman" w:cs="Times New Roman"/>
          <w:bCs/>
          <w:sz w:val="22"/>
          <w:szCs w:val="22"/>
        </w:rPr>
        <w:t xml:space="preserve">based on statistics for area harvested, production quantity, and biomass yields through 2010. </w:t>
      </w:r>
      <w:r w:rsidR="00057014" w:rsidRPr="00152EA4">
        <w:rPr>
          <w:rFonts w:ascii="Times New Roman" w:hAnsi="Times New Roman" w:cs="Times New Roman"/>
          <w:bCs/>
          <w:sz w:val="22"/>
          <w:szCs w:val="22"/>
        </w:rPr>
        <w:t>Crop data were aggregated into eight crop categories</w:t>
      </w:r>
      <w:r w:rsidR="00005821">
        <w:rPr>
          <w:rFonts w:ascii="Times New Roman" w:hAnsi="Times New Roman" w:cs="Times New Roman"/>
          <w:bCs/>
          <w:sz w:val="22"/>
          <w:szCs w:val="22"/>
        </w:rPr>
        <w:t>,</w:t>
      </w:r>
      <w:r w:rsidR="00057014" w:rsidRPr="00152EA4">
        <w:rPr>
          <w:rFonts w:ascii="Times New Roman" w:hAnsi="Times New Roman" w:cs="Times New Roman"/>
          <w:bCs/>
          <w:sz w:val="22"/>
          <w:szCs w:val="22"/>
        </w:rPr>
        <w:t xml:space="preserve"> plus an “other crop” category</w:t>
      </w:r>
      <w:r w:rsidR="00AC2F14">
        <w:rPr>
          <w:rFonts w:ascii="Times New Roman" w:hAnsi="Times New Roman" w:cs="Times New Roman"/>
          <w:bCs/>
          <w:sz w:val="22"/>
          <w:szCs w:val="22"/>
        </w:rPr>
        <w:t>, which is</w:t>
      </w:r>
      <w:r w:rsidR="00596499">
        <w:rPr>
          <w:rFonts w:ascii="Times New Roman" w:hAnsi="Times New Roman" w:cs="Times New Roman"/>
          <w:bCs/>
          <w:sz w:val="22"/>
          <w:szCs w:val="22"/>
        </w:rPr>
        <w:t xml:space="preserve"> only used as a catch</w:t>
      </w:r>
      <w:r w:rsidR="00AC2F14">
        <w:rPr>
          <w:rFonts w:ascii="Times New Roman" w:hAnsi="Times New Roman" w:cs="Times New Roman"/>
          <w:bCs/>
          <w:sz w:val="22"/>
          <w:szCs w:val="22"/>
        </w:rPr>
        <w:t>-</w:t>
      </w:r>
      <w:r w:rsidR="00596499">
        <w:rPr>
          <w:rFonts w:ascii="Times New Roman" w:hAnsi="Times New Roman" w:cs="Times New Roman"/>
          <w:bCs/>
          <w:sz w:val="22"/>
          <w:szCs w:val="22"/>
        </w:rPr>
        <w:t>all for many non-food agricultural products not relevant for this analysis</w:t>
      </w:r>
      <w:r w:rsidR="00057014" w:rsidRPr="00152EA4">
        <w:rPr>
          <w:rFonts w:ascii="Times New Roman" w:hAnsi="Times New Roman" w:cs="Times New Roman"/>
          <w:bCs/>
          <w:sz w:val="22"/>
          <w:szCs w:val="22"/>
        </w:rPr>
        <w:t xml:space="preserve">. In addition, any data that could cause double-counting of production quantity or area harvested was excluded, such as derivative byproducts of main commodity crops. For the US region, data were taken from the FAOSTAT </w:t>
      </w:r>
      <w:r w:rsidR="00D85A9F">
        <w:rPr>
          <w:rFonts w:ascii="Times New Roman" w:hAnsi="Times New Roman" w:cs="Times New Roman"/>
          <w:bCs/>
          <w:sz w:val="22"/>
          <w:szCs w:val="22"/>
        </w:rPr>
        <w:t xml:space="preserve">(2010a) </w:t>
      </w:r>
      <w:r w:rsidR="00C9441B">
        <w:rPr>
          <w:rFonts w:ascii="Times New Roman" w:hAnsi="Times New Roman" w:cs="Times New Roman"/>
          <w:bCs/>
          <w:sz w:val="22"/>
          <w:szCs w:val="22"/>
        </w:rPr>
        <w:t>US</w:t>
      </w:r>
      <w:r w:rsidR="00057014" w:rsidRPr="00152EA4">
        <w:rPr>
          <w:rFonts w:ascii="Times New Roman" w:hAnsi="Times New Roman" w:cs="Times New Roman"/>
          <w:bCs/>
          <w:sz w:val="22"/>
          <w:szCs w:val="22"/>
        </w:rPr>
        <w:t xml:space="preserve"> category. The ROW region data were calculated as the difference between FAO World and </w:t>
      </w:r>
      <w:r w:rsidR="00C9441B">
        <w:rPr>
          <w:rFonts w:ascii="Times New Roman" w:hAnsi="Times New Roman" w:cs="Times New Roman"/>
          <w:bCs/>
          <w:sz w:val="22"/>
          <w:szCs w:val="22"/>
        </w:rPr>
        <w:t>US</w:t>
      </w:r>
      <w:r w:rsidR="00057014" w:rsidRPr="00152EA4">
        <w:rPr>
          <w:rFonts w:ascii="Times New Roman" w:hAnsi="Times New Roman" w:cs="Times New Roman"/>
          <w:bCs/>
          <w:sz w:val="22"/>
          <w:szCs w:val="22"/>
        </w:rPr>
        <w:t xml:space="preserve"> categories. </w:t>
      </w:r>
    </w:p>
    <w:p w:rsidR="00596499" w:rsidRDefault="00596499" w:rsidP="00231910">
      <w:pPr>
        <w:spacing w:after="0"/>
        <w:rPr>
          <w:rFonts w:ascii="Times New Roman" w:hAnsi="Times New Roman" w:cs="Times New Roman"/>
          <w:bCs/>
          <w:sz w:val="22"/>
          <w:szCs w:val="22"/>
        </w:rPr>
      </w:pPr>
    </w:p>
    <w:p w:rsidR="00231910" w:rsidRDefault="00D85A9F" w:rsidP="00231910">
      <w:pPr>
        <w:spacing w:after="0"/>
        <w:rPr>
          <w:rFonts w:ascii="Times New Roman" w:hAnsi="Times New Roman" w:cs="Times New Roman"/>
          <w:bCs/>
          <w:sz w:val="22"/>
          <w:szCs w:val="22"/>
        </w:rPr>
      </w:pPr>
      <w:r>
        <w:rPr>
          <w:rFonts w:ascii="Times New Roman" w:hAnsi="Times New Roman" w:cs="Times New Roman"/>
          <w:bCs/>
          <w:sz w:val="22"/>
          <w:szCs w:val="22"/>
        </w:rPr>
        <w:t xml:space="preserve">Inputs to the model for commodity yields from FAOSTAT and </w:t>
      </w:r>
      <w:proofErr w:type="spellStart"/>
      <w:r>
        <w:rPr>
          <w:rFonts w:ascii="Times New Roman" w:hAnsi="Times New Roman" w:cs="Times New Roman"/>
          <w:bCs/>
          <w:sz w:val="22"/>
          <w:szCs w:val="22"/>
        </w:rPr>
        <w:t>Alexandratos</w:t>
      </w:r>
      <w:proofErr w:type="spellEnd"/>
      <w:r>
        <w:rPr>
          <w:rFonts w:ascii="Times New Roman" w:hAnsi="Times New Roman" w:cs="Times New Roman"/>
          <w:bCs/>
          <w:sz w:val="22"/>
          <w:szCs w:val="22"/>
        </w:rPr>
        <w:t xml:space="preserve"> an</w:t>
      </w:r>
      <w:r w:rsidR="00D8346F">
        <w:rPr>
          <w:rFonts w:ascii="Times New Roman" w:hAnsi="Times New Roman" w:cs="Times New Roman"/>
          <w:bCs/>
          <w:sz w:val="22"/>
          <w:szCs w:val="22"/>
        </w:rPr>
        <w:t xml:space="preserve">d </w:t>
      </w:r>
      <w:proofErr w:type="spellStart"/>
      <w:r w:rsidR="00D8346F">
        <w:rPr>
          <w:rFonts w:ascii="Times New Roman" w:hAnsi="Times New Roman" w:cs="Times New Roman"/>
          <w:bCs/>
          <w:sz w:val="22"/>
          <w:szCs w:val="22"/>
        </w:rPr>
        <w:t>Bruinsma</w:t>
      </w:r>
      <w:proofErr w:type="spellEnd"/>
      <w:r w:rsidR="00D8346F">
        <w:rPr>
          <w:rFonts w:ascii="Times New Roman" w:hAnsi="Times New Roman" w:cs="Times New Roman"/>
          <w:bCs/>
          <w:sz w:val="22"/>
          <w:szCs w:val="22"/>
        </w:rPr>
        <w:t xml:space="preserve"> (2012) are shown in t</w:t>
      </w:r>
      <w:r>
        <w:rPr>
          <w:rFonts w:ascii="Times New Roman" w:hAnsi="Times New Roman" w:cs="Times New Roman"/>
          <w:bCs/>
          <w:sz w:val="22"/>
          <w:szCs w:val="22"/>
        </w:rPr>
        <w:t>able S</w:t>
      </w:r>
      <w:r w:rsidR="00795B04">
        <w:rPr>
          <w:rFonts w:ascii="Times New Roman" w:hAnsi="Times New Roman" w:cs="Times New Roman"/>
          <w:bCs/>
          <w:sz w:val="22"/>
          <w:szCs w:val="22"/>
        </w:rPr>
        <w:t>2</w:t>
      </w:r>
      <w:r>
        <w:rPr>
          <w:rFonts w:ascii="Times New Roman" w:hAnsi="Times New Roman" w:cs="Times New Roman"/>
          <w:bCs/>
          <w:sz w:val="22"/>
          <w:szCs w:val="22"/>
        </w:rPr>
        <w:t xml:space="preserve">. </w:t>
      </w:r>
      <w:r w:rsidR="00E23EA5" w:rsidRPr="00231910">
        <w:rPr>
          <w:rFonts w:ascii="Times New Roman" w:hAnsi="Times New Roman" w:cs="Times New Roman"/>
          <w:bCs/>
          <w:sz w:val="22"/>
          <w:szCs w:val="22"/>
        </w:rPr>
        <w:t>To obtain yearly yield data we assume a linear trend for crop yields and interpolate between present yield</w:t>
      </w:r>
      <w:r w:rsidR="00596499">
        <w:rPr>
          <w:rFonts w:ascii="Times New Roman" w:hAnsi="Times New Roman" w:cs="Times New Roman"/>
          <w:bCs/>
          <w:sz w:val="22"/>
          <w:szCs w:val="22"/>
        </w:rPr>
        <w:t>s, 2030 yields, and 2050 yields</w:t>
      </w:r>
      <w:r w:rsidR="004D78C7">
        <w:rPr>
          <w:rFonts w:ascii="Times New Roman" w:hAnsi="Times New Roman" w:cs="Times New Roman"/>
          <w:bCs/>
          <w:sz w:val="22"/>
          <w:szCs w:val="22"/>
        </w:rPr>
        <w:t xml:space="preserve"> from</w:t>
      </w:r>
      <w:r w:rsidR="004D78C7" w:rsidRPr="004D78C7">
        <w:rPr>
          <w:rFonts w:ascii="Times New Roman" w:hAnsi="Times New Roman" w:cs="Times New Roman"/>
          <w:bCs/>
          <w:sz w:val="22"/>
          <w:szCs w:val="22"/>
        </w:rPr>
        <w:t xml:space="preserve"> </w:t>
      </w:r>
      <w:proofErr w:type="spellStart"/>
      <w:r w:rsidR="004D78C7">
        <w:rPr>
          <w:rFonts w:ascii="Times New Roman" w:hAnsi="Times New Roman" w:cs="Times New Roman"/>
          <w:bCs/>
          <w:sz w:val="22"/>
          <w:szCs w:val="22"/>
        </w:rPr>
        <w:t>from</w:t>
      </w:r>
      <w:proofErr w:type="spellEnd"/>
      <w:r w:rsidR="004D78C7">
        <w:rPr>
          <w:rFonts w:ascii="Times New Roman" w:hAnsi="Times New Roman" w:cs="Times New Roman"/>
          <w:bCs/>
          <w:sz w:val="22"/>
          <w:szCs w:val="22"/>
        </w:rPr>
        <w:t xml:space="preserve"> </w:t>
      </w:r>
      <w:proofErr w:type="spellStart"/>
      <w:r w:rsidR="004D78C7" w:rsidRPr="00231910">
        <w:rPr>
          <w:rFonts w:ascii="Times New Roman" w:hAnsi="Times New Roman" w:cs="Times New Roman"/>
          <w:bCs/>
          <w:sz w:val="22"/>
          <w:szCs w:val="22"/>
        </w:rPr>
        <w:t>Alexandratos</w:t>
      </w:r>
      <w:proofErr w:type="spellEnd"/>
      <w:r w:rsidR="004D78C7" w:rsidRPr="00231910">
        <w:rPr>
          <w:rFonts w:ascii="Times New Roman" w:hAnsi="Times New Roman" w:cs="Times New Roman"/>
          <w:bCs/>
          <w:sz w:val="22"/>
          <w:szCs w:val="22"/>
        </w:rPr>
        <w:t xml:space="preserve"> and </w:t>
      </w:r>
      <w:proofErr w:type="spellStart"/>
      <w:r w:rsidR="004D78C7" w:rsidRPr="00231910">
        <w:rPr>
          <w:rFonts w:ascii="Times New Roman" w:hAnsi="Times New Roman" w:cs="Times New Roman"/>
          <w:bCs/>
          <w:sz w:val="22"/>
          <w:szCs w:val="22"/>
        </w:rPr>
        <w:t>Bruinsma</w:t>
      </w:r>
      <w:proofErr w:type="spellEnd"/>
      <w:r w:rsidR="004D78C7" w:rsidRPr="00231910">
        <w:rPr>
          <w:rFonts w:ascii="Times New Roman" w:hAnsi="Times New Roman" w:cs="Times New Roman"/>
          <w:bCs/>
          <w:sz w:val="22"/>
          <w:szCs w:val="22"/>
        </w:rPr>
        <w:t xml:space="preserve"> (2012) for</w:t>
      </w:r>
      <w:r w:rsidR="004D78C7">
        <w:rPr>
          <w:rFonts w:ascii="Times New Roman" w:hAnsi="Times New Roman" w:cs="Times New Roman"/>
          <w:bCs/>
          <w:sz w:val="22"/>
          <w:szCs w:val="22"/>
        </w:rPr>
        <w:t xml:space="preserve"> the</w:t>
      </w:r>
      <w:r w:rsidR="004D78C7" w:rsidRPr="00231910">
        <w:rPr>
          <w:rFonts w:ascii="Times New Roman" w:hAnsi="Times New Roman" w:cs="Times New Roman"/>
          <w:bCs/>
          <w:sz w:val="22"/>
          <w:szCs w:val="22"/>
        </w:rPr>
        <w:t xml:space="preserve"> different crop categories for 2030 and 2050.</w:t>
      </w:r>
      <w:r w:rsidR="00FD5A5E">
        <w:rPr>
          <w:rFonts w:ascii="Times New Roman" w:hAnsi="Times New Roman" w:cs="Times New Roman"/>
          <w:bCs/>
          <w:sz w:val="22"/>
          <w:szCs w:val="22"/>
        </w:rPr>
        <w:t xml:space="preserve"> </w:t>
      </w:r>
      <w:r w:rsidR="00C00830">
        <w:rPr>
          <w:rFonts w:ascii="Times New Roman" w:hAnsi="Times New Roman" w:cs="Times New Roman"/>
          <w:bCs/>
          <w:sz w:val="22"/>
          <w:szCs w:val="22"/>
        </w:rPr>
        <w:t>Outside the indirect effects of the improvements in yields of these commodities, no meat specific yield improvements are assumed (e.g., land-use-intensification).</w:t>
      </w:r>
    </w:p>
    <w:p w:rsidR="00596499" w:rsidRDefault="00596499" w:rsidP="00231910">
      <w:pPr>
        <w:spacing w:after="0"/>
        <w:rPr>
          <w:rFonts w:ascii="Times New Roman" w:hAnsi="Times New Roman" w:cs="Times New Roman"/>
          <w:bCs/>
          <w:sz w:val="22"/>
          <w:szCs w:val="22"/>
        </w:rPr>
      </w:pPr>
    </w:p>
    <w:p w:rsidR="00596499" w:rsidRPr="00005821" w:rsidRDefault="00D22F20" w:rsidP="00596499">
      <w:pPr>
        <w:rPr>
          <w:rFonts w:ascii="Times New Roman" w:hAnsi="Times New Roman" w:cs="Times New Roman"/>
          <w:sz w:val="20"/>
          <w:szCs w:val="20"/>
        </w:rPr>
      </w:pPr>
      <w:r w:rsidRPr="00D22F20">
        <w:rPr>
          <w:rFonts w:ascii="Times New Roman" w:hAnsi="Times New Roman" w:cs="Times New Roman"/>
          <w:b/>
          <w:sz w:val="20"/>
          <w:szCs w:val="20"/>
        </w:rPr>
        <w:t>Table S2</w:t>
      </w:r>
      <w:r w:rsidR="00BC510A">
        <w:rPr>
          <w:rFonts w:ascii="Times New Roman" w:hAnsi="Times New Roman" w:cs="Times New Roman"/>
          <w:sz w:val="20"/>
          <w:szCs w:val="20"/>
        </w:rPr>
        <w:t>.</w:t>
      </w:r>
      <w:r w:rsidR="00596499" w:rsidRPr="00005821">
        <w:rPr>
          <w:rFonts w:ascii="Times New Roman" w:hAnsi="Times New Roman" w:cs="Times New Roman"/>
          <w:sz w:val="20"/>
          <w:szCs w:val="20"/>
        </w:rPr>
        <w:t xml:space="preserve"> Commodity yields used across all scenarios from 1991-2050 in Mg/harvested ha/year.</w:t>
      </w:r>
      <w:r w:rsidR="00FD5A5E" w:rsidRPr="00005821">
        <w:rPr>
          <w:rFonts w:ascii="Times New Roman" w:hAnsi="Times New Roman" w:cs="Times New Roman"/>
          <w:sz w:val="20"/>
          <w:szCs w:val="20"/>
        </w:rPr>
        <w:t xml:space="preserve"> </w:t>
      </w:r>
      <w:r w:rsidR="00A53780" w:rsidRPr="00005821">
        <w:rPr>
          <w:rFonts w:ascii="Times New Roman" w:hAnsi="Times New Roman" w:cs="Times New Roman"/>
          <w:sz w:val="20"/>
          <w:szCs w:val="20"/>
        </w:rPr>
        <w:t xml:space="preserve">These yields are used for used for both food commodities and </w:t>
      </w:r>
      <w:r w:rsidR="00732824" w:rsidRPr="00005821">
        <w:rPr>
          <w:rFonts w:ascii="Times New Roman" w:hAnsi="Times New Roman" w:cs="Times New Roman"/>
          <w:sz w:val="20"/>
          <w:szCs w:val="20"/>
        </w:rPr>
        <w:t>food</w:t>
      </w:r>
      <w:r w:rsidR="00732824">
        <w:rPr>
          <w:rFonts w:ascii="Times New Roman" w:hAnsi="Times New Roman" w:cs="Times New Roman"/>
          <w:sz w:val="20"/>
          <w:szCs w:val="20"/>
        </w:rPr>
        <w:t>-</w:t>
      </w:r>
      <w:r w:rsidR="00A53780" w:rsidRPr="00005821">
        <w:rPr>
          <w:rFonts w:ascii="Times New Roman" w:hAnsi="Times New Roman" w:cs="Times New Roman"/>
          <w:sz w:val="20"/>
          <w:szCs w:val="20"/>
        </w:rPr>
        <w:t>based biofuels</w:t>
      </w:r>
      <w:r w:rsidR="00BC510A" w:rsidRPr="00005821">
        <w:rPr>
          <w:rFonts w:ascii="Times New Roman" w:hAnsi="Times New Roman" w:cs="Times New Roman"/>
          <w:sz w:val="20"/>
          <w:szCs w:val="20"/>
        </w:rPr>
        <w:t>.</w:t>
      </w:r>
    </w:p>
    <w:tbl>
      <w:tblPr>
        <w:tblW w:w="7260" w:type="dxa"/>
        <w:jc w:val="center"/>
        <w:tblInd w:w="95" w:type="dxa"/>
        <w:tblLook w:val="04A0"/>
      </w:tblPr>
      <w:tblGrid>
        <w:gridCol w:w="972"/>
        <w:gridCol w:w="2740"/>
        <w:gridCol w:w="616"/>
        <w:gridCol w:w="616"/>
        <w:gridCol w:w="616"/>
        <w:gridCol w:w="616"/>
        <w:gridCol w:w="616"/>
        <w:gridCol w:w="616"/>
        <w:gridCol w:w="616"/>
      </w:tblGrid>
      <w:tr w:rsidR="00801AB9" w:rsidRPr="00005821" w:rsidTr="00801AB9">
        <w:trPr>
          <w:trHeight w:val="300"/>
          <w:jc w:val="center"/>
        </w:trPr>
        <w:tc>
          <w:tcPr>
            <w:tcW w:w="880" w:type="dxa"/>
            <w:tcBorders>
              <w:top w:val="nil"/>
              <w:left w:val="nil"/>
              <w:bottom w:val="single" w:sz="4" w:space="0" w:color="auto"/>
              <w:right w:val="nil"/>
            </w:tcBorders>
            <w:shd w:val="clear" w:color="auto" w:fill="auto"/>
            <w:noWrap/>
            <w:vAlign w:val="bottom"/>
            <w:hideMark/>
          </w:tcPr>
          <w:p w:rsidR="00801AB9" w:rsidRPr="00005821" w:rsidRDefault="00801AB9" w:rsidP="00801AB9">
            <w:pPr>
              <w:spacing w:after="0" w:line="240" w:lineRule="auto"/>
              <w:jc w:val="center"/>
              <w:rPr>
                <w:rFonts w:ascii="Times New Roman" w:eastAsia="Times New Roman" w:hAnsi="Times New Roman" w:cs="Times New Roman"/>
                <w:b/>
                <w:bCs/>
                <w:color w:val="000000"/>
                <w:sz w:val="20"/>
                <w:szCs w:val="20"/>
              </w:rPr>
            </w:pPr>
            <w:r w:rsidRPr="00005821">
              <w:rPr>
                <w:rFonts w:ascii="Times New Roman" w:eastAsia="Times New Roman" w:hAnsi="Times New Roman" w:cs="Times New Roman"/>
                <w:b/>
                <w:bCs/>
                <w:color w:val="000000"/>
                <w:sz w:val="20"/>
                <w:szCs w:val="20"/>
              </w:rPr>
              <w:t>Location</w:t>
            </w:r>
          </w:p>
        </w:tc>
        <w:tc>
          <w:tcPr>
            <w:tcW w:w="2740" w:type="dxa"/>
            <w:tcBorders>
              <w:top w:val="nil"/>
              <w:left w:val="nil"/>
              <w:bottom w:val="single" w:sz="4" w:space="0" w:color="auto"/>
              <w:right w:val="nil"/>
            </w:tcBorders>
            <w:shd w:val="clear" w:color="auto" w:fill="auto"/>
            <w:noWrap/>
            <w:vAlign w:val="bottom"/>
            <w:hideMark/>
          </w:tcPr>
          <w:p w:rsidR="00801AB9" w:rsidRPr="00005821" w:rsidRDefault="00801AB9" w:rsidP="00801AB9">
            <w:pPr>
              <w:spacing w:after="0" w:line="240" w:lineRule="auto"/>
              <w:jc w:val="center"/>
              <w:rPr>
                <w:rFonts w:ascii="Times New Roman" w:eastAsia="Times New Roman" w:hAnsi="Times New Roman" w:cs="Times New Roman"/>
                <w:b/>
                <w:bCs/>
                <w:color w:val="000000"/>
                <w:sz w:val="20"/>
                <w:szCs w:val="20"/>
              </w:rPr>
            </w:pPr>
            <w:r w:rsidRPr="00005821">
              <w:rPr>
                <w:rFonts w:ascii="Times New Roman" w:eastAsia="Times New Roman" w:hAnsi="Times New Roman" w:cs="Times New Roman"/>
                <w:b/>
                <w:bCs/>
                <w:color w:val="000000"/>
                <w:sz w:val="20"/>
                <w:szCs w:val="20"/>
              </w:rPr>
              <w:t>Commodity Type</w:t>
            </w:r>
          </w:p>
        </w:tc>
        <w:tc>
          <w:tcPr>
            <w:tcW w:w="520" w:type="dxa"/>
            <w:tcBorders>
              <w:top w:val="nil"/>
              <w:left w:val="nil"/>
              <w:bottom w:val="single" w:sz="4" w:space="0" w:color="auto"/>
              <w:right w:val="nil"/>
            </w:tcBorders>
            <w:shd w:val="clear" w:color="auto" w:fill="auto"/>
            <w:noWrap/>
            <w:vAlign w:val="bottom"/>
            <w:hideMark/>
          </w:tcPr>
          <w:p w:rsidR="00801AB9" w:rsidRPr="00005821" w:rsidRDefault="00801AB9" w:rsidP="00801AB9">
            <w:pPr>
              <w:spacing w:after="0" w:line="240" w:lineRule="auto"/>
              <w:jc w:val="center"/>
              <w:rPr>
                <w:rFonts w:ascii="Times New Roman" w:eastAsia="Times New Roman" w:hAnsi="Times New Roman" w:cs="Times New Roman"/>
                <w:b/>
                <w:bCs/>
                <w:color w:val="000000"/>
                <w:sz w:val="20"/>
                <w:szCs w:val="20"/>
              </w:rPr>
            </w:pPr>
            <w:r w:rsidRPr="00005821">
              <w:rPr>
                <w:rFonts w:ascii="Times New Roman" w:eastAsia="Times New Roman" w:hAnsi="Times New Roman" w:cs="Times New Roman"/>
                <w:b/>
                <w:bCs/>
                <w:color w:val="000000"/>
                <w:sz w:val="20"/>
                <w:szCs w:val="20"/>
              </w:rPr>
              <w:t>1991</w:t>
            </w:r>
          </w:p>
        </w:tc>
        <w:tc>
          <w:tcPr>
            <w:tcW w:w="520" w:type="dxa"/>
            <w:tcBorders>
              <w:top w:val="nil"/>
              <w:left w:val="nil"/>
              <w:bottom w:val="single" w:sz="4" w:space="0" w:color="auto"/>
              <w:right w:val="nil"/>
            </w:tcBorders>
            <w:shd w:val="clear" w:color="auto" w:fill="auto"/>
            <w:noWrap/>
            <w:vAlign w:val="bottom"/>
            <w:hideMark/>
          </w:tcPr>
          <w:p w:rsidR="00801AB9" w:rsidRPr="00005821" w:rsidRDefault="00801AB9" w:rsidP="00801AB9">
            <w:pPr>
              <w:spacing w:after="0" w:line="240" w:lineRule="auto"/>
              <w:jc w:val="center"/>
              <w:rPr>
                <w:rFonts w:ascii="Times New Roman" w:eastAsia="Times New Roman" w:hAnsi="Times New Roman" w:cs="Times New Roman"/>
                <w:b/>
                <w:bCs/>
                <w:color w:val="000000"/>
                <w:sz w:val="20"/>
                <w:szCs w:val="20"/>
              </w:rPr>
            </w:pPr>
            <w:r w:rsidRPr="00005821">
              <w:rPr>
                <w:rFonts w:ascii="Times New Roman" w:eastAsia="Times New Roman" w:hAnsi="Times New Roman" w:cs="Times New Roman"/>
                <w:b/>
                <w:bCs/>
                <w:color w:val="000000"/>
                <w:sz w:val="20"/>
                <w:szCs w:val="20"/>
              </w:rPr>
              <w:t>2000</w:t>
            </w:r>
          </w:p>
        </w:tc>
        <w:tc>
          <w:tcPr>
            <w:tcW w:w="520" w:type="dxa"/>
            <w:tcBorders>
              <w:top w:val="nil"/>
              <w:left w:val="nil"/>
              <w:bottom w:val="single" w:sz="4" w:space="0" w:color="auto"/>
              <w:right w:val="nil"/>
            </w:tcBorders>
            <w:shd w:val="clear" w:color="auto" w:fill="auto"/>
            <w:noWrap/>
            <w:vAlign w:val="bottom"/>
            <w:hideMark/>
          </w:tcPr>
          <w:p w:rsidR="00801AB9" w:rsidRPr="00005821" w:rsidRDefault="00801AB9" w:rsidP="00801AB9">
            <w:pPr>
              <w:spacing w:after="0" w:line="240" w:lineRule="auto"/>
              <w:jc w:val="center"/>
              <w:rPr>
                <w:rFonts w:ascii="Times New Roman" w:eastAsia="Times New Roman" w:hAnsi="Times New Roman" w:cs="Times New Roman"/>
                <w:b/>
                <w:bCs/>
                <w:color w:val="000000"/>
                <w:sz w:val="20"/>
                <w:szCs w:val="20"/>
              </w:rPr>
            </w:pPr>
            <w:r w:rsidRPr="00005821">
              <w:rPr>
                <w:rFonts w:ascii="Times New Roman" w:eastAsia="Times New Roman" w:hAnsi="Times New Roman" w:cs="Times New Roman"/>
                <w:b/>
                <w:bCs/>
                <w:color w:val="000000"/>
                <w:sz w:val="20"/>
                <w:szCs w:val="20"/>
              </w:rPr>
              <w:t>2010</w:t>
            </w:r>
          </w:p>
        </w:tc>
        <w:tc>
          <w:tcPr>
            <w:tcW w:w="520" w:type="dxa"/>
            <w:tcBorders>
              <w:top w:val="nil"/>
              <w:left w:val="nil"/>
              <w:bottom w:val="single" w:sz="4" w:space="0" w:color="auto"/>
              <w:right w:val="nil"/>
            </w:tcBorders>
            <w:shd w:val="clear" w:color="auto" w:fill="auto"/>
            <w:noWrap/>
            <w:vAlign w:val="bottom"/>
            <w:hideMark/>
          </w:tcPr>
          <w:p w:rsidR="00801AB9" w:rsidRPr="00005821" w:rsidRDefault="00801AB9" w:rsidP="00801AB9">
            <w:pPr>
              <w:spacing w:after="0" w:line="240" w:lineRule="auto"/>
              <w:jc w:val="center"/>
              <w:rPr>
                <w:rFonts w:ascii="Times New Roman" w:eastAsia="Times New Roman" w:hAnsi="Times New Roman" w:cs="Times New Roman"/>
                <w:b/>
                <w:bCs/>
                <w:color w:val="000000"/>
                <w:sz w:val="20"/>
                <w:szCs w:val="20"/>
              </w:rPr>
            </w:pPr>
            <w:r w:rsidRPr="00005821">
              <w:rPr>
                <w:rFonts w:ascii="Times New Roman" w:eastAsia="Times New Roman" w:hAnsi="Times New Roman" w:cs="Times New Roman"/>
                <w:b/>
                <w:bCs/>
                <w:color w:val="000000"/>
                <w:sz w:val="20"/>
                <w:szCs w:val="20"/>
              </w:rPr>
              <w:t>2020</w:t>
            </w:r>
          </w:p>
        </w:tc>
        <w:tc>
          <w:tcPr>
            <w:tcW w:w="520" w:type="dxa"/>
            <w:tcBorders>
              <w:top w:val="nil"/>
              <w:left w:val="nil"/>
              <w:bottom w:val="single" w:sz="4" w:space="0" w:color="auto"/>
              <w:right w:val="nil"/>
            </w:tcBorders>
            <w:shd w:val="clear" w:color="auto" w:fill="auto"/>
            <w:noWrap/>
            <w:vAlign w:val="bottom"/>
            <w:hideMark/>
          </w:tcPr>
          <w:p w:rsidR="00801AB9" w:rsidRPr="00005821" w:rsidRDefault="00801AB9" w:rsidP="00801AB9">
            <w:pPr>
              <w:spacing w:after="0" w:line="240" w:lineRule="auto"/>
              <w:jc w:val="center"/>
              <w:rPr>
                <w:rFonts w:ascii="Times New Roman" w:eastAsia="Times New Roman" w:hAnsi="Times New Roman" w:cs="Times New Roman"/>
                <w:b/>
                <w:bCs/>
                <w:color w:val="000000"/>
                <w:sz w:val="20"/>
                <w:szCs w:val="20"/>
              </w:rPr>
            </w:pPr>
            <w:r w:rsidRPr="00005821">
              <w:rPr>
                <w:rFonts w:ascii="Times New Roman" w:eastAsia="Times New Roman" w:hAnsi="Times New Roman" w:cs="Times New Roman"/>
                <w:b/>
                <w:bCs/>
                <w:color w:val="000000"/>
                <w:sz w:val="20"/>
                <w:szCs w:val="20"/>
              </w:rPr>
              <w:t>2030</w:t>
            </w:r>
          </w:p>
        </w:tc>
        <w:tc>
          <w:tcPr>
            <w:tcW w:w="520" w:type="dxa"/>
            <w:tcBorders>
              <w:top w:val="nil"/>
              <w:left w:val="nil"/>
              <w:bottom w:val="single" w:sz="4" w:space="0" w:color="auto"/>
              <w:right w:val="nil"/>
            </w:tcBorders>
            <w:shd w:val="clear" w:color="auto" w:fill="auto"/>
            <w:noWrap/>
            <w:vAlign w:val="bottom"/>
            <w:hideMark/>
          </w:tcPr>
          <w:p w:rsidR="00801AB9" w:rsidRPr="00005821" w:rsidRDefault="00801AB9" w:rsidP="00801AB9">
            <w:pPr>
              <w:spacing w:after="0" w:line="240" w:lineRule="auto"/>
              <w:jc w:val="center"/>
              <w:rPr>
                <w:rFonts w:ascii="Times New Roman" w:eastAsia="Times New Roman" w:hAnsi="Times New Roman" w:cs="Times New Roman"/>
                <w:b/>
                <w:bCs/>
                <w:color w:val="000000"/>
                <w:sz w:val="20"/>
                <w:szCs w:val="20"/>
              </w:rPr>
            </w:pPr>
            <w:r w:rsidRPr="00005821">
              <w:rPr>
                <w:rFonts w:ascii="Times New Roman" w:eastAsia="Times New Roman" w:hAnsi="Times New Roman" w:cs="Times New Roman"/>
                <w:b/>
                <w:bCs/>
                <w:color w:val="000000"/>
                <w:sz w:val="20"/>
                <w:szCs w:val="20"/>
              </w:rPr>
              <w:t>2040</w:t>
            </w:r>
          </w:p>
        </w:tc>
        <w:tc>
          <w:tcPr>
            <w:tcW w:w="520" w:type="dxa"/>
            <w:tcBorders>
              <w:top w:val="nil"/>
              <w:left w:val="nil"/>
              <w:bottom w:val="single" w:sz="4" w:space="0" w:color="auto"/>
              <w:right w:val="nil"/>
            </w:tcBorders>
            <w:shd w:val="clear" w:color="auto" w:fill="auto"/>
            <w:noWrap/>
            <w:vAlign w:val="bottom"/>
            <w:hideMark/>
          </w:tcPr>
          <w:p w:rsidR="00801AB9" w:rsidRPr="00005821" w:rsidRDefault="00801AB9" w:rsidP="00801AB9">
            <w:pPr>
              <w:spacing w:after="0" w:line="240" w:lineRule="auto"/>
              <w:jc w:val="center"/>
              <w:rPr>
                <w:rFonts w:ascii="Times New Roman" w:eastAsia="Times New Roman" w:hAnsi="Times New Roman" w:cs="Times New Roman"/>
                <w:b/>
                <w:bCs/>
                <w:color w:val="000000"/>
                <w:sz w:val="20"/>
                <w:szCs w:val="20"/>
              </w:rPr>
            </w:pPr>
            <w:r w:rsidRPr="00005821">
              <w:rPr>
                <w:rFonts w:ascii="Times New Roman" w:eastAsia="Times New Roman" w:hAnsi="Times New Roman" w:cs="Times New Roman"/>
                <w:b/>
                <w:bCs/>
                <w:color w:val="000000"/>
                <w:sz w:val="20"/>
                <w:szCs w:val="20"/>
              </w:rPr>
              <w:t>2050</w:t>
            </w:r>
          </w:p>
        </w:tc>
      </w:tr>
      <w:tr w:rsidR="00801AB9" w:rsidRPr="00005821" w:rsidTr="00801AB9">
        <w:trPr>
          <w:trHeight w:val="300"/>
          <w:jc w:val="center"/>
        </w:trPr>
        <w:tc>
          <w:tcPr>
            <w:tcW w:w="880" w:type="dxa"/>
            <w:vMerge w:val="restart"/>
            <w:tcBorders>
              <w:top w:val="nil"/>
              <w:left w:val="nil"/>
              <w:bottom w:val="single" w:sz="4" w:space="0" w:color="000000"/>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sz w:val="20"/>
                <w:szCs w:val="20"/>
              </w:rPr>
            </w:pPr>
            <w:r w:rsidRPr="00005821">
              <w:rPr>
                <w:rFonts w:ascii="Times New Roman" w:eastAsia="Times New Roman" w:hAnsi="Times New Roman" w:cs="Times New Roman"/>
                <w:sz w:val="20"/>
                <w:szCs w:val="20"/>
              </w:rPr>
              <w:t>ROW</w:t>
            </w:r>
          </w:p>
        </w:tc>
        <w:tc>
          <w:tcPr>
            <w:tcW w:w="2740" w:type="dxa"/>
            <w:tcBorders>
              <w:top w:val="nil"/>
              <w:left w:val="nil"/>
              <w:bottom w:val="nil"/>
              <w:right w:val="nil"/>
            </w:tcBorders>
            <w:shd w:val="clear" w:color="auto" w:fill="auto"/>
            <w:noWrap/>
            <w:vAlign w:val="bottom"/>
            <w:hideMark/>
          </w:tcPr>
          <w:p w:rsidR="00801AB9" w:rsidRPr="00005821" w:rsidRDefault="00801AB9" w:rsidP="00801AB9">
            <w:pPr>
              <w:spacing w:after="0" w:line="240" w:lineRule="auto"/>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maize</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2.9</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3.3</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3.8</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4.1</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4.4</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4.7</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5.0</w:t>
            </w:r>
          </w:p>
        </w:tc>
      </w:tr>
      <w:tr w:rsidR="00801AB9" w:rsidRPr="00005821" w:rsidTr="00801AB9">
        <w:trPr>
          <w:trHeight w:val="300"/>
          <w:jc w:val="center"/>
        </w:trPr>
        <w:tc>
          <w:tcPr>
            <w:tcW w:w="880" w:type="dxa"/>
            <w:vMerge/>
            <w:tcBorders>
              <w:top w:val="nil"/>
              <w:left w:val="nil"/>
              <w:bottom w:val="single" w:sz="4" w:space="0" w:color="000000"/>
              <w:right w:val="nil"/>
            </w:tcBorders>
            <w:vAlign w:val="center"/>
            <w:hideMark/>
          </w:tcPr>
          <w:p w:rsidR="00801AB9" w:rsidRPr="00005821" w:rsidRDefault="00801AB9" w:rsidP="00801AB9">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rsidR="00801AB9" w:rsidRPr="00005821" w:rsidRDefault="00801AB9" w:rsidP="00801AB9">
            <w:pPr>
              <w:spacing w:after="0" w:line="240" w:lineRule="auto"/>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wheat</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2.2</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2.6</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2.9</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3.1</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3.3</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3.6</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3.8</w:t>
            </w:r>
          </w:p>
        </w:tc>
      </w:tr>
      <w:tr w:rsidR="00801AB9" w:rsidRPr="00005821" w:rsidTr="00801AB9">
        <w:trPr>
          <w:trHeight w:val="300"/>
          <w:jc w:val="center"/>
        </w:trPr>
        <w:tc>
          <w:tcPr>
            <w:tcW w:w="880" w:type="dxa"/>
            <w:vMerge/>
            <w:tcBorders>
              <w:top w:val="nil"/>
              <w:left w:val="nil"/>
              <w:bottom w:val="single" w:sz="4" w:space="0" w:color="000000"/>
              <w:right w:val="nil"/>
            </w:tcBorders>
            <w:vAlign w:val="center"/>
            <w:hideMark/>
          </w:tcPr>
          <w:p w:rsidR="00801AB9" w:rsidRPr="00005821" w:rsidRDefault="00801AB9" w:rsidP="00801AB9">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rsidR="00801AB9" w:rsidRPr="00005821" w:rsidRDefault="00801AB9" w:rsidP="00801AB9">
            <w:pPr>
              <w:spacing w:after="0" w:line="240" w:lineRule="auto"/>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rice</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3.3</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3.7</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4.1</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4.4</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4.7</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5.0</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5.3</w:t>
            </w:r>
          </w:p>
        </w:tc>
      </w:tr>
      <w:tr w:rsidR="00801AB9" w:rsidRPr="00005821" w:rsidTr="00801AB9">
        <w:trPr>
          <w:trHeight w:val="300"/>
          <w:jc w:val="center"/>
        </w:trPr>
        <w:tc>
          <w:tcPr>
            <w:tcW w:w="880" w:type="dxa"/>
            <w:vMerge/>
            <w:tcBorders>
              <w:top w:val="nil"/>
              <w:left w:val="nil"/>
              <w:bottom w:val="single" w:sz="4" w:space="0" w:color="000000"/>
              <w:right w:val="nil"/>
            </w:tcBorders>
            <w:vAlign w:val="center"/>
            <w:hideMark/>
          </w:tcPr>
          <w:p w:rsidR="00801AB9" w:rsidRPr="00005821" w:rsidRDefault="00801AB9" w:rsidP="00801AB9">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rsidR="00801AB9" w:rsidRPr="00005821" w:rsidRDefault="00801AB9" w:rsidP="00801AB9">
            <w:pPr>
              <w:spacing w:after="0" w:line="240" w:lineRule="auto"/>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other cereals</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1.4</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1.6</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1.7</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1.8</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1.9</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2.0</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2.2</w:t>
            </w:r>
          </w:p>
        </w:tc>
      </w:tr>
      <w:tr w:rsidR="00801AB9" w:rsidRPr="00005821" w:rsidTr="00801AB9">
        <w:trPr>
          <w:trHeight w:val="300"/>
          <w:jc w:val="center"/>
        </w:trPr>
        <w:tc>
          <w:tcPr>
            <w:tcW w:w="880" w:type="dxa"/>
            <w:vMerge/>
            <w:tcBorders>
              <w:top w:val="nil"/>
              <w:left w:val="nil"/>
              <w:bottom w:val="single" w:sz="4" w:space="0" w:color="000000"/>
              <w:right w:val="nil"/>
            </w:tcBorders>
            <w:vAlign w:val="center"/>
            <w:hideMark/>
          </w:tcPr>
          <w:p w:rsidR="00801AB9" w:rsidRPr="00005821" w:rsidRDefault="00801AB9" w:rsidP="00801AB9">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rsidR="00801AB9" w:rsidRPr="00005821" w:rsidRDefault="00801AB9" w:rsidP="00801AB9">
            <w:pPr>
              <w:spacing w:after="0" w:line="240" w:lineRule="auto"/>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oils (from crops)</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1.7</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1.9</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2.1</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2.3</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2.5</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2.7</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2.9</w:t>
            </w:r>
          </w:p>
        </w:tc>
      </w:tr>
      <w:tr w:rsidR="00801AB9" w:rsidRPr="00005821" w:rsidTr="00801AB9">
        <w:trPr>
          <w:trHeight w:val="300"/>
          <w:jc w:val="center"/>
        </w:trPr>
        <w:tc>
          <w:tcPr>
            <w:tcW w:w="880" w:type="dxa"/>
            <w:vMerge/>
            <w:tcBorders>
              <w:top w:val="nil"/>
              <w:left w:val="nil"/>
              <w:bottom w:val="single" w:sz="4" w:space="0" w:color="000000"/>
              <w:right w:val="nil"/>
            </w:tcBorders>
            <w:vAlign w:val="center"/>
            <w:hideMark/>
          </w:tcPr>
          <w:p w:rsidR="00801AB9" w:rsidRPr="00005821" w:rsidRDefault="00801AB9" w:rsidP="00801AB9">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rsidR="00801AB9" w:rsidRPr="00005821" w:rsidRDefault="00801AB9" w:rsidP="00801AB9">
            <w:pPr>
              <w:spacing w:after="0" w:line="240" w:lineRule="auto"/>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sugar</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62</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65</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71</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79</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88</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96</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104</w:t>
            </w:r>
          </w:p>
        </w:tc>
      </w:tr>
      <w:tr w:rsidR="00801AB9" w:rsidRPr="00005821" w:rsidTr="00801AB9">
        <w:trPr>
          <w:trHeight w:val="300"/>
          <w:jc w:val="center"/>
        </w:trPr>
        <w:tc>
          <w:tcPr>
            <w:tcW w:w="880" w:type="dxa"/>
            <w:vMerge/>
            <w:tcBorders>
              <w:top w:val="nil"/>
              <w:left w:val="nil"/>
              <w:bottom w:val="single" w:sz="4" w:space="0" w:color="000000"/>
              <w:right w:val="nil"/>
            </w:tcBorders>
            <w:vAlign w:val="center"/>
            <w:hideMark/>
          </w:tcPr>
          <w:p w:rsidR="00801AB9" w:rsidRPr="00005821" w:rsidRDefault="00801AB9" w:rsidP="00801AB9">
            <w:pPr>
              <w:spacing w:after="0" w:line="240" w:lineRule="auto"/>
              <w:rPr>
                <w:rFonts w:ascii="Times New Roman" w:eastAsia="Times New Roman" w:hAnsi="Times New Roman" w:cs="Times New Roman"/>
                <w:sz w:val="20"/>
                <w:szCs w:val="20"/>
              </w:rPr>
            </w:pPr>
          </w:p>
        </w:tc>
        <w:tc>
          <w:tcPr>
            <w:tcW w:w="2740" w:type="dxa"/>
            <w:tcBorders>
              <w:top w:val="nil"/>
              <w:left w:val="nil"/>
              <w:bottom w:val="single" w:sz="4" w:space="0" w:color="auto"/>
              <w:right w:val="nil"/>
            </w:tcBorders>
            <w:shd w:val="clear" w:color="auto" w:fill="auto"/>
            <w:noWrap/>
            <w:vAlign w:val="bottom"/>
            <w:hideMark/>
          </w:tcPr>
          <w:p w:rsidR="00801AB9" w:rsidRPr="00005821" w:rsidRDefault="00801AB9" w:rsidP="00801AB9">
            <w:pPr>
              <w:spacing w:after="0" w:line="240" w:lineRule="auto"/>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vegetable, fruit, and nuts</w:t>
            </w:r>
          </w:p>
        </w:tc>
        <w:tc>
          <w:tcPr>
            <w:tcW w:w="520" w:type="dxa"/>
            <w:tcBorders>
              <w:top w:val="nil"/>
              <w:left w:val="nil"/>
              <w:bottom w:val="single" w:sz="4" w:space="0" w:color="auto"/>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0.9</w:t>
            </w:r>
          </w:p>
        </w:tc>
        <w:tc>
          <w:tcPr>
            <w:tcW w:w="520" w:type="dxa"/>
            <w:tcBorders>
              <w:top w:val="nil"/>
              <w:left w:val="nil"/>
              <w:bottom w:val="single" w:sz="4" w:space="0" w:color="auto"/>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0.9</w:t>
            </w:r>
          </w:p>
        </w:tc>
        <w:tc>
          <w:tcPr>
            <w:tcW w:w="520" w:type="dxa"/>
            <w:tcBorders>
              <w:top w:val="nil"/>
              <w:left w:val="nil"/>
              <w:bottom w:val="single" w:sz="4" w:space="0" w:color="auto"/>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1.0</w:t>
            </w:r>
          </w:p>
        </w:tc>
        <w:tc>
          <w:tcPr>
            <w:tcW w:w="520" w:type="dxa"/>
            <w:tcBorders>
              <w:top w:val="nil"/>
              <w:left w:val="nil"/>
              <w:bottom w:val="single" w:sz="4" w:space="0" w:color="auto"/>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1.2</w:t>
            </w:r>
          </w:p>
        </w:tc>
        <w:tc>
          <w:tcPr>
            <w:tcW w:w="520" w:type="dxa"/>
            <w:tcBorders>
              <w:top w:val="nil"/>
              <w:left w:val="nil"/>
              <w:bottom w:val="single" w:sz="4" w:space="0" w:color="auto"/>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1.4</w:t>
            </w:r>
          </w:p>
        </w:tc>
        <w:tc>
          <w:tcPr>
            <w:tcW w:w="520" w:type="dxa"/>
            <w:tcBorders>
              <w:top w:val="nil"/>
              <w:left w:val="nil"/>
              <w:bottom w:val="single" w:sz="4" w:space="0" w:color="auto"/>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1.6</w:t>
            </w:r>
          </w:p>
        </w:tc>
        <w:tc>
          <w:tcPr>
            <w:tcW w:w="520" w:type="dxa"/>
            <w:tcBorders>
              <w:top w:val="nil"/>
              <w:left w:val="nil"/>
              <w:bottom w:val="single" w:sz="4" w:space="0" w:color="auto"/>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1.7</w:t>
            </w:r>
          </w:p>
        </w:tc>
      </w:tr>
      <w:tr w:rsidR="00801AB9" w:rsidRPr="00005821" w:rsidTr="00801AB9">
        <w:trPr>
          <w:trHeight w:val="300"/>
          <w:jc w:val="center"/>
        </w:trPr>
        <w:tc>
          <w:tcPr>
            <w:tcW w:w="880" w:type="dxa"/>
            <w:vMerge w:val="restart"/>
            <w:tcBorders>
              <w:top w:val="nil"/>
              <w:left w:val="nil"/>
              <w:bottom w:val="single" w:sz="4" w:space="0" w:color="000000"/>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sz w:val="20"/>
                <w:szCs w:val="20"/>
              </w:rPr>
            </w:pPr>
            <w:r w:rsidRPr="00005821">
              <w:rPr>
                <w:rFonts w:ascii="Times New Roman" w:eastAsia="Times New Roman" w:hAnsi="Times New Roman" w:cs="Times New Roman"/>
                <w:sz w:val="20"/>
                <w:szCs w:val="20"/>
              </w:rPr>
              <w:t>USA</w:t>
            </w:r>
          </w:p>
        </w:tc>
        <w:tc>
          <w:tcPr>
            <w:tcW w:w="2740" w:type="dxa"/>
            <w:tcBorders>
              <w:top w:val="nil"/>
              <w:left w:val="nil"/>
              <w:bottom w:val="nil"/>
              <w:right w:val="nil"/>
            </w:tcBorders>
            <w:shd w:val="clear" w:color="auto" w:fill="auto"/>
            <w:noWrap/>
            <w:vAlign w:val="bottom"/>
            <w:hideMark/>
          </w:tcPr>
          <w:p w:rsidR="00801AB9" w:rsidRPr="00005821" w:rsidRDefault="00801AB9" w:rsidP="00801AB9">
            <w:pPr>
              <w:spacing w:after="0" w:line="240" w:lineRule="auto"/>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maize</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5.1</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5.8</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6.3</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6.6</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6.9</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7.2</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7.4</w:t>
            </w:r>
          </w:p>
        </w:tc>
      </w:tr>
      <w:tr w:rsidR="00801AB9" w:rsidRPr="00005821" w:rsidTr="00801AB9">
        <w:trPr>
          <w:trHeight w:val="300"/>
          <w:jc w:val="center"/>
        </w:trPr>
        <w:tc>
          <w:tcPr>
            <w:tcW w:w="880" w:type="dxa"/>
            <w:vMerge/>
            <w:tcBorders>
              <w:top w:val="nil"/>
              <w:left w:val="nil"/>
              <w:bottom w:val="single" w:sz="4" w:space="0" w:color="000000"/>
              <w:right w:val="nil"/>
            </w:tcBorders>
            <w:vAlign w:val="center"/>
            <w:hideMark/>
          </w:tcPr>
          <w:p w:rsidR="00801AB9" w:rsidRPr="00005821" w:rsidRDefault="00801AB9" w:rsidP="00801AB9">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rsidR="00801AB9" w:rsidRPr="00005821" w:rsidRDefault="00801AB9" w:rsidP="00801AB9">
            <w:pPr>
              <w:spacing w:after="0" w:line="240" w:lineRule="auto"/>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wheat</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2.3</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2.6</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2.9</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3.1</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3.2</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3.4</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3.6</w:t>
            </w:r>
          </w:p>
        </w:tc>
      </w:tr>
      <w:tr w:rsidR="00801AB9" w:rsidRPr="00005821" w:rsidTr="00801AB9">
        <w:trPr>
          <w:trHeight w:val="300"/>
          <w:jc w:val="center"/>
        </w:trPr>
        <w:tc>
          <w:tcPr>
            <w:tcW w:w="880" w:type="dxa"/>
            <w:vMerge/>
            <w:tcBorders>
              <w:top w:val="nil"/>
              <w:left w:val="nil"/>
              <w:bottom w:val="single" w:sz="4" w:space="0" w:color="000000"/>
              <w:right w:val="nil"/>
            </w:tcBorders>
            <w:vAlign w:val="center"/>
            <w:hideMark/>
          </w:tcPr>
          <w:p w:rsidR="00801AB9" w:rsidRPr="00005821" w:rsidRDefault="00801AB9" w:rsidP="00801AB9">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rsidR="00801AB9" w:rsidRPr="00005821" w:rsidRDefault="00801AB9" w:rsidP="00801AB9">
            <w:pPr>
              <w:spacing w:after="0" w:line="240" w:lineRule="auto"/>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rice</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3.4</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3.8</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4.2</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4.5</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4.8</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5.1</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5.4</w:t>
            </w:r>
          </w:p>
        </w:tc>
      </w:tr>
      <w:tr w:rsidR="00801AB9" w:rsidRPr="00005821" w:rsidTr="00801AB9">
        <w:trPr>
          <w:trHeight w:val="300"/>
          <w:jc w:val="center"/>
        </w:trPr>
        <w:tc>
          <w:tcPr>
            <w:tcW w:w="880" w:type="dxa"/>
            <w:vMerge/>
            <w:tcBorders>
              <w:top w:val="nil"/>
              <w:left w:val="nil"/>
              <w:bottom w:val="single" w:sz="4" w:space="0" w:color="000000"/>
              <w:right w:val="nil"/>
            </w:tcBorders>
            <w:vAlign w:val="center"/>
            <w:hideMark/>
          </w:tcPr>
          <w:p w:rsidR="00801AB9" w:rsidRPr="00005821" w:rsidRDefault="00801AB9" w:rsidP="00801AB9">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rsidR="00801AB9" w:rsidRPr="00005821" w:rsidRDefault="00801AB9" w:rsidP="00801AB9">
            <w:pPr>
              <w:spacing w:after="0" w:line="240" w:lineRule="auto"/>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other cereals</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1.4</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1.6</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1.7</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1.8</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1.9</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2.0</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2.2</w:t>
            </w:r>
          </w:p>
        </w:tc>
      </w:tr>
      <w:tr w:rsidR="00801AB9" w:rsidRPr="00005821" w:rsidTr="00801AB9">
        <w:trPr>
          <w:trHeight w:val="300"/>
          <w:jc w:val="center"/>
        </w:trPr>
        <w:tc>
          <w:tcPr>
            <w:tcW w:w="880" w:type="dxa"/>
            <w:vMerge/>
            <w:tcBorders>
              <w:top w:val="nil"/>
              <w:left w:val="nil"/>
              <w:bottom w:val="single" w:sz="4" w:space="0" w:color="000000"/>
              <w:right w:val="nil"/>
            </w:tcBorders>
            <w:vAlign w:val="center"/>
            <w:hideMark/>
          </w:tcPr>
          <w:p w:rsidR="00801AB9" w:rsidRPr="00005821" w:rsidRDefault="00801AB9" w:rsidP="00801AB9">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rsidR="00801AB9" w:rsidRPr="00005821" w:rsidRDefault="00801AB9" w:rsidP="00801AB9">
            <w:pPr>
              <w:spacing w:after="0" w:line="240" w:lineRule="auto"/>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oils (from crops)</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1.7</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1.9</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2.1</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2.3</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2.5</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2.7</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2.9</w:t>
            </w:r>
          </w:p>
        </w:tc>
      </w:tr>
      <w:tr w:rsidR="00801AB9" w:rsidRPr="00005821" w:rsidTr="00801AB9">
        <w:trPr>
          <w:trHeight w:val="300"/>
          <w:jc w:val="center"/>
        </w:trPr>
        <w:tc>
          <w:tcPr>
            <w:tcW w:w="880" w:type="dxa"/>
            <w:vMerge/>
            <w:tcBorders>
              <w:top w:val="nil"/>
              <w:left w:val="nil"/>
              <w:bottom w:val="single" w:sz="4" w:space="0" w:color="000000"/>
              <w:right w:val="nil"/>
            </w:tcBorders>
            <w:vAlign w:val="center"/>
            <w:hideMark/>
          </w:tcPr>
          <w:p w:rsidR="00801AB9" w:rsidRPr="00005821" w:rsidRDefault="00801AB9" w:rsidP="00801AB9">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rsidR="00801AB9" w:rsidRPr="00005821" w:rsidRDefault="00801AB9" w:rsidP="00801AB9">
            <w:pPr>
              <w:spacing w:after="0" w:line="240" w:lineRule="auto"/>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sugar</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62</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65</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71</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79</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88</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96</w:t>
            </w:r>
          </w:p>
        </w:tc>
        <w:tc>
          <w:tcPr>
            <w:tcW w:w="520" w:type="dxa"/>
            <w:tcBorders>
              <w:top w:val="nil"/>
              <w:left w:val="nil"/>
              <w:bottom w:val="nil"/>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104</w:t>
            </w:r>
          </w:p>
        </w:tc>
      </w:tr>
      <w:tr w:rsidR="00801AB9" w:rsidRPr="00005821" w:rsidTr="00801AB9">
        <w:trPr>
          <w:trHeight w:val="300"/>
          <w:jc w:val="center"/>
        </w:trPr>
        <w:tc>
          <w:tcPr>
            <w:tcW w:w="880" w:type="dxa"/>
            <w:vMerge/>
            <w:tcBorders>
              <w:top w:val="nil"/>
              <w:left w:val="nil"/>
              <w:bottom w:val="single" w:sz="4" w:space="0" w:color="000000"/>
              <w:right w:val="nil"/>
            </w:tcBorders>
            <w:vAlign w:val="center"/>
            <w:hideMark/>
          </w:tcPr>
          <w:p w:rsidR="00801AB9" w:rsidRPr="00005821" w:rsidRDefault="00801AB9" w:rsidP="00801AB9">
            <w:pPr>
              <w:spacing w:after="0" w:line="240" w:lineRule="auto"/>
              <w:rPr>
                <w:rFonts w:ascii="Times New Roman" w:eastAsia="Times New Roman" w:hAnsi="Times New Roman" w:cs="Times New Roman"/>
                <w:sz w:val="20"/>
                <w:szCs w:val="20"/>
              </w:rPr>
            </w:pPr>
          </w:p>
        </w:tc>
        <w:tc>
          <w:tcPr>
            <w:tcW w:w="2740" w:type="dxa"/>
            <w:tcBorders>
              <w:top w:val="nil"/>
              <w:left w:val="nil"/>
              <w:bottom w:val="single" w:sz="4" w:space="0" w:color="auto"/>
              <w:right w:val="nil"/>
            </w:tcBorders>
            <w:shd w:val="clear" w:color="auto" w:fill="auto"/>
            <w:noWrap/>
            <w:vAlign w:val="bottom"/>
            <w:hideMark/>
          </w:tcPr>
          <w:p w:rsidR="00801AB9" w:rsidRPr="00005821" w:rsidRDefault="00801AB9" w:rsidP="00801AB9">
            <w:pPr>
              <w:spacing w:after="0" w:line="240" w:lineRule="auto"/>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vegetable, fruit, and nuts</w:t>
            </w:r>
          </w:p>
        </w:tc>
        <w:tc>
          <w:tcPr>
            <w:tcW w:w="520" w:type="dxa"/>
            <w:tcBorders>
              <w:top w:val="nil"/>
              <w:left w:val="nil"/>
              <w:bottom w:val="single" w:sz="4" w:space="0" w:color="auto"/>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0.9</w:t>
            </w:r>
          </w:p>
        </w:tc>
        <w:tc>
          <w:tcPr>
            <w:tcW w:w="520" w:type="dxa"/>
            <w:tcBorders>
              <w:top w:val="nil"/>
              <w:left w:val="nil"/>
              <w:bottom w:val="single" w:sz="4" w:space="0" w:color="auto"/>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0.9</w:t>
            </w:r>
          </w:p>
        </w:tc>
        <w:tc>
          <w:tcPr>
            <w:tcW w:w="520" w:type="dxa"/>
            <w:tcBorders>
              <w:top w:val="nil"/>
              <w:left w:val="nil"/>
              <w:bottom w:val="single" w:sz="4" w:space="0" w:color="auto"/>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1.0</w:t>
            </w:r>
          </w:p>
        </w:tc>
        <w:tc>
          <w:tcPr>
            <w:tcW w:w="520" w:type="dxa"/>
            <w:tcBorders>
              <w:top w:val="nil"/>
              <w:left w:val="nil"/>
              <w:bottom w:val="single" w:sz="4" w:space="0" w:color="auto"/>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1.2</w:t>
            </w:r>
          </w:p>
        </w:tc>
        <w:tc>
          <w:tcPr>
            <w:tcW w:w="520" w:type="dxa"/>
            <w:tcBorders>
              <w:top w:val="nil"/>
              <w:left w:val="nil"/>
              <w:bottom w:val="single" w:sz="4" w:space="0" w:color="auto"/>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1.4</w:t>
            </w:r>
          </w:p>
        </w:tc>
        <w:tc>
          <w:tcPr>
            <w:tcW w:w="520" w:type="dxa"/>
            <w:tcBorders>
              <w:top w:val="nil"/>
              <w:left w:val="nil"/>
              <w:bottom w:val="single" w:sz="4" w:space="0" w:color="auto"/>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1.6</w:t>
            </w:r>
          </w:p>
        </w:tc>
        <w:tc>
          <w:tcPr>
            <w:tcW w:w="520" w:type="dxa"/>
            <w:tcBorders>
              <w:top w:val="nil"/>
              <w:left w:val="nil"/>
              <w:bottom w:val="single" w:sz="4" w:space="0" w:color="auto"/>
              <w:right w:val="nil"/>
            </w:tcBorders>
            <w:shd w:val="clear" w:color="auto" w:fill="auto"/>
            <w:noWrap/>
            <w:vAlign w:val="center"/>
            <w:hideMark/>
          </w:tcPr>
          <w:p w:rsidR="00801AB9" w:rsidRPr="00005821" w:rsidRDefault="00801AB9" w:rsidP="00801AB9">
            <w:pPr>
              <w:spacing w:after="0" w:line="240" w:lineRule="auto"/>
              <w:jc w:val="center"/>
              <w:rPr>
                <w:rFonts w:ascii="Times New Roman" w:eastAsia="Times New Roman" w:hAnsi="Times New Roman" w:cs="Times New Roman"/>
                <w:color w:val="000000"/>
                <w:sz w:val="20"/>
                <w:szCs w:val="20"/>
              </w:rPr>
            </w:pPr>
            <w:r w:rsidRPr="00005821">
              <w:rPr>
                <w:rFonts w:ascii="Times New Roman" w:eastAsia="Times New Roman" w:hAnsi="Times New Roman" w:cs="Times New Roman"/>
                <w:color w:val="000000"/>
                <w:sz w:val="20"/>
                <w:szCs w:val="20"/>
              </w:rPr>
              <w:t>1.7</w:t>
            </w:r>
          </w:p>
        </w:tc>
      </w:tr>
    </w:tbl>
    <w:p w:rsidR="00801AB9" w:rsidRDefault="00801AB9" w:rsidP="00596499">
      <w:pPr>
        <w:rPr>
          <w:rFonts w:ascii="Times New Roman" w:hAnsi="Times New Roman" w:cs="Times New Roman"/>
        </w:rPr>
      </w:pPr>
    </w:p>
    <w:p w:rsidR="00175C21" w:rsidRDefault="00175C21" w:rsidP="00175C21">
      <w:pPr>
        <w:spacing w:after="0"/>
        <w:rPr>
          <w:rFonts w:ascii="Times New Roman" w:hAnsi="Times New Roman" w:cs="Times New Roman"/>
          <w:bCs/>
          <w:sz w:val="22"/>
          <w:szCs w:val="22"/>
        </w:rPr>
      </w:pPr>
      <w:r w:rsidRPr="00231910">
        <w:rPr>
          <w:rFonts w:ascii="Times New Roman" w:hAnsi="Times New Roman" w:cs="Times New Roman"/>
          <w:bCs/>
          <w:sz w:val="22"/>
          <w:szCs w:val="22"/>
        </w:rPr>
        <w:t xml:space="preserve">The production of meat and its implicit demand for biomass (i.e., land) is a primary determinant of LUC. The meat categories used in </w:t>
      </w:r>
      <w:proofErr w:type="spellStart"/>
      <w:r w:rsidRPr="00231910">
        <w:rPr>
          <w:rFonts w:ascii="Times New Roman" w:hAnsi="Times New Roman" w:cs="Times New Roman"/>
          <w:bCs/>
          <w:sz w:val="22"/>
          <w:szCs w:val="22"/>
        </w:rPr>
        <w:t>BioLUC</w:t>
      </w:r>
      <w:proofErr w:type="spellEnd"/>
      <w:r w:rsidRPr="00231910">
        <w:rPr>
          <w:rFonts w:ascii="Times New Roman" w:hAnsi="Times New Roman" w:cs="Times New Roman"/>
          <w:bCs/>
          <w:sz w:val="22"/>
          <w:szCs w:val="22"/>
        </w:rPr>
        <w:t xml:space="preserve"> are based on FAO meat and animal product categories (FAO 2010</w:t>
      </w:r>
      <w:r w:rsidR="00A53780">
        <w:rPr>
          <w:rFonts w:ascii="Times New Roman" w:hAnsi="Times New Roman" w:cs="Times New Roman"/>
          <w:bCs/>
          <w:sz w:val="22"/>
          <w:szCs w:val="22"/>
        </w:rPr>
        <w:t>b</w:t>
      </w:r>
      <w:r w:rsidRPr="00231910">
        <w:rPr>
          <w:rFonts w:ascii="Times New Roman" w:hAnsi="Times New Roman" w:cs="Times New Roman"/>
          <w:bCs/>
          <w:sz w:val="22"/>
          <w:szCs w:val="22"/>
        </w:rPr>
        <w:t xml:space="preserve">). The FAO animal product categories are aggregated into four animal product categories in </w:t>
      </w:r>
      <w:proofErr w:type="spellStart"/>
      <w:r w:rsidRPr="00231910">
        <w:rPr>
          <w:rFonts w:ascii="Times New Roman" w:hAnsi="Times New Roman" w:cs="Times New Roman"/>
          <w:bCs/>
          <w:sz w:val="22"/>
          <w:szCs w:val="22"/>
        </w:rPr>
        <w:t>BioLUC</w:t>
      </w:r>
      <w:proofErr w:type="spellEnd"/>
      <w:r w:rsidRPr="00231910">
        <w:rPr>
          <w:rFonts w:ascii="Times New Roman" w:hAnsi="Times New Roman" w:cs="Times New Roman"/>
          <w:bCs/>
          <w:sz w:val="22"/>
          <w:szCs w:val="22"/>
        </w:rPr>
        <w:t xml:space="preserve">, based on similarities in production practices and inputs. </w:t>
      </w:r>
    </w:p>
    <w:p w:rsidR="00175C21" w:rsidRDefault="00175C21" w:rsidP="00175C21">
      <w:pPr>
        <w:spacing w:after="0"/>
        <w:rPr>
          <w:rFonts w:ascii="Times New Roman" w:hAnsi="Times New Roman" w:cs="Times New Roman"/>
          <w:bCs/>
          <w:sz w:val="22"/>
          <w:szCs w:val="22"/>
        </w:rPr>
      </w:pPr>
    </w:p>
    <w:p w:rsidR="002435A4" w:rsidRDefault="00175C21" w:rsidP="00175C21">
      <w:pPr>
        <w:spacing w:after="0"/>
        <w:rPr>
          <w:rFonts w:ascii="Times New Roman" w:hAnsi="Times New Roman" w:cs="Times New Roman"/>
          <w:bCs/>
          <w:sz w:val="22"/>
          <w:szCs w:val="22"/>
        </w:rPr>
      </w:pPr>
      <w:r w:rsidRPr="00231910">
        <w:rPr>
          <w:rFonts w:ascii="Times New Roman" w:hAnsi="Times New Roman" w:cs="Times New Roman"/>
          <w:bCs/>
          <w:sz w:val="22"/>
          <w:szCs w:val="22"/>
        </w:rPr>
        <w:t xml:space="preserve">Table </w:t>
      </w:r>
      <w:r w:rsidR="00A53780">
        <w:rPr>
          <w:rFonts w:ascii="Times New Roman" w:hAnsi="Times New Roman" w:cs="Times New Roman"/>
          <w:bCs/>
          <w:sz w:val="22"/>
          <w:szCs w:val="22"/>
        </w:rPr>
        <w:t>3</w:t>
      </w:r>
      <w:r w:rsidRPr="00231910">
        <w:rPr>
          <w:rFonts w:ascii="Times New Roman" w:hAnsi="Times New Roman" w:cs="Times New Roman"/>
          <w:bCs/>
          <w:sz w:val="22"/>
          <w:szCs w:val="22"/>
        </w:rPr>
        <w:t xml:space="preserve"> </w:t>
      </w:r>
      <w:r>
        <w:rPr>
          <w:rFonts w:ascii="Times New Roman" w:hAnsi="Times New Roman" w:cs="Times New Roman"/>
          <w:bCs/>
          <w:sz w:val="22"/>
          <w:szCs w:val="22"/>
        </w:rPr>
        <w:t xml:space="preserve">in the main paper </w:t>
      </w:r>
      <w:r w:rsidRPr="00231910">
        <w:rPr>
          <w:rFonts w:ascii="Times New Roman" w:hAnsi="Times New Roman" w:cs="Times New Roman"/>
          <w:bCs/>
          <w:sz w:val="22"/>
          <w:szCs w:val="22"/>
        </w:rPr>
        <w:t xml:space="preserve">presents the meat input/output tables used to derive land base (biomass) demands as a result of finished meat demand; all meat demands are based on “finished” meat, which excludes meat waste material such as bones and entrails. Two types of production systems are considered in this model: intensive (US) and extensive (ROW). Data used for the intensive production input/output table are taken preferentially from LCA studies and include the feed required to maintain a herd (e.g., beef, goat, and sheep); a gestating/lactating mother and offspring (pig); and an egg-producing hen house (poultry). Please refer to Pelletier </w:t>
      </w:r>
      <w:r w:rsidR="00035A0F">
        <w:rPr>
          <w:rFonts w:ascii="Times New Roman" w:hAnsi="Times New Roman" w:cs="Times New Roman"/>
          <w:bCs/>
          <w:sz w:val="22"/>
          <w:szCs w:val="22"/>
        </w:rPr>
        <w:t>(</w:t>
      </w:r>
      <w:r w:rsidRPr="00231910">
        <w:rPr>
          <w:rFonts w:ascii="Times New Roman" w:hAnsi="Times New Roman" w:cs="Times New Roman"/>
          <w:bCs/>
          <w:sz w:val="22"/>
          <w:szCs w:val="22"/>
        </w:rPr>
        <w:t>2008</w:t>
      </w:r>
      <w:r w:rsidR="00035A0F">
        <w:rPr>
          <w:rFonts w:ascii="Times New Roman" w:hAnsi="Times New Roman" w:cs="Times New Roman"/>
          <w:bCs/>
          <w:sz w:val="22"/>
          <w:szCs w:val="22"/>
        </w:rPr>
        <w:t>)</w:t>
      </w:r>
      <w:r w:rsidRPr="00231910">
        <w:rPr>
          <w:rFonts w:ascii="Times New Roman" w:hAnsi="Times New Roman" w:cs="Times New Roman"/>
          <w:bCs/>
          <w:sz w:val="22"/>
          <w:szCs w:val="22"/>
        </w:rPr>
        <w:t xml:space="preserve">, Pelletier </w:t>
      </w:r>
      <w:r w:rsidRPr="00231910">
        <w:rPr>
          <w:rFonts w:ascii="Times New Roman" w:hAnsi="Times New Roman" w:cs="Times New Roman"/>
          <w:bCs/>
          <w:i/>
          <w:sz w:val="22"/>
          <w:szCs w:val="22"/>
        </w:rPr>
        <w:t>et al</w:t>
      </w:r>
      <w:r w:rsidRPr="00231910">
        <w:rPr>
          <w:rFonts w:ascii="Times New Roman" w:hAnsi="Times New Roman" w:cs="Times New Roman"/>
          <w:bCs/>
          <w:sz w:val="22"/>
          <w:szCs w:val="22"/>
        </w:rPr>
        <w:t xml:space="preserve"> </w:t>
      </w:r>
      <w:r w:rsidR="00035A0F">
        <w:rPr>
          <w:rFonts w:ascii="Times New Roman" w:hAnsi="Times New Roman" w:cs="Times New Roman"/>
          <w:bCs/>
          <w:sz w:val="22"/>
          <w:szCs w:val="22"/>
        </w:rPr>
        <w:t>(</w:t>
      </w:r>
      <w:r w:rsidRPr="00231910">
        <w:rPr>
          <w:rFonts w:ascii="Times New Roman" w:hAnsi="Times New Roman" w:cs="Times New Roman"/>
          <w:bCs/>
          <w:sz w:val="22"/>
          <w:szCs w:val="22"/>
        </w:rPr>
        <w:t>2009</w:t>
      </w:r>
      <w:r w:rsidR="00035A0F">
        <w:rPr>
          <w:rFonts w:ascii="Times New Roman" w:hAnsi="Times New Roman" w:cs="Times New Roman"/>
          <w:bCs/>
          <w:sz w:val="22"/>
          <w:szCs w:val="22"/>
        </w:rPr>
        <w:t>)</w:t>
      </w:r>
      <w:r w:rsidRPr="00231910">
        <w:rPr>
          <w:rFonts w:ascii="Times New Roman" w:hAnsi="Times New Roman" w:cs="Times New Roman"/>
          <w:bCs/>
          <w:sz w:val="22"/>
          <w:szCs w:val="22"/>
        </w:rPr>
        <w:t xml:space="preserve">, and Pelletier </w:t>
      </w:r>
      <w:r w:rsidRPr="00231910">
        <w:rPr>
          <w:rFonts w:ascii="Times New Roman" w:hAnsi="Times New Roman" w:cs="Times New Roman"/>
          <w:bCs/>
          <w:i/>
          <w:sz w:val="22"/>
          <w:szCs w:val="22"/>
        </w:rPr>
        <w:t>et al</w:t>
      </w:r>
      <w:r w:rsidRPr="00231910">
        <w:rPr>
          <w:rFonts w:ascii="Times New Roman" w:hAnsi="Times New Roman" w:cs="Times New Roman"/>
          <w:bCs/>
          <w:sz w:val="22"/>
          <w:szCs w:val="22"/>
        </w:rPr>
        <w:t xml:space="preserve"> </w:t>
      </w:r>
      <w:r w:rsidR="00035A0F">
        <w:rPr>
          <w:rFonts w:ascii="Times New Roman" w:hAnsi="Times New Roman" w:cs="Times New Roman"/>
          <w:bCs/>
          <w:sz w:val="22"/>
          <w:szCs w:val="22"/>
        </w:rPr>
        <w:t>(</w:t>
      </w:r>
      <w:r w:rsidRPr="00231910">
        <w:rPr>
          <w:rFonts w:ascii="Times New Roman" w:hAnsi="Times New Roman" w:cs="Times New Roman"/>
          <w:bCs/>
          <w:sz w:val="22"/>
          <w:szCs w:val="22"/>
        </w:rPr>
        <w:t>2010</w:t>
      </w:r>
      <w:r w:rsidR="00035A0F">
        <w:rPr>
          <w:rFonts w:ascii="Times New Roman" w:hAnsi="Times New Roman" w:cs="Times New Roman"/>
          <w:bCs/>
          <w:sz w:val="22"/>
          <w:szCs w:val="22"/>
        </w:rPr>
        <w:t>)</w:t>
      </w:r>
      <w:r w:rsidRPr="00231910">
        <w:rPr>
          <w:rFonts w:ascii="Times New Roman" w:hAnsi="Times New Roman" w:cs="Times New Roman"/>
          <w:bCs/>
          <w:sz w:val="22"/>
          <w:szCs w:val="22"/>
        </w:rPr>
        <w:t xml:space="preserve"> for more specific information on specific systems’ boundaries and assumptions for each. There is a dearth of US-specific dairy LCA data; therefore, the dairy input/output is based on a report by </w:t>
      </w:r>
      <w:proofErr w:type="spellStart"/>
      <w:r w:rsidRPr="00231910">
        <w:rPr>
          <w:rFonts w:ascii="Times New Roman" w:hAnsi="Times New Roman" w:cs="Times New Roman"/>
          <w:bCs/>
          <w:sz w:val="22"/>
          <w:szCs w:val="22"/>
        </w:rPr>
        <w:t>Rotz</w:t>
      </w:r>
      <w:proofErr w:type="spellEnd"/>
      <w:r w:rsidRPr="00231910">
        <w:rPr>
          <w:rFonts w:ascii="Times New Roman" w:hAnsi="Times New Roman" w:cs="Times New Roman"/>
          <w:bCs/>
          <w:sz w:val="22"/>
          <w:szCs w:val="22"/>
        </w:rPr>
        <w:t xml:space="preserve"> and </w:t>
      </w:r>
      <w:proofErr w:type="spellStart"/>
      <w:r w:rsidRPr="00231910">
        <w:rPr>
          <w:rFonts w:ascii="Times New Roman" w:hAnsi="Times New Roman" w:cs="Times New Roman"/>
          <w:bCs/>
          <w:sz w:val="22"/>
          <w:szCs w:val="22"/>
        </w:rPr>
        <w:t>Zartman</w:t>
      </w:r>
      <w:proofErr w:type="spellEnd"/>
      <w:r w:rsidRPr="00231910">
        <w:rPr>
          <w:rFonts w:ascii="Times New Roman" w:hAnsi="Times New Roman" w:cs="Times New Roman"/>
          <w:bCs/>
          <w:sz w:val="22"/>
          <w:szCs w:val="22"/>
        </w:rPr>
        <w:t xml:space="preserve"> (1997) and is not on a life cycle basis. </w:t>
      </w:r>
    </w:p>
    <w:p w:rsidR="00982169" w:rsidRDefault="00982169" w:rsidP="00982169">
      <w:pPr>
        <w:rPr>
          <w:rFonts w:ascii="Times New Roman" w:hAnsi="Times New Roman"/>
          <w:b/>
          <w:sz w:val="20"/>
          <w:szCs w:val="20"/>
        </w:rPr>
      </w:pPr>
    </w:p>
    <w:p w:rsidR="00982169" w:rsidRPr="009C709C" w:rsidRDefault="00982169" w:rsidP="00982169">
      <w:pPr>
        <w:rPr>
          <w:rFonts w:ascii="Times New Roman" w:hAnsi="Times New Roman"/>
          <w:b/>
          <w:sz w:val="20"/>
          <w:szCs w:val="20"/>
        </w:rPr>
      </w:pPr>
      <w:proofErr w:type="gramStart"/>
      <w:r w:rsidRPr="009C709C">
        <w:rPr>
          <w:rFonts w:ascii="Times New Roman" w:hAnsi="Times New Roman"/>
          <w:b/>
          <w:sz w:val="20"/>
          <w:szCs w:val="20"/>
        </w:rPr>
        <w:t>Table 3</w:t>
      </w:r>
      <w:r w:rsidRPr="009C709C">
        <w:rPr>
          <w:rFonts w:ascii="Times New Roman" w:hAnsi="Times New Roman"/>
          <w:sz w:val="20"/>
          <w:szCs w:val="20"/>
        </w:rPr>
        <w:t>.</w:t>
      </w:r>
      <w:proofErr w:type="gramEnd"/>
      <w:r w:rsidRPr="009C709C">
        <w:rPr>
          <w:rFonts w:ascii="Times New Roman" w:hAnsi="Times New Roman"/>
          <w:sz w:val="20"/>
          <w:szCs w:val="20"/>
        </w:rPr>
        <w:t xml:space="preserve"> Mass (kg) of Specific Crop Products Required </w:t>
      </w:r>
      <w:proofErr w:type="gramStart"/>
      <w:r w:rsidRPr="009C709C">
        <w:rPr>
          <w:rFonts w:ascii="Times New Roman" w:hAnsi="Times New Roman"/>
          <w:sz w:val="20"/>
          <w:szCs w:val="20"/>
        </w:rPr>
        <w:t>to Produce</w:t>
      </w:r>
      <w:proofErr w:type="gramEnd"/>
      <w:r w:rsidRPr="009C709C">
        <w:rPr>
          <w:rFonts w:ascii="Times New Roman" w:hAnsi="Times New Roman"/>
          <w:sz w:val="20"/>
          <w:szCs w:val="20"/>
        </w:rPr>
        <w:t xml:space="preserve"> a Mass of Finished Meat Product. The system represented is an intensive meat production system</w:t>
      </w:r>
      <w:r w:rsidRPr="009C709C">
        <w:rPr>
          <w:rFonts w:ascii="Times New Roman" w:hAnsi="Times New Roman"/>
          <w:b/>
          <w:sz w:val="20"/>
          <w:szCs w:val="20"/>
        </w:rPr>
        <w:t xml:space="preserve"> (</w:t>
      </w:r>
      <w:r w:rsidRPr="009C709C">
        <w:rPr>
          <w:rFonts w:ascii="Times New Roman" w:hAnsi="Times New Roman"/>
          <w:sz w:val="20"/>
          <w:szCs w:val="20"/>
        </w:rPr>
        <w:t xml:space="preserve">Pelletier 2008, Pelletier </w:t>
      </w:r>
      <w:r w:rsidRPr="009C709C">
        <w:rPr>
          <w:rFonts w:ascii="Times New Roman" w:hAnsi="Times New Roman"/>
          <w:i/>
          <w:sz w:val="20"/>
          <w:szCs w:val="20"/>
        </w:rPr>
        <w:t>et al</w:t>
      </w:r>
      <w:r w:rsidRPr="009C709C">
        <w:rPr>
          <w:rFonts w:ascii="Times New Roman" w:hAnsi="Times New Roman"/>
          <w:sz w:val="20"/>
          <w:szCs w:val="20"/>
        </w:rPr>
        <w:t xml:space="preserve"> 2009, Pelletier </w:t>
      </w:r>
      <w:r w:rsidRPr="009C709C">
        <w:rPr>
          <w:rFonts w:ascii="Times New Roman" w:hAnsi="Times New Roman"/>
          <w:i/>
          <w:sz w:val="20"/>
          <w:szCs w:val="20"/>
        </w:rPr>
        <w:t>et al</w:t>
      </w:r>
      <w:r w:rsidRPr="009C709C">
        <w:rPr>
          <w:rFonts w:ascii="Times New Roman" w:hAnsi="Times New Roman"/>
          <w:sz w:val="20"/>
          <w:szCs w:val="20"/>
        </w:rPr>
        <w:t xml:space="preserve"> 2010, </w:t>
      </w:r>
      <w:proofErr w:type="spellStart"/>
      <w:r w:rsidRPr="009C709C">
        <w:rPr>
          <w:rFonts w:ascii="Times New Roman" w:hAnsi="Times New Roman"/>
          <w:sz w:val="20"/>
          <w:szCs w:val="20"/>
        </w:rPr>
        <w:t>Rotz</w:t>
      </w:r>
      <w:proofErr w:type="spellEnd"/>
      <w:r w:rsidRPr="009C709C">
        <w:rPr>
          <w:rFonts w:ascii="Times New Roman" w:hAnsi="Times New Roman"/>
          <w:sz w:val="20"/>
          <w:szCs w:val="20"/>
        </w:rPr>
        <w:t xml:space="preserve"> and </w:t>
      </w:r>
      <w:proofErr w:type="spellStart"/>
      <w:r w:rsidRPr="009C709C">
        <w:rPr>
          <w:rFonts w:ascii="Times New Roman" w:hAnsi="Times New Roman"/>
          <w:sz w:val="20"/>
          <w:szCs w:val="20"/>
        </w:rPr>
        <w:t>Zartman</w:t>
      </w:r>
      <w:proofErr w:type="spellEnd"/>
      <w:r w:rsidRPr="009C709C">
        <w:rPr>
          <w:rFonts w:ascii="Times New Roman" w:hAnsi="Times New Roman"/>
          <w:sz w:val="20"/>
          <w:szCs w:val="20"/>
        </w:rPr>
        <w:t xml:space="preserve"> 1997).</w:t>
      </w:r>
    </w:p>
    <w:tbl>
      <w:tblPr>
        <w:tblW w:w="10161" w:type="dxa"/>
        <w:jc w:val="center"/>
        <w:tblInd w:w="103" w:type="dxa"/>
        <w:tblLook w:val="04A0"/>
      </w:tblPr>
      <w:tblGrid>
        <w:gridCol w:w="1772"/>
        <w:gridCol w:w="916"/>
        <w:gridCol w:w="972"/>
        <w:gridCol w:w="838"/>
        <w:gridCol w:w="883"/>
        <w:gridCol w:w="694"/>
        <w:gridCol w:w="1440"/>
        <w:gridCol w:w="1046"/>
        <w:gridCol w:w="828"/>
        <w:gridCol w:w="772"/>
      </w:tblGrid>
      <w:tr w:rsidR="00982169" w:rsidRPr="009919DB" w:rsidTr="00B105CF">
        <w:trPr>
          <w:trHeight w:val="144"/>
          <w:jc w:val="center"/>
        </w:trPr>
        <w:tc>
          <w:tcPr>
            <w:tcW w:w="1772" w:type="dxa"/>
            <w:tcBorders>
              <w:top w:val="single" w:sz="4" w:space="0" w:color="auto"/>
              <w:bottom w:val="single" w:sz="4" w:space="0" w:color="auto"/>
            </w:tcBorders>
            <w:shd w:val="clear" w:color="auto" w:fill="auto"/>
            <w:noWrap/>
            <w:vAlign w:val="bottom"/>
            <w:hideMark/>
          </w:tcPr>
          <w:p w:rsidR="00982169" w:rsidRPr="00FC379E" w:rsidRDefault="00982169" w:rsidP="00B105CF">
            <w:pPr>
              <w:rPr>
                <w:rFonts w:ascii="Times New Roman" w:hAnsi="Times New Roman"/>
                <w:b/>
                <w:bCs/>
                <w:color w:val="000000"/>
                <w:sz w:val="20"/>
                <w:szCs w:val="20"/>
              </w:rPr>
            </w:pPr>
            <w:r w:rsidRPr="00FC379E">
              <w:rPr>
                <w:rFonts w:ascii="Times New Roman" w:hAnsi="Times New Roman"/>
                <w:b/>
                <w:bCs/>
                <w:color w:val="000000"/>
                <w:sz w:val="20"/>
                <w:szCs w:val="20"/>
              </w:rPr>
              <w:t>Meat Class</w:t>
            </w:r>
          </w:p>
        </w:tc>
        <w:tc>
          <w:tcPr>
            <w:tcW w:w="916" w:type="dxa"/>
            <w:tcBorders>
              <w:top w:val="single" w:sz="4" w:space="0" w:color="auto"/>
              <w:bottom w:val="single" w:sz="4" w:space="0" w:color="auto"/>
            </w:tcBorders>
            <w:shd w:val="clear" w:color="auto" w:fill="auto"/>
            <w:noWrap/>
            <w:vAlign w:val="bottom"/>
            <w:hideMark/>
          </w:tcPr>
          <w:p w:rsidR="00982169" w:rsidRPr="00FC379E" w:rsidRDefault="00982169" w:rsidP="00B105CF">
            <w:pPr>
              <w:jc w:val="center"/>
              <w:rPr>
                <w:rFonts w:ascii="Times New Roman" w:hAnsi="Times New Roman"/>
                <w:b/>
                <w:bCs/>
                <w:color w:val="000000"/>
                <w:sz w:val="20"/>
                <w:szCs w:val="20"/>
              </w:rPr>
            </w:pPr>
            <w:r w:rsidRPr="00FC379E">
              <w:rPr>
                <w:rFonts w:ascii="Times New Roman" w:hAnsi="Times New Roman"/>
                <w:b/>
                <w:bCs/>
                <w:color w:val="000000"/>
                <w:sz w:val="20"/>
                <w:szCs w:val="20"/>
              </w:rPr>
              <w:t>Forage</w:t>
            </w:r>
          </w:p>
        </w:tc>
        <w:tc>
          <w:tcPr>
            <w:tcW w:w="972" w:type="dxa"/>
            <w:tcBorders>
              <w:top w:val="single" w:sz="4" w:space="0" w:color="auto"/>
              <w:bottom w:val="single" w:sz="4" w:space="0" w:color="auto"/>
            </w:tcBorders>
            <w:shd w:val="clear" w:color="auto" w:fill="auto"/>
            <w:noWrap/>
            <w:vAlign w:val="bottom"/>
            <w:hideMark/>
          </w:tcPr>
          <w:p w:rsidR="00982169" w:rsidRPr="00FC379E" w:rsidRDefault="00982169" w:rsidP="00B105CF">
            <w:pPr>
              <w:jc w:val="center"/>
              <w:rPr>
                <w:rFonts w:ascii="Times New Roman" w:hAnsi="Times New Roman"/>
                <w:b/>
                <w:bCs/>
                <w:color w:val="000000"/>
                <w:sz w:val="20"/>
                <w:szCs w:val="20"/>
              </w:rPr>
            </w:pPr>
            <w:r w:rsidRPr="00FC379E">
              <w:rPr>
                <w:rFonts w:ascii="Times New Roman" w:hAnsi="Times New Roman"/>
                <w:b/>
                <w:bCs/>
                <w:color w:val="000000"/>
                <w:sz w:val="20"/>
                <w:szCs w:val="20"/>
              </w:rPr>
              <w:t>Pasture</w:t>
            </w:r>
          </w:p>
        </w:tc>
        <w:tc>
          <w:tcPr>
            <w:tcW w:w="838" w:type="dxa"/>
            <w:tcBorders>
              <w:top w:val="single" w:sz="4" w:space="0" w:color="auto"/>
              <w:bottom w:val="single" w:sz="4" w:space="0" w:color="auto"/>
            </w:tcBorders>
            <w:shd w:val="clear" w:color="auto" w:fill="auto"/>
            <w:noWrap/>
            <w:vAlign w:val="bottom"/>
            <w:hideMark/>
          </w:tcPr>
          <w:p w:rsidR="00982169" w:rsidRPr="00FC379E" w:rsidRDefault="00982169" w:rsidP="00B105CF">
            <w:pPr>
              <w:jc w:val="center"/>
              <w:rPr>
                <w:rFonts w:ascii="Times New Roman" w:hAnsi="Times New Roman"/>
                <w:b/>
                <w:bCs/>
                <w:color w:val="000000"/>
                <w:sz w:val="20"/>
                <w:szCs w:val="20"/>
              </w:rPr>
            </w:pPr>
            <w:r w:rsidRPr="00FC379E">
              <w:rPr>
                <w:rFonts w:ascii="Times New Roman" w:hAnsi="Times New Roman"/>
                <w:b/>
                <w:bCs/>
                <w:color w:val="000000"/>
                <w:sz w:val="20"/>
                <w:szCs w:val="20"/>
              </w:rPr>
              <w:t>Maize</w:t>
            </w:r>
          </w:p>
        </w:tc>
        <w:tc>
          <w:tcPr>
            <w:tcW w:w="883" w:type="dxa"/>
            <w:tcBorders>
              <w:top w:val="single" w:sz="4" w:space="0" w:color="auto"/>
              <w:bottom w:val="single" w:sz="4" w:space="0" w:color="auto"/>
            </w:tcBorders>
            <w:shd w:val="clear" w:color="auto" w:fill="auto"/>
            <w:noWrap/>
            <w:vAlign w:val="bottom"/>
            <w:hideMark/>
          </w:tcPr>
          <w:p w:rsidR="00982169" w:rsidRPr="00FC379E" w:rsidRDefault="00982169" w:rsidP="00B105CF">
            <w:pPr>
              <w:jc w:val="center"/>
              <w:rPr>
                <w:rFonts w:ascii="Times New Roman" w:hAnsi="Times New Roman"/>
                <w:b/>
                <w:bCs/>
                <w:color w:val="000000"/>
                <w:sz w:val="20"/>
                <w:szCs w:val="20"/>
              </w:rPr>
            </w:pPr>
            <w:r w:rsidRPr="00FC379E">
              <w:rPr>
                <w:rFonts w:ascii="Times New Roman" w:hAnsi="Times New Roman"/>
                <w:b/>
                <w:bCs/>
                <w:color w:val="000000"/>
                <w:sz w:val="20"/>
                <w:szCs w:val="20"/>
              </w:rPr>
              <w:t>Wheat</w:t>
            </w:r>
          </w:p>
        </w:tc>
        <w:tc>
          <w:tcPr>
            <w:tcW w:w="694" w:type="dxa"/>
            <w:tcBorders>
              <w:top w:val="single" w:sz="4" w:space="0" w:color="auto"/>
              <w:bottom w:val="single" w:sz="4" w:space="0" w:color="auto"/>
            </w:tcBorders>
            <w:shd w:val="clear" w:color="auto" w:fill="auto"/>
            <w:noWrap/>
            <w:vAlign w:val="bottom"/>
            <w:hideMark/>
          </w:tcPr>
          <w:p w:rsidR="00982169" w:rsidRPr="00FC379E" w:rsidRDefault="00982169" w:rsidP="00B105CF">
            <w:pPr>
              <w:jc w:val="center"/>
              <w:rPr>
                <w:rFonts w:ascii="Times New Roman" w:hAnsi="Times New Roman"/>
                <w:b/>
                <w:bCs/>
                <w:color w:val="000000"/>
                <w:sz w:val="20"/>
                <w:szCs w:val="20"/>
              </w:rPr>
            </w:pPr>
            <w:r w:rsidRPr="00FC379E">
              <w:rPr>
                <w:rFonts w:ascii="Times New Roman" w:hAnsi="Times New Roman"/>
                <w:b/>
                <w:bCs/>
                <w:color w:val="000000"/>
                <w:sz w:val="20"/>
                <w:szCs w:val="20"/>
              </w:rPr>
              <w:t>Rice</w:t>
            </w:r>
          </w:p>
        </w:tc>
        <w:tc>
          <w:tcPr>
            <w:tcW w:w="1440" w:type="dxa"/>
            <w:tcBorders>
              <w:top w:val="single" w:sz="4" w:space="0" w:color="auto"/>
              <w:bottom w:val="single" w:sz="4" w:space="0" w:color="auto"/>
            </w:tcBorders>
            <w:shd w:val="clear" w:color="auto" w:fill="auto"/>
            <w:noWrap/>
            <w:vAlign w:val="bottom"/>
            <w:hideMark/>
          </w:tcPr>
          <w:p w:rsidR="00982169" w:rsidRPr="00FC379E" w:rsidRDefault="00982169" w:rsidP="00B105CF">
            <w:pPr>
              <w:jc w:val="center"/>
              <w:rPr>
                <w:rFonts w:ascii="Times New Roman" w:hAnsi="Times New Roman"/>
                <w:b/>
                <w:bCs/>
                <w:color w:val="000000"/>
                <w:sz w:val="20"/>
                <w:szCs w:val="20"/>
              </w:rPr>
            </w:pPr>
            <w:r w:rsidRPr="00FC379E">
              <w:rPr>
                <w:rFonts w:ascii="Times New Roman" w:hAnsi="Times New Roman"/>
                <w:b/>
                <w:bCs/>
                <w:color w:val="000000"/>
                <w:sz w:val="20"/>
                <w:szCs w:val="20"/>
              </w:rPr>
              <w:t>Cereal</w:t>
            </w:r>
          </w:p>
          <w:p w:rsidR="00982169" w:rsidRPr="00FC379E" w:rsidRDefault="00982169" w:rsidP="00B105CF">
            <w:pPr>
              <w:jc w:val="center"/>
              <w:rPr>
                <w:rFonts w:ascii="Times New Roman" w:hAnsi="Times New Roman"/>
                <w:b/>
                <w:bCs/>
                <w:color w:val="000000"/>
                <w:sz w:val="20"/>
                <w:szCs w:val="20"/>
              </w:rPr>
            </w:pPr>
            <w:r w:rsidRPr="00FC379E">
              <w:rPr>
                <w:rFonts w:ascii="Times New Roman" w:hAnsi="Times New Roman"/>
                <w:b/>
                <w:bCs/>
                <w:color w:val="000000"/>
                <w:sz w:val="20"/>
                <w:szCs w:val="20"/>
              </w:rPr>
              <w:t>Grain NEC</w:t>
            </w:r>
          </w:p>
        </w:tc>
        <w:tc>
          <w:tcPr>
            <w:tcW w:w="1046" w:type="dxa"/>
            <w:tcBorders>
              <w:top w:val="single" w:sz="4" w:space="0" w:color="auto"/>
              <w:bottom w:val="single" w:sz="4" w:space="0" w:color="auto"/>
            </w:tcBorders>
            <w:shd w:val="clear" w:color="auto" w:fill="auto"/>
            <w:noWrap/>
            <w:vAlign w:val="bottom"/>
            <w:hideMark/>
          </w:tcPr>
          <w:p w:rsidR="00982169" w:rsidRPr="00FC379E" w:rsidRDefault="00982169" w:rsidP="00B105CF">
            <w:pPr>
              <w:jc w:val="center"/>
              <w:rPr>
                <w:rFonts w:ascii="Times New Roman" w:hAnsi="Times New Roman"/>
                <w:b/>
                <w:bCs/>
                <w:color w:val="000000"/>
                <w:sz w:val="20"/>
                <w:szCs w:val="20"/>
              </w:rPr>
            </w:pPr>
            <w:r w:rsidRPr="00FC379E">
              <w:rPr>
                <w:rFonts w:ascii="Times New Roman" w:hAnsi="Times New Roman"/>
                <w:b/>
                <w:bCs/>
                <w:color w:val="000000"/>
                <w:sz w:val="20"/>
                <w:szCs w:val="20"/>
              </w:rPr>
              <w:t>Oil Crop</w:t>
            </w:r>
          </w:p>
        </w:tc>
        <w:tc>
          <w:tcPr>
            <w:tcW w:w="828" w:type="dxa"/>
            <w:tcBorders>
              <w:top w:val="single" w:sz="4" w:space="0" w:color="auto"/>
              <w:bottom w:val="single" w:sz="4" w:space="0" w:color="auto"/>
            </w:tcBorders>
            <w:shd w:val="clear" w:color="auto" w:fill="auto"/>
            <w:noWrap/>
            <w:vAlign w:val="bottom"/>
            <w:hideMark/>
          </w:tcPr>
          <w:p w:rsidR="00982169" w:rsidRPr="00FC379E" w:rsidRDefault="00982169" w:rsidP="00B105CF">
            <w:pPr>
              <w:jc w:val="center"/>
              <w:rPr>
                <w:rFonts w:ascii="Times New Roman" w:hAnsi="Times New Roman"/>
                <w:b/>
                <w:bCs/>
                <w:color w:val="000000"/>
                <w:sz w:val="20"/>
                <w:szCs w:val="20"/>
              </w:rPr>
            </w:pPr>
            <w:r w:rsidRPr="00FC379E">
              <w:rPr>
                <w:rFonts w:ascii="Times New Roman" w:hAnsi="Times New Roman"/>
                <w:b/>
                <w:bCs/>
                <w:color w:val="000000"/>
                <w:sz w:val="20"/>
                <w:szCs w:val="20"/>
              </w:rPr>
              <w:t>Sugar</w:t>
            </w:r>
          </w:p>
        </w:tc>
        <w:tc>
          <w:tcPr>
            <w:tcW w:w="772" w:type="dxa"/>
            <w:tcBorders>
              <w:top w:val="single" w:sz="4" w:space="0" w:color="auto"/>
              <w:bottom w:val="single" w:sz="4" w:space="0" w:color="auto"/>
            </w:tcBorders>
            <w:shd w:val="clear" w:color="auto" w:fill="auto"/>
            <w:noWrap/>
            <w:vAlign w:val="bottom"/>
            <w:hideMark/>
          </w:tcPr>
          <w:p w:rsidR="00982169" w:rsidRPr="00FC379E" w:rsidRDefault="00982169" w:rsidP="00B105CF">
            <w:pPr>
              <w:jc w:val="center"/>
              <w:rPr>
                <w:rFonts w:ascii="Times New Roman" w:hAnsi="Times New Roman"/>
                <w:b/>
                <w:bCs/>
                <w:color w:val="000000"/>
                <w:sz w:val="20"/>
                <w:szCs w:val="20"/>
              </w:rPr>
            </w:pPr>
            <w:r w:rsidRPr="00FC379E">
              <w:rPr>
                <w:rFonts w:ascii="Times New Roman" w:hAnsi="Times New Roman"/>
                <w:b/>
                <w:bCs/>
                <w:color w:val="000000"/>
                <w:sz w:val="20"/>
                <w:szCs w:val="20"/>
              </w:rPr>
              <w:t>Total</w:t>
            </w:r>
          </w:p>
        </w:tc>
      </w:tr>
      <w:tr w:rsidR="00982169" w:rsidRPr="009919DB" w:rsidTr="00B105CF">
        <w:trPr>
          <w:trHeight w:val="144"/>
          <w:jc w:val="center"/>
        </w:trPr>
        <w:tc>
          <w:tcPr>
            <w:tcW w:w="1772" w:type="dxa"/>
            <w:tcBorders>
              <w:top w:val="single" w:sz="4" w:space="0" w:color="auto"/>
            </w:tcBorders>
            <w:shd w:val="clear" w:color="auto" w:fill="auto"/>
            <w:noWrap/>
            <w:hideMark/>
          </w:tcPr>
          <w:p w:rsidR="00982169" w:rsidRPr="00FC379E" w:rsidRDefault="00982169" w:rsidP="00B105CF">
            <w:pPr>
              <w:spacing w:after="60"/>
              <w:rPr>
                <w:rFonts w:ascii="Times New Roman" w:hAnsi="Times New Roman"/>
                <w:bCs/>
                <w:color w:val="000000"/>
                <w:sz w:val="20"/>
                <w:szCs w:val="20"/>
              </w:rPr>
            </w:pPr>
            <w:r w:rsidRPr="00FC379E">
              <w:rPr>
                <w:rFonts w:ascii="Times New Roman" w:hAnsi="Times New Roman"/>
                <w:bCs/>
                <w:color w:val="000000"/>
                <w:sz w:val="20"/>
                <w:szCs w:val="20"/>
              </w:rPr>
              <w:lastRenderedPageBreak/>
              <w:t>Beef, Goat, Sheep</w:t>
            </w:r>
          </w:p>
        </w:tc>
        <w:tc>
          <w:tcPr>
            <w:tcW w:w="916" w:type="dxa"/>
            <w:tcBorders>
              <w:top w:val="single" w:sz="4" w:space="0" w:color="auto"/>
            </w:tcBorders>
            <w:shd w:val="clear" w:color="auto" w:fill="auto"/>
            <w:noWrap/>
            <w:hideMark/>
          </w:tcPr>
          <w:p w:rsidR="00982169" w:rsidRPr="00FC379E" w:rsidRDefault="00982169" w:rsidP="00B105CF">
            <w:pPr>
              <w:jc w:val="center"/>
              <w:rPr>
                <w:rFonts w:ascii="Times New Roman" w:hAnsi="Times New Roman"/>
                <w:sz w:val="20"/>
                <w:szCs w:val="20"/>
              </w:rPr>
            </w:pPr>
            <w:r w:rsidRPr="00FC379E">
              <w:rPr>
                <w:rFonts w:ascii="Times New Roman" w:hAnsi="Times New Roman"/>
                <w:sz w:val="20"/>
                <w:szCs w:val="20"/>
              </w:rPr>
              <w:t>6.1</w:t>
            </w:r>
          </w:p>
        </w:tc>
        <w:tc>
          <w:tcPr>
            <w:tcW w:w="972" w:type="dxa"/>
            <w:tcBorders>
              <w:top w:val="single" w:sz="4" w:space="0" w:color="auto"/>
            </w:tcBorders>
            <w:shd w:val="clear" w:color="auto" w:fill="auto"/>
            <w:noWrap/>
            <w:hideMark/>
          </w:tcPr>
          <w:p w:rsidR="00982169" w:rsidRPr="00FC379E" w:rsidRDefault="00982169" w:rsidP="00B105CF">
            <w:pPr>
              <w:jc w:val="center"/>
              <w:rPr>
                <w:rFonts w:ascii="Times New Roman" w:hAnsi="Times New Roman"/>
                <w:sz w:val="20"/>
                <w:szCs w:val="20"/>
              </w:rPr>
            </w:pPr>
            <w:r w:rsidRPr="00FC379E">
              <w:rPr>
                <w:rFonts w:ascii="Times New Roman" w:hAnsi="Times New Roman"/>
                <w:sz w:val="20"/>
                <w:szCs w:val="20"/>
              </w:rPr>
              <w:t>4.9</w:t>
            </w:r>
          </w:p>
        </w:tc>
        <w:tc>
          <w:tcPr>
            <w:tcW w:w="838" w:type="dxa"/>
            <w:tcBorders>
              <w:top w:val="single" w:sz="4" w:space="0" w:color="auto"/>
            </w:tcBorders>
            <w:shd w:val="clear" w:color="auto" w:fill="auto"/>
            <w:noWrap/>
            <w:hideMark/>
          </w:tcPr>
          <w:p w:rsidR="00982169" w:rsidRPr="00FC379E" w:rsidRDefault="00982169" w:rsidP="00B105CF">
            <w:pPr>
              <w:jc w:val="center"/>
              <w:rPr>
                <w:rFonts w:ascii="Times New Roman" w:hAnsi="Times New Roman"/>
                <w:sz w:val="20"/>
                <w:szCs w:val="20"/>
              </w:rPr>
            </w:pPr>
            <w:r w:rsidRPr="00FC379E">
              <w:rPr>
                <w:rFonts w:ascii="Times New Roman" w:hAnsi="Times New Roman"/>
                <w:sz w:val="20"/>
                <w:szCs w:val="20"/>
              </w:rPr>
              <w:t>2.6</w:t>
            </w:r>
          </w:p>
        </w:tc>
        <w:tc>
          <w:tcPr>
            <w:tcW w:w="883" w:type="dxa"/>
            <w:tcBorders>
              <w:top w:val="single" w:sz="4" w:space="0" w:color="auto"/>
            </w:tcBorders>
            <w:shd w:val="clear" w:color="auto" w:fill="auto"/>
            <w:noWrap/>
            <w:hideMark/>
          </w:tcPr>
          <w:p w:rsidR="00982169" w:rsidRPr="00FC379E" w:rsidRDefault="00982169" w:rsidP="00B105CF">
            <w:pPr>
              <w:jc w:val="center"/>
              <w:rPr>
                <w:rFonts w:ascii="Times New Roman" w:hAnsi="Times New Roman"/>
                <w:sz w:val="20"/>
                <w:szCs w:val="20"/>
              </w:rPr>
            </w:pPr>
            <w:r w:rsidRPr="00FC379E">
              <w:rPr>
                <w:rFonts w:ascii="Times New Roman" w:hAnsi="Times New Roman"/>
                <w:sz w:val="20"/>
                <w:szCs w:val="20"/>
              </w:rPr>
              <w:t>0.1</w:t>
            </w:r>
          </w:p>
        </w:tc>
        <w:tc>
          <w:tcPr>
            <w:tcW w:w="694" w:type="dxa"/>
            <w:tcBorders>
              <w:top w:val="single" w:sz="4" w:space="0" w:color="auto"/>
            </w:tcBorders>
            <w:shd w:val="clear" w:color="auto" w:fill="auto"/>
            <w:noWrap/>
            <w:hideMark/>
          </w:tcPr>
          <w:p w:rsidR="00982169" w:rsidRPr="00FC379E" w:rsidRDefault="00982169" w:rsidP="00B105CF">
            <w:pPr>
              <w:jc w:val="center"/>
              <w:rPr>
                <w:rFonts w:ascii="Times New Roman" w:hAnsi="Times New Roman"/>
                <w:sz w:val="20"/>
                <w:szCs w:val="20"/>
              </w:rPr>
            </w:pPr>
            <w:r w:rsidRPr="00FC379E">
              <w:rPr>
                <w:rFonts w:ascii="Times New Roman" w:hAnsi="Times New Roman"/>
                <w:sz w:val="20"/>
                <w:szCs w:val="20"/>
              </w:rPr>
              <w:t>0.0</w:t>
            </w:r>
          </w:p>
        </w:tc>
        <w:tc>
          <w:tcPr>
            <w:tcW w:w="1440" w:type="dxa"/>
            <w:tcBorders>
              <w:top w:val="single" w:sz="4" w:space="0" w:color="auto"/>
            </w:tcBorders>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1046" w:type="dxa"/>
            <w:tcBorders>
              <w:top w:val="single" w:sz="4" w:space="0" w:color="auto"/>
            </w:tcBorders>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1.1</w:t>
            </w:r>
          </w:p>
        </w:tc>
        <w:tc>
          <w:tcPr>
            <w:tcW w:w="828" w:type="dxa"/>
            <w:tcBorders>
              <w:top w:val="single" w:sz="4" w:space="0" w:color="auto"/>
            </w:tcBorders>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772" w:type="dxa"/>
            <w:tcBorders>
              <w:top w:val="single" w:sz="4" w:space="0" w:color="auto"/>
            </w:tcBorders>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14.8</w:t>
            </w:r>
          </w:p>
        </w:tc>
      </w:tr>
      <w:tr w:rsidR="00982169" w:rsidRPr="009919DB" w:rsidTr="00B105CF">
        <w:trPr>
          <w:trHeight w:val="144"/>
          <w:jc w:val="center"/>
        </w:trPr>
        <w:tc>
          <w:tcPr>
            <w:tcW w:w="1772" w:type="dxa"/>
            <w:shd w:val="clear" w:color="auto" w:fill="auto"/>
            <w:noWrap/>
            <w:hideMark/>
          </w:tcPr>
          <w:p w:rsidR="00982169" w:rsidRPr="00FC379E" w:rsidRDefault="00982169" w:rsidP="00B105CF">
            <w:pPr>
              <w:spacing w:line="240" w:lineRule="auto"/>
              <w:rPr>
                <w:rFonts w:ascii="Times New Roman" w:hAnsi="Times New Roman"/>
                <w:bCs/>
                <w:color w:val="000000"/>
                <w:sz w:val="20"/>
                <w:szCs w:val="20"/>
              </w:rPr>
            </w:pPr>
            <w:r w:rsidRPr="00FC379E">
              <w:rPr>
                <w:rFonts w:ascii="Times New Roman" w:hAnsi="Times New Roman"/>
                <w:bCs/>
                <w:color w:val="000000"/>
                <w:sz w:val="20"/>
                <w:szCs w:val="20"/>
              </w:rPr>
              <w:t>Dairy</w:t>
            </w:r>
          </w:p>
        </w:tc>
        <w:tc>
          <w:tcPr>
            <w:tcW w:w="916" w:type="dxa"/>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4.5</w:t>
            </w:r>
          </w:p>
        </w:tc>
        <w:tc>
          <w:tcPr>
            <w:tcW w:w="972" w:type="dxa"/>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838" w:type="dxa"/>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1.2</w:t>
            </w:r>
          </w:p>
        </w:tc>
        <w:tc>
          <w:tcPr>
            <w:tcW w:w="883" w:type="dxa"/>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694" w:type="dxa"/>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1440" w:type="dxa"/>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2.0</w:t>
            </w:r>
          </w:p>
        </w:tc>
        <w:tc>
          <w:tcPr>
            <w:tcW w:w="1046" w:type="dxa"/>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828" w:type="dxa"/>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772" w:type="dxa"/>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7.7</w:t>
            </w:r>
          </w:p>
        </w:tc>
      </w:tr>
      <w:tr w:rsidR="00982169" w:rsidRPr="009919DB" w:rsidTr="00B105CF">
        <w:trPr>
          <w:trHeight w:val="144"/>
          <w:jc w:val="center"/>
        </w:trPr>
        <w:tc>
          <w:tcPr>
            <w:tcW w:w="1772" w:type="dxa"/>
            <w:shd w:val="clear" w:color="auto" w:fill="auto"/>
            <w:noWrap/>
            <w:hideMark/>
          </w:tcPr>
          <w:p w:rsidR="00982169" w:rsidRPr="00FC379E" w:rsidRDefault="00982169" w:rsidP="00B105CF">
            <w:pPr>
              <w:spacing w:line="240" w:lineRule="auto"/>
              <w:rPr>
                <w:rFonts w:ascii="Times New Roman" w:hAnsi="Times New Roman"/>
                <w:bCs/>
                <w:color w:val="000000"/>
                <w:sz w:val="20"/>
                <w:szCs w:val="20"/>
              </w:rPr>
            </w:pPr>
            <w:r w:rsidRPr="00FC379E">
              <w:rPr>
                <w:rFonts w:ascii="Times New Roman" w:hAnsi="Times New Roman"/>
                <w:bCs/>
                <w:color w:val="000000"/>
                <w:sz w:val="20"/>
                <w:szCs w:val="20"/>
              </w:rPr>
              <w:t>Pig</w:t>
            </w:r>
          </w:p>
        </w:tc>
        <w:tc>
          <w:tcPr>
            <w:tcW w:w="916" w:type="dxa"/>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972" w:type="dxa"/>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838" w:type="dxa"/>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1.2</w:t>
            </w:r>
          </w:p>
        </w:tc>
        <w:tc>
          <w:tcPr>
            <w:tcW w:w="883" w:type="dxa"/>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1.4</w:t>
            </w:r>
          </w:p>
        </w:tc>
        <w:tc>
          <w:tcPr>
            <w:tcW w:w="694" w:type="dxa"/>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1440" w:type="dxa"/>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0.3</w:t>
            </w:r>
          </w:p>
        </w:tc>
        <w:tc>
          <w:tcPr>
            <w:tcW w:w="1046" w:type="dxa"/>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0.7</w:t>
            </w:r>
          </w:p>
        </w:tc>
        <w:tc>
          <w:tcPr>
            <w:tcW w:w="828" w:type="dxa"/>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772" w:type="dxa"/>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3.6</w:t>
            </w:r>
          </w:p>
        </w:tc>
      </w:tr>
      <w:tr w:rsidR="00982169" w:rsidRPr="009919DB" w:rsidTr="00B105CF">
        <w:trPr>
          <w:trHeight w:val="144"/>
          <w:jc w:val="center"/>
        </w:trPr>
        <w:tc>
          <w:tcPr>
            <w:tcW w:w="1772" w:type="dxa"/>
            <w:tcBorders>
              <w:bottom w:val="single" w:sz="4" w:space="0" w:color="auto"/>
            </w:tcBorders>
            <w:shd w:val="clear" w:color="auto" w:fill="auto"/>
            <w:noWrap/>
            <w:hideMark/>
          </w:tcPr>
          <w:p w:rsidR="00982169" w:rsidRPr="00FC379E" w:rsidRDefault="00982169" w:rsidP="00B105CF">
            <w:pPr>
              <w:spacing w:line="240" w:lineRule="auto"/>
              <w:rPr>
                <w:rFonts w:ascii="Times New Roman" w:hAnsi="Times New Roman"/>
                <w:bCs/>
                <w:color w:val="000000"/>
                <w:sz w:val="20"/>
                <w:szCs w:val="20"/>
              </w:rPr>
            </w:pPr>
            <w:r w:rsidRPr="00FC379E">
              <w:rPr>
                <w:rFonts w:ascii="Times New Roman" w:hAnsi="Times New Roman"/>
                <w:bCs/>
                <w:color w:val="000000"/>
                <w:sz w:val="20"/>
                <w:szCs w:val="20"/>
              </w:rPr>
              <w:t>Poultry</w:t>
            </w:r>
          </w:p>
        </w:tc>
        <w:tc>
          <w:tcPr>
            <w:tcW w:w="916" w:type="dxa"/>
            <w:tcBorders>
              <w:bottom w:val="single" w:sz="4" w:space="0" w:color="auto"/>
            </w:tcBorders>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972" w:type="dxa"/>
            <w:tcBorders>
              <w:bottom w:val="single" w:sz="4" w:space="0" w:color="auto"/>
            </w:tcBorders>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838" w:type="dxa"/>
            <w:tcBorders>
              <w:bottom w:val="single" w:sz="4" w:space="0" w:color="auto"/>
            </w:tcBorders>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1.4</w:t>
            </w:r>
          </w:p>
        </w:tc>
        <w:tc>
          <w:tcPr>
            <w:tcW w:w="883" w:type="dxa"/>
            <w:tcBorders>
              <w:bottom w:val="single" w:sz="4" w:space="0" w:color="auto"/>
            </w:tcBorders>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0.3</w:t>
            </w:r>
          </w:p>
        </w:tc>
        <w:tc>
          <w:tcPr>
            <w:tcW w:w="694" w:type="dxa"/>
            <w:tcBorders>
              <w:bottom w:val="single" w:sz="4" w:space="0" w:color="auto"/>
            </w:tcBorders>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1440" w:type="dxa"/>
            <w:tcBorders>
              <w:bottom w:val="single" w:sz="4" w:space="0" w:color="auto"/>
            </w:tcBorders>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1046" w:type="dxa"/>
            <w:tcBorders>
              <w:bottom w:val="single" w:sz="4" w:space="0" w:color="auto"/>
            </w:tcBorders>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0.6</w:t>
            </w:r>
          </w:p>
        </w:tc>
        <w:tc>
          <w:tcPr>
            <w:tcW w:w="828" w:type="dxa"/>
            <w:tcBorders>
              <w:bottom w:val="single" w:sz="4" w:space="0" w:color="auto"/>
            </w:tcBorders>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0.0</w:t>
            </w:r>
          </w:p>
        </w:tc>
        <w:tc>
          <w:tcPr>
            <w:tcW w:w="772" w:type="dxa"/>
            <w:tcBorders>
              <w:bottom w:val="single" w:sz="4" w:space="0" w:color="auto"/>
            </w:tcBorders>
            <w:shd w:val="clear" w:color="auto" w:fill="auto"/>
            <w:noWrap/>
            <w:hideMark/>
          </w:tcPr>
          <w:p w:rsidR="00982169" w:rsidRPr="00FC379E" w:rsidRDefault="00982169" w:rsidP="00B105CF">
            <w:pPr>
              <w:spacing w:line="240" w:lineRule="auto"/>
              <w:jc w:val="center"/>
              <w:rPr>
                <w:rFonts w:ascii="Times New Roman" w:hAnsi="Times New Roman"/>
                <w:sz w:val="20"/>
                <w:szCs w:val="20"/>
              </w:rPr>
            </w:pPr>
            <w:r w:rsidRPr="00FC379E">
              <w:rPr>
                <w:rFonts w:ascii="Times New Roman" w:hAnsi="Times New Roman"/>
                <w:sz w:val="20"/>
                <w:szCs w:val="20"/>
              </w:rPr>
              <w:t>2.4</w:t>
            </w:r>
          </w:p>
        </w:tc>
      </w:tr>
    </w:tbl>
    <w:p w:rsidR="00982169" w:rsidRPr="00152EA4" w:rsidRDefault="00982169" w:rsidP="00982169">
      <w:pPr>
        <w:rPr>
          <w:rFonts w:ascii="Times New Roman" w:hAnsi="Times New Roman"/>
          <w:b/>
          <w:sz w:val="22"/>
          <w:szCs w:val="22"/>
        </w:rPr>
      </w:pPr>
    </w:p>
    <w:p w:rsidR="00175C21" w:rsidRDefault="00AC2F14" w:rsidP="00175C21">
      <w:pPr>
        <w:spacing w:after="0"/>
        <w:rPr>
          <w:rFonts w:ascii="Times New Roman" w:hAnsi="Times New Roman" w:cs="Times New Roman"/>
          <w:bCs/>
          <w:sz w:val="22"/>
          <w:szCs w:val="22"/>
        </w:rPr>
      </w:pPr>
      <w:r w:rsidRPr="00231910">
        <w:rPr>
          <w:rFonts w:ascii="Times New Roman" w:hAnsi="Times New Roman" w:cs="Times New Roman"/>
          <w:bCs/>
          <w:sz w:val="22"/>
          <w:szCs w:val="22"/>
        </w:rPr>
        <w:t xml:space="preserve">The crops/land production inputs </w:t>
      </w:r>
      <w:r>
        <w:rPr>
          <w:rFonts w:ascii="Times New Roman" w:hAnsi="Times New Roman" w:cs="Times New Roman"/>
          <w:bCs/>
          <w:sz w:val="22"/>
          <w:szCs w:val="22"/>
        </w:rPr>
        <w:t xml:space="preserve">for meat production found in the literature </w:t>
      </w:r>
      <w:r w:rsidRPr="00231910">
        <w:rPr>
          <w:rFonts w:ascii="Times New Roman" w:hAnsi="Times New Roman" w:cs="Times New Roman"/>
          <w:bCs/>
          <w:sz w:val="22"/>
          <w:szCs w:val="22"/>
        </w:rPr>
        <w:t xml:space="preserve">are aligned with </w:t>
      </w:r>
      <w:r>
        <w:rPr>
          <w:rFonts w:ascii="Times New Roman" w:hAnsi="Times New Roman" w:cs="Times New Roman"/>
          <w:bCs/>
          <w:sz w:val="22"/>
          <w:szCs w:val="22"/>
        </w:rPr>
        <w:t xml:space="preserve">categories in </w:t>
      </w:r>
      <w:r w:rsidRPr="00231910">
        <w:rPr>
          <w:rFonts w:ascii="Times New Roman" w:hAnsi="Times New Roman" w:cs="Times New Roman"/>
          <w:bCs/>
          <w:sz w:val="22"/>
          <w:szCs w:val="22"/>
        </w:rPr>
        <w:t xml:space="preserve">the rest of the model. </w:t>
      </w:r>
      <w:r>
        <w:rPr>
          <w:rFonts w:ascii="Times New Roman" w:hAnsi="Times New Roman" w:cs="Times New Roman"/>
          <w:bCs/>
          <w:sz w:val="22"/>
          <w:szCs w:val="22"/>
        </w:rPr>
        <w:t xml:space="preserve">However, FAOSTAT </w:t>
      </w:r>
      <w:r w:rsidRPr="00231910">
        <w:rPr>
          <w:rFonts w:ascii="Times New Roman" w:hAnsi="Times New Roman" w:cs="Times New Roman"/>
          <w:bCs/>
          <w:sz w:val="22"/>
          <w:szCs w:val="22"/>
        </w:rPr>
        <w:t xml:space="preserve">inputs do not align with the LUC model categories. Therefore, the data </w:t>
      </w:r>
      <w:r>
        <w:rPr>
          <w:rFonts w:ascii="Times New Roman" w:hAnsi="Times New Roman" w:cs="Times New Roman"/>
          <w:bCs/>
          <w:sz w:val="22"/>
          <w:szCs w:val="22"/>
        </w:rPr>
        <w:t xml:space="preserve">are </w:t>
      </w:r>
      <w:r w:rsidRPr="00231910">
        <w:rPr>
          <w:rFonts w:ascii="Times New Roman" w:hAnsi="Times New Roman" w:cs="Times New Roman"/>
          <w:bCs/>
          <w:sz w:val="22"/>
          <w:szCs w:val="22"/>
        </w:rPr>
        <w:t>aggregated from the original sources to fit into the categories used herein. The</w:t>
      </w:r>
      <w:r w:rsidR="00175C21" w:rsidRPr="00231910">
        <w:rPr>
          <w:rFonts w:ascii="Times New Roman" w:hAnsi="Times New Roman" w:cs="Times New Roman"/>
          <w:bCs/>
          <w:sz w:val="22"/>
          <w:szCs w:val="22"/>
        </w:rPr>
        <w:t xml:space="preserve"> extensive beef, goat, and sheep production system is based on Pelletier </w:t>
      </w:r>
      <w:r w:rsidR="00175C21" w:rsidRPr="00231910">
        <w:rPr>
          <w:rFonts w:ascii="Times New Roman" w:hAnsi="Times New Roman" w:cs="Times New Roman"/>
          <w:bCs/>
          <w:i/>
          <w:sz w:val="22"/>
          <w:szCs w:val="22"/>
        </w:rPr>
        <w:t>et al</w:t>
      </w:r>
      <w:r w:rsidR="00175C21" w:rsidRPr="00231910">
        <w:rPr>
          <w:rFonts w:ascii="Times New Roman" w:hAnsi="Times New Roman" w:cs="Times New Roman"/>
          <w:bCs/>
          <w:sz w:val="22"/>
          <w:szCs w:val="22"/>
        </w:rPr>
        <w:t xml:space="preserve"> (2009). The production of pig and dairy for the ROW case is assumed to be the same for the US case. Extensive poultry production is assumed to occur without biomass input; in an extensive “free range” poultry production system</w:t>
      </w:r>
      <w:r w:rsidR="009A1DFE">
        <w:rPr>
          <w:rFonts w:ascii="Times New Roman" w:hAnsi="Times New Roman" w:cs="Times New Roman"/>
          <w:bCs/>
          <w:sz w:val="22"/>
          <w:szCs w:val="22"/>
        </w:rPr>
        <w:t>,</w:t>
      </w:r>
      <w:r w:rsidR="00175C21" w:rsidRPr="00231910">
        <w:rPr>
          <w:rFonts w:ascii="Times New Roman" w:hAnsi="Times New Roman" w:cs="Times New Roman"/>
          <w:bCs/>
          <w:sz w:val="22"/>
          <w:szCs w:val="22"/>
        </w:rPr>
        <w:t xml:space="preserve"> the animals are assumed to feed primarily on insects. </w:t>
      </w:r>
    </w:p>
    <w:p w:rsidR="00D85A9F" w:rsidRDefault="00D85A9F" w:rsidP="00175C21">
      <w:pPr>
        <w:spacing w:after="0"/>
        <w:rPr>
          <w:rFonts w:ascii="Times New Roman" w:hAnsi="Times New Roman" w:cs="Times New Roman"/>
          <w:bCs/>
          <w:sz w:val="22"/>
          <w:szCs w:val="22"/>
        </w:rPr>
      </w:pPr>
    </w:p>
    <w:p w:rsidR="00AC2F14" w:rsidRDefault="00AC2F14" w:rsidP="00AC2F14">
      <w:pPr>
        <w:spacing w:after="0"/>
        <w:rPr>
          <w:rFonts w:ascii="Times New Roman" w:hAnsi="Times New Roman" w:cs="Times New Roman"/>
          <w:bCs/>
          <w:sz w:val="22"/>
          <w:szCs w:val="22"/>
        </w:rPr>
      </w:pPr>
      <w:r>
        <w:rPr>
          <w:rFonts w:ascii="Times New Roman" w:hAnsi="Times New Roman" w:cs="Times New Roman"/>
          <w:bCs/>
          <w:sz w:val="22"/>
          <w:szCs w:val="22"/>
        </w:rPr>
        <w:t xml:space="preserve">Global population assumptions used over the course of running the </w:t>
      </w:r>
      <w:proofErr w:type="spellStart"/>
      <w:r>
        <w:rPr>
          <w:rFonts w:ascii="Times New Roman" w:hAnsi="Times New Roman" w:cs="Times New Roman"/>
          <w:bCs/>
          <w:sz w:val="22"/>
          <w:szCs w:val="22"/>
        </w:rPr>
        <w:t>BioLUC</w:t>
      </w:r>
      <w:proofErr w:type="spellEnd"/>
      <w:r>
        <w:rPr>
          <w:rFonts w:ascii="Times New Roman" w:hAnsi="Times New Roman" w:cs="Times New Roman"/>
          <w:bCs/>
          <w:sz w:val="22"/>
          <w:szCs w:val="22"/>
        </w:rPr>
        <w:t xml:space="preserve"> model from 1991-2050 are shown in figure S3. Population estimates reflect </w:t>
      </w:r>
      <w:r w:rsidRPr="00D85A9F">
        <w:rPr>
          <w:rFonts w:ascii="Times New Roman" w:hAnsi="Times New Roman" w:cs="Times New Roman"/>
          <w:bCs/>
          <w:sz w:val="22"/>
          <w:szCs w:val="22"/>
        </w:rPr>
        <w:t xml:space="preserve">FAO’s </w:t>
      </w:r>
      <w:proofErr w:type="spellStart"/>
      <w:r w:rsidRPr="00D85A9F">
        <w:rPr>
          <w:rFonts w:ascii="Times New Roman" w:hAnsi="Times New Roman" w:cs="Times New Roman"/>
          <w:bCs/>
          <w:sz w:val="22"/>
          <w:szCs w:val="22"/>
        </w:rPr>
        <w:t>PopSTAT</w:t>
      </w:r>
      <w:proofErr w:type="spellEnd"/>
      <w:r w:rsidRPr="00D85A9F">
        <w:rPr>
          <w:rFonts w:ascii="Times New Roman" w:hAnsi="Times New Roman" w:cs="Times New Roman"/>
          <w:bCs/>
          <w:sz w:val="22"/>
          <w:szCs w:val="22"/>
        </w:rPr>
        <w:t xml:space="preserve"> sheet</w:t>
      </w:r>
      <w:r>
        <w:rPr>
          <w:rFonts w:ascii="Times New Roman" w:hAnsi="Times New Roman" w:cs="Times New Roman"/>
          <w:bCs/>
          <w:sz w:val="22"/>
          <w:szCs w:val="22"/>
        </w:rPr>
        <w:t xml:space="preserve"> which is part of the FAOSTAT data (2010b).</w:t>
      </w:r>
    </w:p>
    <w:p w:rsidR="00D85A9F" w:rsidRDefault="00D85A9F" w:rsidP="00175C21">
      <w:pPr>
        <w:spacing w:after="0"/>
        <w:rPr>
          <w:rFonts w:ascii="Times New Roman" w:hAnsi="Times New Roman" w:cs="Times New Roman"/>
          <w:bCs/>
          <w:sz w:val="22"/>
          <w:szCs w:val="22"/>
        </w:rPr>
      </w:pPr>
    </w:p>
    <w:p w:rsidR="00A53780" w:rsidRDefault="00A53780" w:rsidP="00175C21">
      <w:pPr>
        <w:spacing w:after="0"/>
        <w:rPr>
          <w:rFonts w:ascii="Times New Roman" w:hAnsi="Times New Roman" w:cs="Times New Roman"/>
          <w:bCs/>
          <w:sz w:val="22"/>
          <w:szCs w:val="22"/>
        </w:rPr>
      </w:pPr>
    </w:p>
    <w:p w:rsidR="00D85A9F" w:rsidRDefault="004D78C7" w:rsidP="00D85A9F">
      <w:pPr>
        <w:rPr>
          <w:rFonts w:ascii="Times New Roman" w:hAnsi="Times New Roman" w:cs="Times New Roman"/>
          <w:b/>
        </w:rPr>
      </w:pPr>
      <w:r>
        <w:rPr>
          <w:noProof/>
        </w:rPr>
        <w:drawing>
          <wp:inline distT="0" distB="0" distL="0" distR="0">
            <wp:extent cx="5943600" cy="3575050"/>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3575050"/>
                    </a:xfrm>
                    <a:prstGeom prst="rect">
                      <a:avLst/>
                    </a:prstGeom>
                  </pic:spPr>
                </pic:pic>
              </a:graphicData>
            </a:graphic>
          </wp:inline>
        </w:drawing>
      </w:r>
    </w:p>
    <w:p w:rsidR="00D85A9F" w:rsidRPr="00E96C52" w:rsidRDefault="00D22F20" w:rsidP="00D85A9F">
      <w:pPr>
        <w:rPr>
          <w:rFonts w:ascii="Times New Roman" w:hAnsi="Times New Roman" w:cs="Times New Roman"/>
          <w:sz w:val="20"/>
          <w:szCs w:val="20"/>
        </w:rPr>
      </w:pPr>
      <w:r w:rsidRPr="00D22F20">
        <w:rPr>
          <w:rFonts w:ascii="Times New Roman" w:hAnsi="Times New Roman" w:cs="Times New Roman"/>
          <w:b/>
          <w:sz w:val="20"/>
          <w:szCs w:val="20"/>
        </w:rPr>
        <w:t>Figure S3</w:t>
      </w:r>
      <w:r w:rsidR="00BC510A">
        <w:rPr>
          <w:rFonts w:ascii="Times New Roman" w:hAnsi="Times New Roman" w:cs="Times New Roman"/>
          <w:b/>
          <w:sz w:val="20"/>
          <w:szCs w:val="20"/>
        </w:rPr>
        <w:t>.</w:t>
      </w:r>
      <w:r w:rsidR="00D85A9F" w:rsidRPr="00E96C52">
        <w:rPr>
          <w:rFonts w:ascii="Times New Roman" w:hAnsi="Times New Roman" w:cs="Times New Roman"/>
          <w:b/>
          <w:sz w:val="20"/>
          <w:szCs w:val="20"/>
        </w:rPr>
        <w:t xml:space="preserve"> </w:t>
      </w:r>
      <w:proofErr w:type="gramStart"/>
      <w:r w:rsidR="00D85A9F" w:rsidRPr="00E96C52">
        <w:rPr>
          <w:rFonts w:ascii="Times New Roman" w:hAnsi="Times New Roman" w:cs="Times New Roman"/>
          <w:sz w:val="20"/>
          <w:szCs w:val="20"/>
        </w:rPr>
        <w:t>Global population assumptions from 1991 to 2050.</w:t>
      </w:r>
      <w:proofErr w:type="gramEnd"/>
    </w:p>
    <w:p w:rsidR="00175C21" w:rsidRDefault="00175C21" w:rsidP="00175C21">
      <w:pPr>
        <w:spacing w:after="0"/>
        <w:rPr>
          <w:rFonts w:ascii="Times New Roman" w:hAnsi="Times New Roman" w:cs="Times New Roman"/>
          <w:bCs/>
          <w:sz w:val="22"/>
          <w:szCs w:val="22"/>
        </w:rPr>
      </w:pPr>
    </w:p>
    <w:p w:rsidR="004B2E88" w:rsidRPr="004B2E88" w:rsidRDefault="003810F7" w:rsidP="004B2E88">
      <w:pPr>
        <w:pStyle w:val="ListParagraph"/>
        <w:numPr>
          <w:ilvl w:val="0"/>
          <w:numId w:val="5"/>
        </w:numPr>
        <w:rPr>
          <w:rFonts w:ascii="Times New Roman" w:hAnsi="Times New Roman" w:cs="Times New Roman"/>
          <w:b/>
        </w:rPr>
      </w:pPr>
      <w:r w:rsidRPr="004B2E88">
        <w:rPr>
          <w:rFonts w:ascii="Times New Roman" w:hAnsi="Times New Roman" w:cs="Times New Roman"/>
          <w:b/>
          <w:sz w:val="22"/>
          <w:szCs w:val="22"/>
        </w:rPr>
        <w:t>Scenario</w:t>
      </w:r>
      <w:r>
        <w:rPr>
          <w:rFonts w:ascii="Times New Roman" w:hAnsi="Times New Roman" w:cs="Times New Roman"/>
          <w:b/>
          <w:sz w:val="22"/>
          <w:szCs w:val="22"/>
        </w:rPr>
        <w:t>-</w:t>
      </w:r>
      <w:bookmarkStart w:id="0" w:name="_GoBack"/>
      <w:bookmarkEnd w:id="0"/>
      <w:r w:rsidR="004B2E88">
        <w:rPr>
          <w:rFonts w:ascii="Times New Roman" w:hAnsi="Times New Roman" w:cs="Times New Roman"/>
          <w:b/>
          <w:sz w:val="22"/>
          <w:szCs w:val="22"/>
        </w:rPr>
        <w:t xml:space="preserve">Based </w:t>
      </w:r>
      <w:r w:rsidR="004B2E88" w:rsidRPr="004B2E88">
        <w:rPr>
          <w:rFonts w:ascii="Times New Roman" w:hAnsi="Times New Roman" w:cs="Times New Roman"/>
          <w:b/>
          <w:sz w:val="22"/>
          <w:szCs w:val="22"/>
        </w:rPr>
        <w:t>Inputs</w:t>
      </w:r>
    </w:p>
    <w:p w:rsidR="00596499" w:rsidRDefault="00596499" w:rsidP="00596499">
      <w:pPr>
        <w:spacing w:after="0"/>
        <w:rPr>
          <w:rFonts w:ascii="Times New Roman" w:hAnsi="Times New Roman" w:cs="Times New Roman"/>
          <w:bCs/>
          <w:sz w:val="22"/>
          <w:szCs w:val="22"/>
        </w:rPr>
      </w:pPr>
      <w:r w:rsidRPr="00231910">
        <w:rPr>
          <w:rFonts w:ascii="Times New Roman" w:hAnsi="Times New Roman" w:cs="Times New Roman"/>
          <w:bCs/>
          <w:sz w:val="22"/>
          <w:szCs w:val="22"/>
        </w:rPr>
        <w:lastRenderedPageBreak/>
        <w:t xml:space="preserve">The </w:t>
      </w:r>
      <w:r>
        <w:rPr>
          <w:rFonts w:ascii="Times New Roman" w:hAnsi="Times New Roman" w:cs="Times New Roman"/>
          <w:bCs/>
          <w:sz w:val="22"/>
          <w:szCs w:val="22"/>
        </w:rPr>
        <w:t>l</w:t>
      </w:r>
      <w:r w:rsidRPr="00231910">
        <w:rPr>
          <w:rFonts w:ascii="Times New Roman" w:hAnsi="Times New Roman" w:cs="Times New Roman"/>
          <w:bCs/>
          <w:sz w:val="22"/>
          <w:szCs w:val="22"/>
        </w:rPr>
        <w:t xml:space="preserve">ower </w:t>
      </w:r>
      <w:r>
        <w:rPr>
          <w:rFonts w:ascii="Times New Roman" w:hAnsi="Times New Roman" w:cs="Times New Roman"/>
          <w:bCs/>
          <w:sz w:val="22"/>
          <w:szCs w:val="22"/>
        </w:rPr>
        <w:t>f</w:t>
      </w:r>
      <w:r w:rsidRPr="00231910">
        <w:rPr>
          <w:rFonts w:ascii="Times New Roman" w:hAnsi="Times New Roman" w:cs="Times New Roman"/>
          <w:bCs/>
          <w:sz w:val="22"/>
          <w:szCs w:val="22"/>
        </w:rPr>
        <w:t xml:space="preserve">ood </w:t>
      </w:r>
      <w:r>
        <w:rPr>
          <w:rFonts w:ascii="Times New Roman" w:hAnsi="Times New Roman" w:cs="Times New Roman"/>
          <w:bCs/>
          <w:sz w:val="22"/>
          <w:szCs w:val="22"/>
        </w:rPr>
        <w:t>d</w:t>
      </w:r>
      <w:r w:rsidRPr="00231910">
        <w:rPr>
          <w:rFonts w:ascii="Times New Roman" w:hAnsi="Times New Roman" w:cs="Times New Roman"/>
          <w:bCs/>
          <w:sz w:val="22"/>
          <w:szCs w:val="22"/>
        </w:rPr>
        <w:t xml:space="preserve">emand level </w:t>
      </w:r>
      <w:r w:rsidR="00D85A9F">
        <w:rPr>
          <w:rFonts w:ascii="Times New Roman" w:hAnsi="Times New Roman" w:cs="Times New Roman"/>
          <w:bCs/>
          <w:sz w:val="22"/>
          <w:szCs w:val="22"/>
        </w:rPr>
        <w:t xml:space="preserve">for the BAU and HB </w:t>
      </w:r>
      <w:r w:rsidR="00FD5A5E">
        <w:rPr>
          <w:rFonts w:ascii="Times New Roman" w:hAnsi="Times New Roman" w:cs="Times New Roman"/>
          <w:bCs/>
          <w:sz w:val="22"/>
          <w:szCs w:val="22"/>
        </w:rPr>
        <w:t>scenario</w:t>
      </w:r>
      <w:r w:rsidR="00D85A9F">
        <w:rPr>
          <w:rFonts w:ascii="Times New Roman" w:hAnsi="Times New Roman" w:cs="Times New Roman"/>
          <w:bCs/>
          <w:sz w:val="22"/>
          <w:szCs w:val="22"/>
        </w:rPr>
        <w:t>s</w:t>
      </w:r>
      <w:r w:rsidR="00FD5A5E">
        <w:rPr>
          <w:rFonts w:ascii="Times New Roman" w:hAnsi="Times New Roman" w:cs="Times New Roman"/>
          <w:bCs/>
          <w:sz w:val="22"/>
          <w:szCs w:val="22"/>
        </w:rPr>
        <w:t xml:space="preserve"> </w:t>
      </w:r>
      <w:r>
        <w:rPr>
          <w:rFonts w:ascii="Times New Roman" w:hAnsi="Times New Roman" w:cs="Times New Roman"/>
          <w:bCs/>
          <w:sz w:val="22"/>
          <w:szCs w:val="22"/>
        </w:rPr>
        <w:t xml:space="preserve">is </w:t>
      </w:r>
      <w:r w:rsidRPr="00231910">
        <w:rPr>
          <w:rFonts w:ascii="Times New Roman" w:hAnsi="Times New Roman" w:cs="Times New Roman"/>
          <w:bCs/>
          <w:sz w:val="22"/>
          <w:szCs w:val="22"/>
        </w:rPr>
        <w:t xml:space="preserve">developed from projections of </w:t>
      </w:r>
      <w:r w:rsidR="009A1DFE" w:rsidRPr="00231910">
        <w:rPr>
          <w:rFonts w:ascii="Times New Roman" w:hAnsi="Times New Roman" w:cs="Times New Roman"/>
          <w:bCs/>
          <w:sz w:val="22"/>
          <w:szCs w:val="22"/>
        </w:rPr>
        <w:t>per</w:t>
      </w:r>
      <w:r w:rsidR="009A1DFE">
        <w:rPr>
          <w:rFonts w:ascii="Times New Roman" w:hAnsi="Times New Roman" w:cs="Times New Roman"/>
          <w:bCs/>
          <w:sz w:val="22"/>
          <w:szCs w:val="22"/>
        </w:rPr>
        <w:t>-</w:t>
      </w:r>
      <w:r w:rsidRPr="00231910">
        <w:rPr>
          <w:rFonts w:ascii="Times New Roman" w:hAnsi="Times New Roman" w:cs="Times New Roman"/>
          <w:bCs/>
          <w:sz w:val="22"/>
          <w:szCs w:val="22"/>
        </w:rPr>
        <w:t>capita demand for commodity crops (</w:t>
      </w:r>
      <w:proofErr w:type="spellStart"/>
      <w:r w:rsidRPr="00231910">
        <w:rPr>
          <w:rFonts w:ascii="Times New Roman" w:hAnsi="Times New Roman" w:cs="Times New Roman"/>
          <w:bCs/>
          <w:sz w:val="22"/>
          <w:szCs w:val="22"/>
        </w:rPr>
        <w:t>Alexandratos</w:t>
      </w:r>
      <w:proofErr w:type="spellEnd"/>
      <w:r w:rsidRPr="00231910">
        <w:rPr>
          <w:rFonts w:ascii="Times New Roman" w:hAnsi="Times New Roman" w:cs="Times New Roman"/>
          <w:bCs/>
          <w:sz w:val="22"/>
          <w:szCs w:val="22"/>
        </w:rPr>
        <w:t xml:space="preserve"> and </w:t>
      </w:r>
      <w:proofErr w:type="spellStart"/>
      <w:r w:rsidRPr="00231910">
        <w:rPr>
          <w:rFonts w:ascii="Times New Roman" w:hAnsi="Times New Roman" w:cs="Times New Roman"/>
          <w:bCs/>
          <w:sz w:val="22"/>
          <w:szCs w:val="22"/>
        </w:rPr>
        <w:t>Bruinsma</w:t>
      </w:r>
      <w:proofErr w:type="spellEnd"/>
      <w:r w:rsidR="00347C61">
        <w:rPr>
          <w:rFonts w:ascii="Times New Roman" w:hAnsi="Times New Roman" w:cs="Times New Roman"/>
          <w:bCs/>
          <w:sz w:val="22"/>
          <w:szCs w:val="22"/>
        </w:rPr>
        <w:t xml:space="preserve"> </w:t>
      </w:r>
      <w:r w:rsidRPr="00231910">
        <w:rPr>
          <w:rFonts w:ascii="Times New Roman" w:hAnsi="Times New Roman" w:cs="Times New Roman"/>
          <w:bCs/>
          <w:sz w:val="22"/>
          <w:szCs w:val="22"/>
        </w:rPr>
        <w:t>2012)</w:t>
      </w:r>
      <w:r w:rsidR="00D8346F">
        <w:rPr>
          <w:rFonts w:ascii="Times New Roman" w:hAnsi="Times New Roman" w:cs="Times New Roman"/>
          <w:bCs/>
          <w:sz w:val="22"/>
          <w:szCs w:val="22"/>
        </w:rPr>
        <w:t xml:space="preserve"> and shown in t</w:t>
      </w:r>
      <w:r w:rsidR="00FD5A5E">
        <w:rPr>
          <w:rFonts w:ascii="Times New Roman" w:hAnsi="Times New Roman" w:cs="Times New Roman"/>
          <w:bCs/>
          <w:sz w:val="22"/>
          <w:szCs w:val="22"/>
        </w:rPr>
        <w:t xml:space="preserve">able </w:t>
      </w:r>
      <w:r w:rsidR="004B2E88">
        <w:rPr>
          <w:rFonts w:ascii="Times New Roman" w:hAnsi="Times New Roman" w:cs="Times New Roman"/>
          <w:bCs/>
          <w:sz w:val="22"/>
          <w:szCs w:val="22"/>
        </w:rPr>
        <w:t>S3</w:t>
      </w:r>
      <w:r w:rsidRPr="00231910">
        <w:rPr>
          <w:rFonts w:ascii="Times New Roman" w:hAnsi="Times New Roman" w:cs="Times New Roman"/>
          <w:bCs/>
          <w:sz w:val="22"/>
          <w:szCs w:val="22"/>
        </w:rPr>
        <w:t xml:space="preserve">. These data </w:t>
      </w:r>
      <w:r>
        <w:rPr>
          <w:rFonts w:ascii="Times New Roman" w:hAnsi="Times New Roman" w:cs="Times New Roman"/>
          <w:bCs/>
          <w:sz w:val="22"/>
          <w:szCs w:val="22"/>
        </w:rPr>
        <w:t>are</w:t>
      </w:r>
      <w:r w:rsidRPr="00231910">
        <w:rPr>
          <w:rFonts w:ascii="Times New Roman" w:hAnsi="Times New Roman" w:cs="Times New Roman"/>
          <w:bCs/>
          <w:sz w:val="22"/>
          <w:szCs w:val="22"/>
        </w:rPr>
        <w:t xml:space="preserve"> grouped into categories of “Developed countries” and “Developing countries</w:t>
      </w:r>
      <w:r>
        <w:rPr>
          <w:rFonts w:ascii="Times New Roman" w:hAnsi="Times New Roman" w:cs="Times New Roman"/>
          <w:bCs/>
          <w:sz w:val="22"/>
          <w:szCs w:val="22"/>
        </w:rPr>
        <w:t>.</w:t>
      </w:r>
      <w:r w:rsidRPr="00231910">
        <w:rPr>
          <w:rFonts w:ascii="Times New Roman" w:hAnsi="Times New Roman" w:cs="Times New Roman"/>
          <w:bCs/>
          <w:sz w:val="22"/>
          <w:szCs w:val="22"/>
        </w:rPr>
        <w:t xml:space="preserve">” Using correspondence tables within the report, we assign world regions to these categories and aggregate the data into our model regions, </w:t>
      </w:r>
      <w:r>
        <w:rPr>
          <w:rFonts w:ascii="Times New Roman" w:hAnsi="Times New Roman" w:cs="Times New Roman"/>
          <w:bCs/>
          <w:sz w:val="22"/>
          <w:szCs w:val="22"/>
        </w:rPr>
        <w:t>US</w:t>
      </w:r>
      <w:r w:rsidRPr="00231910">
        <w:rPr>
          <w:rFonts w:ascii="Times New Roman" w:hAnsi="Times New Roman" w:cs="Times New Roman"/>
          <w:bCs/>
          <w:sz w:val="22"/>
          <w:szCs w:val="22"/>
        </w:rPr>
        <w:t xml:space="preserve"> and ROW. Per</w:t>
      </w:r>
      <w:r w:rsidR="009A1DFE">
        <w:rPr>
          <w:rFonts w:ascii="Times New Roman" w:hAnsi="Times New Roman" w:cs="Times New Roman"/>
          <w:bCs/>
          <w:sz w:val="22"/>
          <w:szCs w:val="22"/>
        </w:rPr>
        <w:t>-</w:t>
      </w:r>
      <w:r w:rsidRPr="00231910">
        <w:rPr>
          <w:rFonts w:ascii="Times New Roman" w:hAnsi="Times New Roman" w:cs="Times New Roman"/>
          <w:bCs/>
          <w:sz w:val="22"/>
          <w:szCs w:val="22"/>
        </w:rPr>
        <w:t xml:space="preserve">capita commodity crop demand levels </w:t>
      </w:r>
      <w:r>
        <w:rPr>
          <w:rFonts w:ascii="Times New Roman" w:hAnsi="Times New Roman" w:cs="Times New Roman"/>
          <w:bCs/>
          <w:sz w:val="22"/>
          <w:szCs w:val="22"/>
        </w:rPr>
        <w:t>are</w:t>
      </w:r>
      <w:r w:rsidRPr="00231910">
        <w:rPr>
          <w:rFonts w:ascii="Times New Roman" w:hAnsi="Times New Roman" w:cs="Times New Roman"/>
          <w:bCs/>
          <w:sz w:val="22"/>
          <w:szCs w:val="22"/>
        </w:rPr>
        <w:t xml:space="preserve"> provided for years 2006, 2030, and 2050. Data </w:t>
      </w:r>
      <w:r>
        <w:rPr>
          <w:rFonts w:ascii="Times New Roman" w:hAnsi="Times New Roman" w:cs="Times New Roman"/>
          <w:bCs/>
          <w:sz w:val="22"/>
          <w:szCs w:val="22"/>
        </w:rPr>
        <w:t>are</w:t>
      </w:r>
      <w:r w:rsidRPr="00231910">
        <w:rPr>
          <w:rFonts w:ascii="Times New Roman" w:hAnsi="Times New Roman" w:cs="Times New Roman"/>
          <w:bCs/>
          <w:sz w:val="22"/>
          <w:szCs w:val="22"/>
        </w:rPr>
        <w:t xml:space="preserve"> assumed to be linear between provided years and </w:t>
      </w:r>
      <w:r>
        <w:rPr>
          <w:rFonts w:ascii="Times New Roman" w:hAnsi="Times New Roman" w:cs="Times New Roman"/>
          <w:bCs/>
          <w:sz w:val="22"/>
          <w:szCs w:val="22"/>
        </w:rPr>
        <w:t>are</w:t>
      </w:r>
      <w:r w:rsidRPr="00231910">
        <w:rPr>
          <w:rFonts w:ascii="Times New Roman" w:hAnsi="Times New Roman" w:cs="Times New Roman"/>
          <w:bCs/>
          <w:sz w:val="22"/>
          <w:szCs w:val="22"/>
        </w:rPr>
        <w:t xml:space="preserve"> interpolated for every year in between. </w:t>
      </w:r>
      <w:r w:rsidR="009A1DFE" w:rsidRPr="00231910">
        <w:rPr>
          <w:rFonts w:ascii="Times New Roman" w:hAnsi="Times New Roman" w:cs="Times New Roman"/>
          <w:bCs/>
          <w:sz w:val="22"/>
          <w:szCs w:val="22"/>
        </w:rPr>
        <w:t>Per</w:t>
      </w:r>
      <w:r w:rsidR="009A1DFE">
        <w:rPr>
          <w:rFonts w:ascii="Times New Roman" w:hAnsi="Times New Roman" w:cs="Times New Roman"/>
          <w:bCs/>
          <w:sz w:val="22"/>
          <w:szCs w:val="22"/>
        </w:rPr>
        <w:t>-</w:t>
      </w:r>
      <w:r w:rsidRPr="00231910">
        <w:rPr>
          <w:rFonts w:ascii="Times New Roman" w:hAnsi="Times New Roman" w:cs="Times New Roman"/>
          <w:bCs/>
          <w:sz w:val="22"/>
          <w:szCs w:val="22"/>
        </w:rPr>
        <w:t xml:space="preserve">capita food demand for animal products </w:t>
      </w:r>
      <w:r>
        <w:rPr>
          <w:rFonts w:ascii="Times New Roman" w:hAnsi="Times New Roman" w:cs="Times New Roman"/>
          <w:bCs/>
          <w:sz w:val="22"/>
          <w:szCs w:val="22"/>
        </w:rPr>
        <w:t>is</w:t>
      </w:r>
      <w:r w:rsidRPr="00231910">
        <w:rPr>
          <w:rFonts w:ascii="Times New Roman" w:hAnsi="Times New Roman" w:cs="Times New Roman"/>
          <w:bCs/>
          <w:sz w:val="22"/>
          <w:szCs w:val="22"/>
        </w:rPr>
        <w:t xml:space="preserve"> provided for 2006, </w:t>
      </w:r>
      <w:r>
        <w:rPr>
          <w:rFonts w:ascii="Times New Roman" w:hAnsi="Times New Roman" w:cs="Times New Roman"/>
          <w:bCs/>
          <w:sz w:val="22"/>
          <w:szCs w:val="22"/>
        </w:rPr>
        <w:t>and</w:t>
      </w:r>
      <w:r w:rsidRPr="00231910">
        <w:rPr>
          <w:rFonts w:ascii="Times New Roman" w:hAnsi="Times New Roman" w:cs="Times New Roman"/>
          <w:bCs/>
          <w:sz w:val="22"/>
          <w:szCs w:val="22"/>
        </w:rPr>
        <w:t xml:space="preserve"> growth rates in consumption </w:t>
      </w:r>
      <w:r>
        <w:rPr>
          <w:rFonts w:ascii="Times New Roman" w:hAnsi="Times New Roman" w:cs="Times New Roman"/>
          <w:bCs/>
          <w:sz w:val="22"/>
          <w:szCs w:val="22"/>
        </w:rPr>
        <w:t xml:space="preserve">of animal products are also provided </w:t>
      </w:r>
      <w:r w:rsidRPr="00231910">
        <w:rPr>
          <w:rFonts w:ascii="Times New Roman" w:hAnsi="Times New Roman" w:cs="Times New Roman"/>
          <w:bCs/>
          <w:sz w:val="22"/>
          <w:szCs w:val="22"/>
        </w:rPr>
        <w:t xml:space="preserve">for time periods 1991-2006 and 2006-2050. Using consumption growth rates, we </w:t>
      </w:r>
      <w:r>
        <w:rPr>
          <w:rFonts w:ascii="Times New Roman" w:hAnsi="Times New Roman" w:cs="Times New Roman"/>
          <w:bCs/>
          <w:sz w:val="22"/>
          <w:szCs w:val="22"/>
        </w:rPr>
        <w:t>are</w:t>
      </w:r>
      <w:r w:rsidRPr="00231910">
        <w:rPr>
          <w:rFonts w:ascii="Times New Roman" w:hAnsi="Times New Roman" w:cs="Times New Roman"/>
          <w:bCs/>
          <w:sz w:val="22"/>
          <w:szCs w:val="22"/>
        </w:rPr>
        <w:t xml:space="preserve"> able to generate per</w:t>
      </w:r>
      <w:r w:rsidR="009A1DFE">
        <w:rPr>
          <w:rFonts w:ascii="Times New Roman" w:hAnsi="Times New Roman" w:cs="Times New Roman"/>
          <w:bCs/>
          <w:sz w:val="22"/>
          <w:szCs w:val="22"/>
        </w:rPr>
        <w:t>-</w:t>
      </w:r>
      <w:r w:rsidRPr="00231910">
        <w:rPr>
          <w:rFonts w:ascii="Times New Roman" w:hAnsi="Times New Roman" w:cs="Times New Roman"/>
          <w:bCs/>
          <w:sz w:val="22"/>
          <w:szCs w:val="22"/>
        </w:rPr>
        <w:t>capita animal product demand levels for all years in the model. Additional scaling factors for food wastage and inefficiencies in the system (e.g., spoilage during storage and transportation) are not necessary</w:t>
      </w:r>
      <w:r w:rsidR="009A1DFE">
        <w:rPr>
          <w:rFonts w:ascii="Times New Roman" w:hAnsi="Times New Roman" w:cs="Times New Roman"/>
          <w:bCs/>
          <w:sz w:val="22"/>
          <w:szCs w:val="22"/>
        </w:rPr>
        <w:t>,</w:t>
      </w:r>
      <w:r w:rsidRPr="00231910">
        <w:rPr>
          <w:rFonts w:ascii="Times New Roman" w:hAnsi="Times New Roman" w:cs="Times New Roman"/>
          <w:bCs/>
          <w:sz w:val="22"/>
          <w:szCs w:val="22"/>
        </w:rPr>
        <w:t xml:space="preserve"> as these factors are already taken into account within </w:t>
      </w:r>
      <w:proofErr w:type="spellStart"/>
      <w:r w:rsidRPr="00231910">
        <w:rPr>
          <w:rFonts w:ascii="Times New Roman" w:hAnsi="Times New Roman" w:cs="Times New Roman"/>
          <w:bCs/>
          <w:sz w:val="22"/>
          <w:szCs w:val="22"/>
        </w:rPr>
        <w:t>Alexandratos</w:t>
      </w:r>
      <w:proofErr w:type="spellEnd"/>
      <w:r w:rsidRPr="00231910">
        <w:rPr>
          <w:rFonts w:ascii="Times New Roman" w:hAnsi="Times New Roman" w:cs="Times New Roman"/>
          <w:bCs/>
          <w:sz w:val="22"/>
          <w:szCs w:val="22"/>
        </w:rPr>
        <w:t xml:space="preserve"> and </w:t>
      </w:r>
      <w:proofErr w:type="spellStart"/>
      <w:r w:rsidRPr="00231910">
        <w:rPr>
          <w:rFonts w:ascii="Times New Roman" w:hAnsi="Times New Roman" w:cs="Times New Roman"/>
          <w:bCs/>
          <w:sz w:val="22"/>
          <w:szCs w:val="22"/>
        </w:rPr>
        <w:t>Bruinsma’s</w:t>
      </w:r>
      <w:proofErr w:type="spellEnd"/>
      <w:r w:rsidRPr="00231910">
        <w:rPr>
          <w:rFonts w:ascii="Times New Roman" w:hAnsi="Times New Roman" w:cs="Times New Roman"/>
          <w:bCs/>
          <w:sz w:val="22"/>
          <w:szCs w:val="22"/>
        </w:rPr>
        <w:t xml:space="preserve"> </w:t>
      </w:r>
      <w:r w:rsidR="009A1DFE">
        <w:rPr>
          <w:rFonts w:ascii="Times New Roman" w:hAnsi="Times New Roman" w:cs="Times New Roman"/>
          <w:bCs/>
          <w:sz w:val="22"/>
          <w:szCs w:val="22"/>
        </w:rPr>
        <w:t xml:space="preserve">(2012) </w:t>
      </w:r>
      <w:r w:rsidRPr="00231910">
        <w:rPr>
          <w:rFonts w:ascii="Times New Roman" w:hAnsi="Times New Roman" w:cs="Times New Roman"/>
          <w:bCs/>
          <w:sz w:val="22"/>
          <w:szCs w:val="22"/>
        </w:rPr>
        <w:t>data.</w:t>
      </w:r>
    </w:p>
    <w:p w:rsidR="00596499" w:rsidRDefault="00596499" w:rsidP="00596499">
      <w:pPr>
        <w:spacing w:after="0"/>
        <w:rPr>
          <w:rFonts w:ascii="Times New Roman" w:hAnsi="Times New Roman" w:cs="Times New Roman"/>
          <w:bCs/>
          <w:sz w:val="22"/>
          <w:szCs w:val="22"/>
        </w:rPr>
      </w:pPr>
    </w:p>
    <w:p w:rsidR="003E55C2" w:rsidRDefault="003E55C2" w:rsidP="00596499">
      <w:pPr>
        <w:spacing w:after="0"/>
        <w:rPr>
          <w:rFonts w:ascii="Times New Roman" w:hAnsi="Times New Roman" w:cs="Times New Roman"/>
          <w:bCs/>
          <w:sz w:val="22"/>
          <w:szCs w:val="22"/>
        </w:rPr>
      </w:pPr>
    </w:p>
    <w:p w:rsidR="003E55C2" w:rsidRDefault="003E55C2" w:rsidP="00596499">
      <w:pPr>
        <w:spacing w:after="0"/>
        <w:rPr>
          <w:rFonts w:ascii="Times New Roman" w:hAnsi="Times New Roman" w:cs="Times New Roman"/>
          <w:bCs/>
          <w:sz w:val="22"/>
          <w:szCs w:val="22"/>
        </w:rPr>
      </w:pPr>
    </w:p>
    <w:p w:rsidR="00596499" w:rsidRPr="00347C61" w:rsidRDefault="00D22F20" w:rsidP="00596499">
      <w:pPr>
        <w:rPr>
          <w:rFonts w:ascii="Times New Roman" w:hAnsi="Times New Roman" w:cs="Times New Roman"/>
          <w:sz w:val="20"/>
          <w:szCs w:val="20"/>
        </w:rPr>
      </w:pPr>
      <w:r w:rsidRPr="00D22F20">
        <w:rPr>
          <w:rFonts w:ascii="Times New Roman" w:hAnsi="Times New Roman" w:cs="Times New Roman"/>
          <w:b/>
          <w:sz w:val="20"/>
          <w:szCs w:val="20"/>
        </w:rPr>
        <w:t>Table S3</w:t>
      </w:r>
      <w:r w:rsidR="00BC510A">
        <w:rPr>
          <w:rFonts w:ascii="Times New Roman" w:hAnsi="Times New Roman" w:cs="Times New Roman"/>
          <w:sz w:val="20"/>
          <w:szCs w:val="20"/>
        </w:rPr>
        <w:t>.</w:t>
      </w:r>
      <w:r w:rsidR="00596499" w:rsidRPr="00347C61">
        <w:rPr>
          <w:rFonts w:ascii="Times New Roman" w:hAnsi="Times New Roman" w:cs="Times New Roman"/>
          <w:b/>
          <w:sz w:val="20"/>
          <w:szCs w:val="20"/>
        </w:rPr>
        <w:t xml:space="preserve"> </w:t>
      </w:r>
      <w:r w:rsidR="00596499" w:rsidRPr="00347C61">
        <w:rPr>
          <w:rFonts w:ascii="Times New Roman" w:hAnsi="Times New Roman" w:cs="Times New Roman"/>
          <w:sz w:val="20"/>
          <w:szCs w:val="20"/>
        </w:rPr>
        <w:t>BAU and HB scenario food commodity demand from 1991-2050 in kg/capita</w:t>
      </w:r>
      <w:r w:rsidR="00AC2F14">
        <w:rPr>
          <w:rFonts w:ascii="Times New Roman" w:hAnsi="Times New Roman" w:cs="Times New Roman"/>
          <w:sz w:val="20"/>
          <w:szCs w:val="20"/>
        </w:rPr>
        <w:t>-</w:t>
      </w:r>
      <w:r w:rsidR="00596499" w:rsidRPr="00AC2F14">
        <w:rPr>
          <w:rFonts w:ascii="Times New Roman" w:hAnsi="Times New Roman" w:cs="Times New Roman"/>
          <w:sz w:val="20"/>
          <w:szCs w:val="20"/>
        </w:rPr>
        <w:t>yr</w:t>
      </w:r>
      <w:r w:rsidR="00596499" w:rsidRPr="00347C61">
        <w:rPr>
          <w:rFonts w:ascii="Times New Roman" w:hAnsi="Times New Roman" w:cs="Times New Roman"/>
          <w:sz w:val="20"/>
          <w:szCs w:val="20"/>
        </w:rPr>
        <w:t>.</w:t>
      </w:r>
    </w:p>
    <w:tbl>
      <w:tblPr>
        <w:tblW w:w="7260" w:type="dxa"/>
        <w:jc w:val="center"/>
        <w:tblInd w:w="95" w:type="dxa"/>
        <w:tblLook w:val="04A0"/>
      </w:tblPr>
      <w:tblGrid>
        <w:gridCol w:w="972"/>
        <w:gridCol w:w="2740"/>
        <w:gridCol w:w="616"/>
        <w:gridCol w:w="616"/>
        <w:gridCol w:w="616"/>
        <w:gridCol w:w="616"/>
        <w:gridCol w:w="616"/>
        <w:gridCol w:w="616"/>
        <w:gridCol w:w="616"/>
      </w:tblGrid>
      <w:tr w:rsidR="0010300D" w:rsidRPr="00347C61" w:rsidTr="0010300D">
        <w:trPr>
          <w:trHeight w:val="300"/>
          <w:jc w:val="center"/>
        </w:trPr>
        <w:tc>
          <w:tcPr>
            <w:tcW w:w="880" w:type="dxa"/>
            <w:tcBorders>
              <w:top w:val="nil"/>
              <w:left w:val="nil"/>
              <w:bottom w:val="single" w:sz="4" w:space="0" w:color="auto"/>
              <w:right w:val="nil"/>
            </w:tcBorders>
            <w:shd w:val="clear" w:color="auto" w:fill="auto"/>
            <w:noWrap/>
            <w:vAlign w:val="bottom"/>
            <w:hideMark/>
          </w:tcPr>
          <w:p w:rsidR="0010300D" w:rsidRPr="00347C61" w:rsidRDefault="0010300D" w:rsidP="0010300D">
            <w:pPr>
              <w:spacing w:after="0" w:line="240" w:lineRule="auto"/>
              <w:jc w:val="center"/>
              <w:rPr>
                <w:rFonts w:ascii="Times New Roman" w:eastAsia="Times New Roman" w:hAnsi="Times New Roman" w:cs="Times New Roman"/>
                <w:b/>
                <w:bCs/>
                <w:color w:val="000000"/>
                <w:sz w:val="20"/>
                <w:szCs w:val="20"/>
              </w:rPr>
            </w:pPr>
            <w:r w:rsidRPr="00347C61">
              <w:rPr>
                <w:rFonts w:ascii="Times New Roman" w:eastAsia="Times New Roman" w:hAnsi="Times New Roman" w:cs="Times New Roman"/>
                <w:b/>
                <w:bCs/>
                <w:color w:val="000000"/>
                <w:sz w:val="20"/>
                <w:szCs w:val="20"/>
              </w:rPr>
              <w:t>Location</w:t>
            </w:r>
          </w:p>
        </w:tc>
        <w:tc>
          <w:tcPr>
            <w:tcW w:w="2740" w:type="dxa"/>
            <w:tcBorders>
              <w:top w:val="nil"/>
              <w:left w:val="nil"/>
              <w:bottom w:val="single" w:sz="4" w:space="0" w:color="auto"/>
              <w:right w:val="nil"/>
            </w:tcBorders>
            <w:shd w:val="clear" w:color="auto" w:fill="auto"/>
            <w:noWrap/>
            <w:vAlign w:val="bottom"/>
            <w:hideMark/>
          </w:tcPr>
          <w:p w:rsidR="0010300D" w:rsidRPr="00347C61" w:rsidRDefault="0010300D" w:rsidP="0010300D">
            <w:pPr>
              <w:spacing w:after="0" w:line="240" w:lineRule="auto"/>
              <w:jc w:val="center"/>
              <w:rPr>
                <w:rFonts w:ascii="Times New Roman" w:eastAsia="Times New Roman" w:hAnsi="Times New Roman" w:cs="Times New Roman"/>
                <w:b/>
                <w:bCs/>
                <w:color w:val="000000"/>
                <w:sz w:val="20"/>
                <w:szCs w:val="20"/>
              </w:rPr>
            </w:pPr>
            <w:r w:rsidRPr="00347C61">
              <w:rPr>
                <w:rFonts w:ascii="Times New Roman" w:eastAsia="Times New Roman" w:hAnsi="Times New Roman" w:cs="Times New Roman"/>
                <w:b/>
                <w:bCs/>
                <w:color w:val="000000"/>
                <w:sz w:val="20"/>
                <w:szCs w:val="20"/>
              </w:rPr>
              <w:t>Commodity Type</w:t>
            </w:r>
          </w:p>
        </w:tc>
        <w:tc>
          <w:tcPr>
            <w:tcW w:w="520" w:type="dxa"/>
            <w:tcBorders>
              <w:top w:val="nil"/>
              <w:left w:val="nil"/>
              <w:bottom w:val="single" w:sz="4" w:space="0" w:color="auto"/>
              <w:right w:val="nil"/>
            </w:tcBorders>
            <w:shd w:val="clear" w:color="auto" w:fill="auto"/>
            <w:noWrap/>
            <w:vAlign w:val="bottom"/>
            <w:hideMark/>
          </w:tcPr>
          <w:p w:rsidR="0010300D" w:rsidRPr="00347C61" w:rsidRDefault="0010300D" w:rsidP="0010300D">
            <w:pPr>
              <w:spacing w:after="0" w:line="240" w:lineRule="auto"/>
              <w:jc w:val="center"/>
              <w:rPr>
                <w:rFonts w:ascii="Times New Roman" w:eastAsia="Times New Roman" w:hAnsi="Times New Roman" w:cs="Times New Roman"/>
                <w:b/>
                <w:bCs/>
                <w:color w:val="000000"/>
                <w:sz w:val="20"/>
                <w:szCs w:val="20"/>
              </w:rPr>
            </w:pPr>
            <w:r w:rsidRPr="00347C61">
              <w:rPr>
                <w:rFonts w:ascii="Times New Roman" w:eastAsia="Times New Roman" w:hAnsi="Times New Roman" w:cs="Times New Roman"/>
                <w:b/>
                <w:bCs/>
                <w:color w:val="000000"/>
                <w:sz w:val="20"/>
                <w:szCs w:val="20"/>
              </w:rPr>
              <w:t>1991</w:t>
            </w:r>
          </w:p>
        </w:tc>
        <w:tc>
          <w:tcPr>
            <w:tcW w:w="520" w:type="dxa"/>
            <w:tcBorders>
              <w:top w:val="nil"/>
              <w:left w:val="nil"/>
              <w:bottom w:val="single" w:sz="4" w:space="0" w:color="auto"/>
              <w:right w:val="nil"/>
            </w:tcBorders>
            <w:shd w:val="clear" w:color="auto" w:fill="auto"/>
            <w:noWrap/>
            <w:vAlign w:val="bottom"/>
            <w:hideMark/>
          </w:tcPr>
          <w:p w:rsidR="0010300D" w:rsidRPr="00347C61" w:rsidRDefault="0010300D" w:rsidP="0010300D">
            <w:pPr>
              <w:spacing w:after="0" w:line="240" w:lineRule="auto"/>
              <w:jc w:val="center"/>
              <w:rPr>
                <w:rFonts w:ascii="Times New Roman" w:eastAsia="Times New Roman" w:hAnsi="Times New Roman" w:cs="Times New Roman"/>
                <w:b/>
                <w:bCs/>
                <w:color w:val="000000"/>
                <w:sz w:val="20"/>
                <w:szCs w:val="20"/>
              </w:rPr>
            </w:pPr>
            <w:r w:rsidRPr="00347C61">
              <w:rPr>
                <w:rFonts w:ascii="Times New Roman" w:eastAsia="Times New Roman" w:hAnsi="Times New Roman" w:cs="Times New Roman"/>
                <w:b/>
                <w:bCs/>
                <w:color w:val="000000"/>
                <w:sz w:val="20"/>
                <w:szCs w:val="20"/>
              </w:rPr>
              <w:t>2000</w:t>
            </w:r>
          </w:p>
        </w:tc>
        <w:tc>
          <w:tcPr>
            <w:tcW w:w="520" w:type="dxa"/>
            <w:tcBorders>
              <w:top w:val="nil"/>
              <w:left w:val="nil"/>
              <w:bottom w:val="single" w:sz="4" w:space="0" w:color="auto"/>
              <w:right w:val="nil"/>
            </w:tcBorders>
            <w:shd w:val="clear" w:color="auto" w:fill="auto"/>
            <w:noWrap/>
            <w:vAlign w:val="bottom"/>
            <w:hideMark/>
          </w:tcPr>
          <w:p w:rsidR="0010300D" w:rsidRPr="00347C61" w:rsidRDefault="0010300D" w:rsidP="0010300D">
            <w:pPr>
              <w:spacing w:after="0" w:line="240" w:lineRule="auto"/>
              <w:jc w:val="center"/>
              <w:rPr>
                <w:rFonts w:ascii="Times New Roman" w:eastAsia="Times New Roman" w:hAnsi="Times New Roman" w:cs="Times New Roman"/>
                <w:b/>
                <w:bCs/>
                <w:color w:val="000000"/>
                <w:sz w:val="20"/>
                <w:szCs w:val="20"/>
              </w:rPr>
            </w:pPr>
            <w:r w:rsidRPr="00347C61">
              <w:rPr>
                <w:rFonts w:ascii="Times New Roman" w:eastAsia="Times New Roman" w:hAnsi="Times New Roman" w:cs="Times New Roman"/>
                <w:b/>
                <w:bCs/>
                <w:color w:val="000000"/>
                <w:sz w:val="20"/>
                <w:szCs w:val="20"/>
              </w:rPr>
              <w:t>2010</w:t>
            </w:r>
          </w:p>
        </w:tc>
        <w:tc>
          <w:tcPr>
            <w:tcW w:w="520" w:type="dxa"/>
            <w:tcBorders>
              <w:top w:val="nil"/>
              <w:left w:val="nil"/>
              <w:bottom w:val="single" w:sz="4" w:space="0" w:color="auto"/>
              <w:right w:val="nil"/>
            </w:tcBorders>
            <w:shd w:val="clear" w:color="auto" w:fill="auto"/>
            <w:noWrap/>
            <w:vAlign w:val="bottom"/>
            <w:hideMark/>
          </w:tcPr>
          <w:p w:rsidR="0010300D" w:rsidRPr="00347C61" w:rsidRDefault="0010300D" w:rsidP="0010300D">
            <w:pPr>
              <w:spacing w:after="0" w:line="240" w:lineRule="auto"/>
              <w:jc w:val="center"/>
              <w:rPr>
                <w:rFonts w:ascii="Times New Roman" w:eastAsia="Times New Roman" w:hAnsi="Times New Roman" w:cs="Times New Roman"/>
                <w:b/>
                <w:bCs/>
                <w:color w:val="000000"/>
                <w:sz w:val="20"/>
                <w:szCs w:val="20"/>
              </w:rPr>
            </w:pPr>
            <w:r w:rsidRPr="00347C61">
              <w:rPr>
                <w:rFonts w:ascii="Times New Roman" w:eastAsia="Times New Roman" w:hAnsi="Times New Roman" w:cs="Times New Roman"/>
                <w:b/>
                <w:bCs/>
                <w:color w:val="000000"/>
                <w:sz w:val="20"/>
                <w:szCs w:val="20"/>
              </w:rPr>
              <w:t>2020</w:t>
            </w:r>
          </w:p>
        </w:tc>
        <w:tc>
          <w:tcPr>
            <w:tcW w:w="520" w:type="dxa"/>
            <w:tcBorders>
              <w:top w:val="nil"/>
              <w:left w:val="nil"/>
              <w:bottom w:val="single" w:sz="4" w:space="0" w:color="auto"/>
              <w:right w:val="nil"/>
            </w:tcBorders>
            <w:shd w:val="clear" w:color="auto" w:fill="auto"/>
            <w:noWrap/>
            <w:vAlign w:val="bottom"/>
            <w:hideMark/>
          </w:tcPr>
          <w:p w:rsidR="0010300D" w:rsidRPr="00347C61" w:rsidRDefault="0010300D" w:rsidP="0010300D">
            <w:pPr>
              <w:spacing w:after="0" w:line="240" w:lineRule="auto"/>
              <w:jc w:val="center"/>
              <w:rPr>
                <w:rFonts w:ascii="Times New Roman" w:eastAsia="Times New Roman" w:hAnsi="Times New Roman" w:cs="Times New Roman"/>
                <w:b/>
                <w:bCs/>
                <w:color w:val="000000"/>
                <w:sz w:val="20"/>
                <w:szCs w:val="20"/>
              </w:rPr>
            </w:pPr>
            <w:r w:rsidRPr="00347C61">
              <w:rPr>
                <w:rFonts w:ascii="Times New Roman" w:eastAsia="Times New Roman" w:hAnsi="Times New Roman" w:cs="Times New Roman"/>
                <w:b/>
                <w:bCs/>
                <w:color w:val="000000"/>
                <w:sz w:val="20"/>
                <w:szCs w:val="20"/>
              </w:rPr>
              <w:t>2030</w:t>
            </w:r>
          </w:p>
        </w:tc>
        <w:tc>
          <w:tcPr>
            <w:tcW w:w="520" w:type="dxa"/>
            <w:tcBorders>
              <w:top w:val="nil"/>
              <w:left w:val="nil"/>
              <w:bottom w:val="single" w:sz="4" w:space="0" w:color="auto"/>
              <w:right w:val="nil"/>
            </w:tcBorders>
            <w:shd w:val="clear" w:color="auto" w:fill="auto"/>
            <w:noWrap/>
            <w:vAlign w:val="bottom"/>
            <w:hideMark/>
          </w:tcPr>
          <w:p w:rsidR="0010300D" w:rsidRPr="00347C61" w:rsidRDefault="0010300D" w:rsidP="0010300D">
            <w:pPr>
              <w:spacing w:after="0" w:line="240" w:lineRule="auto"/>
              <w:jc w:val="center"/>
              <w:rPr>
                <w:rFonts w:ascii="Times New Roman" w:eastAsia="Times New Roman" w:hAnsi="Times New Roman" w:cs="Times New Roman"/>
                <w:b/>
                <w:bCs/>
                <w:color w:val="000000"/>
                <w:sz w:val="20"/>
                <w:szCs w:val="20"/>
              </w:rPr>
            </w:pPr>
            <w:r w:rsidRPr="00347C61">
              <w:rPr>
                <w:rFonts w:ascii="Times New Roman" w:eastAsia="Times New Roman" w:hAnsi="Times New Roman" w:cs="Times New Roman"/>
                <w:b/>
                <w:bCs/>
                <w:color w:val="000000"/>
                <w:sz w:val="20"/>
                <w:szCs w:val="20"/>
              </w:rPr>
              <w:t>2040</w:t>
            </w:r>
          </w:p>
        </w:tc>
        <w:tc>
          <w:tcPr>
            <w:tcW w:w="520" w:type="dxa"/>
            <w:tcBorders>
              <w:top w:val="nil"/>
              <w:left w:val="nil"/>
              <w:bottom w:val="single" w:sz="4" w:space="0" w:color="auto"/>
              <w:right w:val="nil"/>
            </w:tcBorders>
            <w:shd w:val="clear" w:color="auto" w:fill="auto"/>
            <w:noWrap/>
            <w:vAlign w:val="bottom"/>
            <w:hideMark/>
          </w:tcPr>
          <w:p w:rsidR="0010300D" w:rsidRPr="00347C61" w:rsidRDefault="0010300D" w:rsidP="0010300D">
            <w:pPr>
              <w:spacing w:after="0" w:line="240" w:lineRule="auto"/>
              <w:jc w:val="center"/>
              <w:rPr>
                <w:rFonts w:ascii="Times New Roman" w:eastAsia="Times New Roman" w:hAnsi="Times New Roman" w:cs="Times New Roman"/>
                <w:b/>
                <w:bCs/>
                <w:color w:val="000000"/>
                <w:sz w:val="20"/>
                <w:szCs w:val="20"/>
              </w:rPr>
            </w:pPr>
            <w:r w:rsidRPr="00347C61">
              <w:rPr>
                <w:rFonts w:ascii="Times New Roman" w:eastAsia="Times New Roman" w:hAnsi="Times New Roman" w:cs="Times New Roman"/>
                <w:b/>
                <w:bCs/>
                <w:color w:val="000000"/>
                <w:sz w:val="20"/>
                <w:szCs w:val="20"/>
              </w:rPr>
              <w:t>2050</w:t>
            </w:r>
          </w:p>
        </w:tc>
      </w:tr>
      <w:tr w:rsidR="0010300D" w:rsidRPr="00347C61" w:rsidTr="0010300D">
        <w:trPr>
          <w:trHeight w:val="300"/>
          <w:jc w:val="center"/>
        </w:trPr>
        <w:tc>
          <w:tcPr>
            <w:tcW w:w="880" w:type="dxa"/>
            <w:vMerge w:val="restart"/>
            <w:tcBorders>
              <w:top w:val="nil"/>
              <w:left w:val="nil"/>
              <w:bottom w:val="single" w:sz="4" w:space="0" w:color="000000"/>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ROW</w:t>
            </w:r>
          </w:p>
        </w:tc>
        <w:tc>
          <w:tcPr>
            <w:tcW w:w="2740" w:type="dxa"/>
            <w:tcBorders>
              <w:top w:val="nil"/>
              <w:left w:val="nil"/>
              <w:bottom w:val="nil"/>
              <w:right w:val="nil"/>
            </w:tcBorders>
            <w:shd w:val="clear" w:color="auto" w:fill="auto"/>
            <w:noWrap/>
            <w:vAlign w:val="bottom"/>
            <w:hideMark/>
          </w:tcPr>
          <w:p w:rsidR="0010300D" w:rsidRPr="00347C61" w:rsidRDefault="0010300D" w:rsidP="00347C61">
            <w:pPr>
              <w:spacing w:after="0" w:line="240" w:lineRule="auto"/>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cow/sheep/goat</w:t>
            </w:r>
            <w:r w:rsidR="00347C61">
              <w:rPr>
                <w:rFonts w:ascii="Times New Roman" w:eastAsia="Times New Roman" w:hAnsi="Times New Roman" w:cs="Times New Roman"/>
                <w:color w:val="000000"/>
                <w:sz w:val="20"/>
                <w:szCs w:val="20"/>
              </w:rPr>
              <w:t>-</w:t>
            </w:r>
            <w:r w:rsidRPr="00347C61">
              <w:rPr>
                <w:rFonts w:ascii="Times New Roman" w:eastAsia="Times New Roman" w:hAnsi="Times New Roman" w:cs="Times New Roman"/>
                <w:color w:val="000000"/>
                <w:sz w:val="20"/>
                <w:szCs w:val="20"/>
              </w:rPr>
              <w:t>like meat</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11</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11</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11</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11</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11</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12</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12</w:t>
            </w:r>
          </w:p>
        </w:tc>
      </w:tr>
      <w:tr w:rsidR="0010300D" w:rsidRPr="00347C61" w:rsidTr="0010300D">
        <w:trPr>
          <w:trHeight w:val="300"/>
          <w:jc w:val="center"/>
        </w:trPr>
        <w:tc>
          <w:tcPr>
            <w:tcW w:w="880" w:type="dxa"/>
            <w:vMerge/>
            <w:tcBorders>
              <w:top w:val="nil"/>
              <w:left w:val="nil"/>
              <w:bottom w:val="single" w:sz="4" w:space="0" w:color="000000"/>
              <w:right w:val="nil"/>
            </w:tcBorders>
            <w:vAlign w:val="center"/>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10300D" w:rsidRPr="00347C61" w:rsidRDefault="00347C61" w:rsidP="00347C61">
            <w:pPr>
              <w:spacing w:after="0" w:line="240" w:lineRule="auto"/>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d</w:t>
            </w:r>
            <w:r>
              <w:rPr>
                <w:rFonts w:ascii="Times New Roman" w:eastAsia="Times New Roman" w:hAnsi="Times New Roman" w:cs="Times New Roman"/>
                <w:color w:val="000000"/>
                <w:sz w:val="20"/>
                <w:szCs w:val="20"/>
              </w:rPr>
              <w:t>ai</w:t>
            </w:r>
            <w:r w:rsidRPr="00347C61">
              <w:rPr>
                <w:rFonts w:ascii="Times New Roman" w:eastAsia="Times New Roman" w:hAnsi="Times New Roman" w:cs="Times New Roman"/>
                <w:color w:val="000000"/>
                <w:sz w:val="20"/>
                <w:szCs w:val="20"/>
              </w:rPr>
              <w:t>ry</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70</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74</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79</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83</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87</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90</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94</w:t>
            </w:r>
          </w:p>
        </w:tc>
      </w:tr>
      <w:tr w:rsidR="0010300D" w:rsidRPr="00347C61" w:rsidTr="0010300D">
        <w:trPr>
          <w:trHeight w:val="300"/>
          <w:jc w:val="center"/>
        </w:trPr>
        <w:tc>
          <w:tcPr>
            <w:tcW w:w="880" w:type="dxa"/>
            <w:vMerge/>
            <w:tcBorders>
              <w:top w:val="nil"/>
              <w:left w:val="nil"/>
              <w:bottom w:val="single" w:sz="4" w:space="0" w:color="000000"/>
              <w:right w:val="nil"/>
            </w:tcBorders>
            <w:vAlign w:val="center"/>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10300D" w:rsidRPr="00347C61" w:rsidRDefault="00347C61" w:rsidP="00347C61">
            <w:pPr>
              <w:spacing w:after="0" w:line="240" w:lineRule="auto"/>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pig</w:t>
            </w:r>
            <w:r>
              <w:rPr>
                <w:rFonts w:ascii="Times New Roman" w:eastAsia="Times New Roman" w:hAnsi="Times New Roman" w:cs="Times New Roman"/>
                <w:color w:val="000000"/>
                <w:sz w:val="20"/>
                <w:szCs w:val="20"/>
              </w:rPr>
              <w:t>-</w:t>
            </w:r>
            <w:r w:rsidR="0010300D" w:rsidRPr="00347C61">
              <w:rPr>
                <w:rFonts w:ascii="Times New Roman" w:eastAsia="Times New Roman" w:hAnsi="Times New Roman" w:cs="Times New Roman"/>
                <w:color w:val="000000"/>
                <w:sz w:val="20"/>
                <w:szCs w:val="20"/>
              </w:rPr>
              <w:t>like meat</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13</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14</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15</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15</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16</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16</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17</w:t>
            </w:r>
          </w:p>
        </w:tc>
      </w:tr>
      <w:tr w:rsidR="0010300D" w:rsidRPr="00347C61" w:rsidTr="0010300D">
        <w:trPr>
          <w:trHeight w:val="300"/>
          <w:jc w:val="center"/>
        </w:trPr>
        <w:tc>
          <w:tcPr>
            <w:tcW w:w="880" w:type="dxa"/>
            <w:vMerge/>
            <w:tcBorders>
              <w:top w:val="nil"/>
              <w:left w:val="nil"/>
              <w:bottom w:val="single" w:sz="4" w:space="0" w:color="000000"/>
              <w:right w:val="nil"/>
            </w:tcBorders>
            <w:vAlign w:val="center"/>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10300D" w:rsidRPr="00347C61" w:rsidRDefault="00347C61" w:rsidP="00347C61">
            <w:pPr>
              <w:spacing w:after="0" w:line="240" w:lineRule="auto"/>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poultry</w:t>
            </w:r>
            <w:r>
              <w:rPr>
                <w:rFonts w:ascii="Times New Roman" w:eastAsia="Times New Roman" w:hAnsi="Times New Roman" w:cs="Times New Roman"/>
                <w:color w:val="000000"/>
                <w:sz w:val="20"/>
                <w:szCs w:val="20"/>
              </w:rPr>
              <w:t>-</w:t>
            </w:r>
            <w:r w:rsidR="0010300D" w:rsidRPr="00347C61">
              <w:rPr>
                <w:rFonts w:ascii="Times New Roman" w:eastAsia="Times New Roman" w:hAnsi="Times New Roman" w:cs="Times New Roman"/>
                <w:color w:val="000000"/>
                <w:sz w:val="20"/>
                <w:szCs w:val="20"/>
              </w:rPr>
              <w:t>like meat</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7.0</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9.1</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12</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13</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14</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16</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18</w:t>
            </w:r>
          </w:p>
        </w:tc>
      </w:tr>
      <w:tr w:rsidR="0010300D" w:rsidRPr="00347C61" w:rsidTr="0010300D">
        <w:trPr>
          <w:trHeight w:val="300"/>
          <w:jc w:val="center"/>
        </w:trPr>
        <w:tc>
          <w:tcPr>
            <w:tcW w:w="880" w:type="dxa"/>
            <w:vMerge/>
            <w:tcBorders>
              <w:top w:val="nil"/>
              <w:left w:val="nil"/>
              <w:bottom w:val="single" w:sz="4" w:space="0" w:color="000000"/>
              <w:right w:val="nil"/>
            </w:tcBorders>
            <w:vAlign w:val="center"/>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maize</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37</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36</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37</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39</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42</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42</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42</w:t>
            </w:r>
          </w:p>
        </w:tc>
      </w:tr>
      <w:tr w:rsidR="0010300D" w:rsidRPr="00347C61" w:rsidTr="0010300D">
        <w:trPr>
          <w:trHeight w:val="300"/>
          <w:jc w:val="center"/>
        </w:trPr>
        <w:tc>
          <w:tcPr>
            <w:tcW w:w="880" w:type="dxa"/>
            <w:vMerge/>
            <w:tcBorders>
              <w:top w:val="nil"/>
              <w:left w:val="nil"/>
              <w:bottom w:val="single" w:sz="4" w:space="0" w:color="000000"/>
              <w:right w:val="nil"/>
            </w:tcBorders>
            <w:vAlign w:val="center"/>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wheat</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53</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52</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51</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50</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49</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49</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49</w:t>
            </w:r>
          </w:p>
        </w:tc>
      </w:tr>
      <w:tr w:rsidR="0010300D" w:rsidRPr="00347C61" w:rsidTr="0010300D">
        <w:trPr>
          <w:trHeight w:val="300"/>
          <w:jc w:val="center"/>
        </w:trPr>
        <w:tc>
          <w:tcPr>
            <w:tcW w:w="880" w:type="dxa"/>
            <w:vMerge/>
            <w:tcBorders>
              <w:top w:val="nil"/>
              <w:left w:val="nil"/>
              <w:bottom w:val="single" w:sz="4" w:space="0" w:color="000000"/>
              <w:right w:val="nil"/>
            </w:tcBorders>
            <w:vAlign w:val="center"/>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rice</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38</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37</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36</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35</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34</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34</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34</w:t>
            </w:r>
          </w:p>
        </w:tc>
      </w:tr>
      <w:tr w:rsidR="0010300D" w:rsidRPr="00347C61" w:rsidTr="0010300D">
        <w:trPr>
          <w:trHeight w:val="300"/>
          <w:jc w:val="center"/>
        </w:trPr>
        <w:tc>
          <w:tcPr>
            <w:tcW w:w="880" w:type="dxa"/>
            <w:vMerge/>
            <w:tcBorders>
              <w:top w:val="nil"/>
              <w:left w:val="nil"/>
              <w:bottom w:val="single" w:sz="4" w:space="0" w:color="000000"/>
              <w:right w:val="nil"/>
            </w:tcBorders>
            <w:vAlign w:val="center"/>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other cereals</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33</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32</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32</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33</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34</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34</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34</w:t>
            </w:r>
          </w:p>
        </w:tc>
      </w:tr>
      <w:tr w:rsidR="0010300D" w:rsidRPr="00347C61" w:rsidTr="0010300D">
        <w:trPr>
          <w:trHeight w:val="300"/>
          <w:jc w:val="center"/>
        </w:trPr>
        <w:tc>
          <w:tcPr>
            <w:tcW w:w="880" w:type="dxa"/>
            <w:vMerge/>
            <w:tcBorders>
              <w:top w:val="nil"/>
              <w:left w:val="nil"/>
              <w:bottom w:val="single" w:sz="4" w:space="0" w:color="000000"/>
              <w:right w:val="nil"/>
            </w:tcBorders>
            <w:vAlign w:val="center"/>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oils (from crops)</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10</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11</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12</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13</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14</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15</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16</w:t>
            </w:r>
          </w:p>
        </w:tc>
      </w:tr>
      <w:tr w:rsidR="0010300D" w:rsidRPr="00347C61" w:rsidTr="0010300D">
        <w:trPr>
          <w:trHeight w:val="300"/>
          <w:jc w:val="center"/>
        </w:trPr>
        <w:tc>
          <w:tcPr>
            <w:tcW w:w="880" w:type="dxa"/>
            <w:vMerge/>
            <w:tcBorders>
              <w:top w:val="nil"/>
              <w:left w:val="nil"/>
              <w:bottom w:val="single" w:sz="4" w:space="0" w:color="000000"/>
              <w:right w:val="nil"/>
            </w:tcBorders>
            <w:vAlign w:val="center"/>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sugar</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22</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21</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22</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22</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23</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24</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25</w:t>
            </w:r>
          </w:p>
        </w:tc>
      </w:tr>
      <w:tr w:rsidR="0010300D" w:rsidRPr="00347C61" w:rsidTr="0010300D">
        <w:trPr>
          <w:trHeight w:val="300"/>
          <w:jc w:val="center"/>
        </w:trPr>
        <w:tc>
          <w:tcPr>
            <w:tcW w:w="880" w:type="dxa"/>
            <w:vMerge/>
            <w:tcBorders>
              <w:top w:val="nil"/>
              <w:left w:val="nil"/>
              <w:bottom w:val="single" w:sz="4" w:space="0" w:color="000000"/>
              <w:right w:val="nil"/>
            </w:tcBorders>
            <w:vAlign w:val="center"/>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single" w:sz="4" w:space="0" w:color="auto"/>
              <w:right w:val="nil"/>
            </w:tcBorders>
            <w:shd w:val="clear" w:color="auto" w:fill="auto"/>
            <w:noWrap/>
            <w:vAlign w:val="bottom"/>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vegetable</w:t>
            </w:r>
            <w:r w:rsidR="00347C61">
              <w:rPr>
                <w:rFonts w:ascii="Times New Roman" w:eastAsia="Times New Roman" w:hAnsi="Times New Roman" w:cs="Times New Roman"/>
                <w:color w:val="000000"/>
                <w:sz w:val="20"/>
                <w:szCs w:val="20"/>
              </w:rPr>
              <w:t>s</w:t>
            </w:r>
            <w:r w:rsidRPr="00347C61">
              <w:rPr>
                <w:rFonts w:ascii="Times New Roman" w:eastAsia="Times New Roman" w:hAnsi="Times New Roman" w:cs="Times New Roman"/>
                <w:color w:val="000000"/>
                <w:sz w:val="20"/>
                <w:szCs w:val="20"/>
              </w:rPr>
              <w:t>, fruit</w:t>
            </w:r>
            <w:r w:rsidR="00347C61">
              <w:rPr>
                <w:rFonts w:ascii="Times New Roman" w:eastAsia="Times New Roman" w:hAnsi="Times New Roman" w:cs="Times New Roman"/>
                <w:color w:val="000000"/>
                <w:sz w:val="20"/>
                <w:szCs w:val="20"/>
              </w:rPr>
              <w:t>s</w:t>
            </w:r>
            <w:r w:rsidRPr="00347C61">
              <w:rPr>
                <w:rFonts w:ascii="Times New Roman" w:eastAsia="Times New Roman" w:hAnsi="Times New Roman" w:cs="Times New Roman"/>
                <w:color w:val="000000"/>
                <w:sz w:val="20"/>
                <w:szCs w:val="20"/>
              </w:rPr>
              <w:t>, and nuts</w:t>
            </w:r>
          </w:p>
        </w:tc>
        <w:tc>
          <w:tcPr>
            <w:tcW w:w="520" w:type="dxa"/>
            <w:tcBorders>
              <w:top w:val="nil"/>
              <w:left w:val="nil"/>
              <w:bottom w:val="single" w:sz="4" w:space="0" w:color="auto"/>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73</w:t>
            </w:r>
          </w:p>
        </w:tc>
        <w:tc>
          <w:tcPr>
            <w:tcW w:w="520" w:type="dxa"/>
            <w:tcBorders>
              <w:top w:val="nil"/>
              <w:left w:val="nil"/>
              <w:bottom w:val="single" w:sz="4" w:space="0" w:color="auto"/>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74</w:t>
            </w:r>
          </w:p>
        </w:tc>
        <w:tc>
          <w:tcPr>
            <w:tcW w:w="520" w:type="dxa"/>
            <w:tcBorders>
              <w:top w:val="nil"/>
              <w:left w:val="nil"/>
              <w:bottom w:val="single" w:sz="4" w:space="0" w:color="auto"/>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76</w:t>
            </w:r>
          </w:p>
        </w:tc>
        <w:tc>
          <w:tcPr>
            <w:tcW w:w="520" w:type="dxa"/>
            <w:tcBorders>
              <w:top w:val="nil"/>
              <w:left w:val="nil"/>
              <w:bottom w:val="single" w:sz="4" w:space="0" w:color="auto"/>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78</w:t>
            </w:r>
          </w:p>
        </w:tc>
        <w:tc>
          <w:tcPr>
            <w:tcW w:w="520" w:type="dxa"/>
            <w:tcBorders>
              <w:top w:val="nil"/>
              <w:left w:val="nil"/>
              <w:bottom w:val="single" w:sz="4" w:space="0" w:color="auto"/>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81</w:t>
            </w:r>
          </w:p>
        </w:tc>
        <w:tc>
          <w:tcPr>
            <w:tcW w:w="520" w:type="dxa"/>
            <w:tcBorders>
              <w:top w:val="nil"/>
              <w:left w:val="nil"/>
              <w:bottom w:val="single" w:sz="4" w:space="0" w:color="auto"/>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83</w:t>
            </w:r>
          </w:p>
        </w:tc>
        <w:tc>
          <w:tcPr>
            <w:tcW w:w="520" w:type="dxa"/>
            <w:tcBorders>
              <w:top w:val="nil"/>
              <w:left w:val="nil"/>
              <w:bottom w:val="single" w:sz="4" w:space="0" w:color="auto"/>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85</w:t>
            </w:r>
          </w:p>
        </w:tc>
      </w:tr>
      <w:tr w:rsidR="0010300D" w:rsidRPr="00347C61" w:rsidTr="0010300D">
        <w:trPr>
          <w:trHeight w:val="300"/>
          <w:jc w:val="center"/>
        </w:trPr>
        <w:tc>
          <w:tcPr>
            <w:tcW w:w="880" w:type="dxa"/>
            <w:vMerge w:val="restart"/>
            <w:tcBorders>
              <w:top w:val="nil"/>
              <w:left w:val="nil"/>
              <w:bottom w:val="single" w:sz="4" w:space="0" w:color="000000"/>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USA</w:t>
            </w:r>
          </w:p>
        </w:tc>
        <w:tc>
          <w:tcPr>
            <w:tcW w:w="2740" w:type="dxa"/>
            <w:tcBorders>
              <w:top w:val="nil"/>
              <w:left w:val="nil"/>
              <w:bottom w:val="nil"/>
              <w:right w:val="nil"/>
            </w:tcBorders>
            <w:shd w:val="clear" w:color="auto" w:fill="auto"/>
            <w:noWrap/>
            <w:vAlign w:val="bottom"/>
            <w:hideMark/>
          </w:tcPr>
          <w:p w:rsidR="0010300D" w:rsidRPr="00347C61" w:rsidRDefault="0010300D" w:rsidP="00347C61">
            <w:pPr>
              <w:spacing w:after="0" w:line="240" w:lineRule="auto"/>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cow/sheep/</w:t>
            </w:r>
            <w:r w:rsidR="00347C61" w:rsidRPr="00347C61">
              <w:rPr>
                <w:rFonts w:ascii="Times New Roman" w:eastAsia="Times New Roman" w:hAnsi="Times New Roman" w:cs="Times New Roman"/>
                <w:color w:val="000000"/>
                <w:sz w:val="20"/>
                <w:szCs w:val="20"/>
              </w:rPr>
              <w:t>goat</w:t>
            </w:r>
            <w:r w:rsidR="00347C61">
              <w:rPr>
                <w:rFonts w:ascii="Times New Roman" w:eastAsia="Times New Roman" w:hAnsi="Times New Roman" w:cs="Times New Roman"/>
                <w:color w:val="000000"/>
                <w:sz w:val="20"/>
                <w:szCs w:val="20"/>
              </w:rPr>
              <w:t>-</w:t>
            </w:r>
            <w:r w:rsidRPr="00347C61">
              <w:rPr>
                <w:rFonts w:ascii="Times New Roman" w:eastAsia="Times New Roman" w:hAnsi="Times New Roman" w:cs="Times New Roman"/>
                <w:color w:val="000000"/>
                <w:sz w:val="20"/>
                <w:szCs w:val="20"/>
              </w:rPr>
              <w:t>like meat</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26</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25</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24</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24</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25</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25</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25</w:t>
            </w:r>
          </w:p>
        </w:tc>
      </w:tr>
      <w:tr w:rsidR="0010300D" w:rsidRPr="00347C61" w:rsidTr="0010300D">
        <w:trPr>
          <w:trHeight w:val="300"/>
          <w:jc w:val="center"/>
        </w:trPr>
        <w:tc>
          <w:tcPr>
            <w:tcW w:w="880" w:type="dxa"/>
            <w:vMerge/>
            <w:tcBorders>
              <w:top w:val="nil"/>
              <w:left w:val="nil"/>
              <w:bottom w:val="single" w:sz="4" w:space="0" w:color="000000"/>
              <w:right w:val="nil"/>
            </w:tcBorders>
            <w:vAlign w:val="center"/>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10300D" w:rsidRPr="00347C61" w:rsidRDefault="00347C61" w:rsidP="0010300D">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dairy</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201</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202</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204</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210</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215</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219</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222</w:t>
            </w:r>
          </w:p>
        </w:tc>
      </w:tr>
      <w:tr w:rsidR="0010300D" w:rsidRPr="00347C61" w:rsidTr="0010300D">
        <w:trPr>
          <w:trHeight w:val="300"/>
          <w:jc w:val="center"/>
        </w:trPr>
        <w:tc>
          <w:tcPr>
            <w:tcW w:w="880" w:type="dxa"/>
            <w:vMerge/>
            <w:tcBorders>
              <w:top w:val="nil"/>
              <w:left w:val="nil"/>
              <w:bottom w:val="single" w:sz="4" w:space="0" w:color="000000"/>
              <w:right w:val="nil"/>
            </w:tcBorders>
            <w:vAlign w:val="center"/>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10300D" w:rsidRPr="00347C61" w:rsidRDefault="00347C61" w:rsidP="00347C61">
            <w:pPr>
              <w:spacing w:after="0" w:line="240" w:lineRule="auto"/>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pig</w:t>
            </w:r>
            <w:r>
              <w:rPr>
                <w:rFonts w:ascii="Times New Roman" w:eastAsia="Times New Roman" w:hAnsi="Times New Roman" w:cs="Times New Roman"/>
                <w:color w:val="000000"/>
                <w:sz w:val="20"/>
                <w:szCs w:val="20"/>
              </w:rPr>
              <w:t>-</w:t>
            </w:r>
            <w:r w:rsidR="0010300D" w:rsidRPr="00347C61">
              <w:rPr>
                <w:rFonts w:ascii="Times New Roman" w:eastAsia="Times New Roman" w:hAnsi="Times New Roman" w:cs="Times New Roman"/>
                <w:color w:val="000000"/>
                <w:sz w:val="20"/>
                <w:szCs w:val="20"/>
              </w:rPr>
              <w:t>like meat</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31</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32</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33</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33</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34</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34</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35</w:t>
            </w:r>
          </w:p>
        </w:tc>
      </w:tr>
      <w:tr w:rsidR="0010300D" w:rsidRPr="00347C61" w:rsidTr="0010300D">
        <w:trPr>
          <w:trHeight w:val="300"/>
          <w:jc w:val="center"/>
        </w:trPr>
        <w:tc>
          <w:tcPr>
            <w:tcW w:w="880" w:type="dxa"/>
            <w:vMerge/>
            <w:tcBorders>
              <w:top w:val="nil"/>
              <w:left w:val="nil"/>
              <w:bottom w:val="single" w:sz="4" w:space="0" w:color="000000"/>
              <w:right w:val="nil"/>
            </w:tcBorders>
            <w:vAlign w:val="center"/>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10300D" w:rsidRPr="00347C61" w:rsidRDefault="00347C61" w:rsidP="00347C61">
            <w:pPr>
              <w:spacing w:after="0" w:line="240" w:lineRule="auto"/>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poultry</w:t>
            </w:r>
            <w:r>
              <w:rPr>
                <w:rFonts w:ascii="Times New Roman" w:eastAsia="Times New Roman" w:hAnsi="Times New Roman" w:cs="Times New Roman"/>
                <w:color w:val="000000"/>
                <w:sz w:val="20"/>
                <w:szCs w:val="20"/>
              </w:rPr>
              <w:t>-</w:t>
            </w:r>
            <w:r w:rsidR="0010300D" w:rsidRPr="00347C61">
              <w:rPr>
                <w:rFonts w:ascii="Times New Roman" w:eastAsia="Times New Roman" w:hAnsi="Times New Roman" w:cs="Times New Roman"/>
                <w:color w:val="000000"/>
                <w:sz w:val="20"/>
                <w:szCs w:val="20"/>
              </w:rPr>
              <w:t>like meat</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19</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22</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25</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27</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29</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31</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33</w:t>
            </w:r>
          </w:p>
        </w:tc>
      </w:tr>
      <w:tr w:rsidR="0010300D" w:rsidRPr="00347C61" w:rsidTr="0010300D">
        <w:trPr>
          <w:trHeight w:val="300"/>
          <w:jc w:val="center"/>
        </w:trPr>
        <w:tc>
          <w:tcPr>
            <w:tcW w:w="880" w:type="dxa"/>
            <w:vMerge/>
            <w:tcBorders>
              <w:top w:val="nil"/>
              <w:left w:val="nil"/>
              <w:bottom w:val="single" w:sz="4" w:space="0" w:color="000000"/>
              <w:right w:val="nil"/>
            </w:tcBorders>
            <w:vAlign w:val="center"/>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maize</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37</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38</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39</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42</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44</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44</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44</w:t>
            </w:r>
          </w:p>
        </w:tc>
      </w:tr>
      <w:tr w:rsidR="0010300D" w:rsidRPr="00347C61" w:rsidTr="0010300D">
        <w:trPr>
          <w:trHeight w:val="300"/>
          <w:jc w:val="center"/>
        </w:trPr>
        <w:tc>
          <w:tcPr>
            <w:tcW w:w="880" w:type="dxa"/>
            <w:vMerge/>
            <w:tcBorders>
              <w:top w:val="nil"/>
              <w:left w:val="nil"/>
              <w:bottom w:val="single" w:sz="4" w:space="0" w:color="000000"/>
              <w:right w:val="nil"/>
            </w:tcBorders>
            <w:vAlign w:val="center"/>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wheat</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53</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54</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54</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53</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51</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51</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51</w:t>
            </w:r>
          </w:p>
        </w:tc>
      </w:tr>
      <w:tr w:rsidR="0010300D" w:rsidRPr="00347C61" w:rsidTr="0010300D">
        <w:trPr>
          <w:trHeight w:val="300"/>
          <w:jc w:val="center"/>
        </w:trPr>
        <w:tc>
          <w:tcPr>
            <w:tcW w:w="880" w:type="dxa"/>
            <w:vMerge/>
            <w:tcBorders>
              <w:top w:val="nil"/>
              <w:left w:val="nil"/>
              <w:bottom w:val="single" w:sz="4" w:space="0" w:color="000000"/>
              <w:right w:val="nil"/>
            </w:tcBorders>
            <w:vAlign w:val="center"/>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rice</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38</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39</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39</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37</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35</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35</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35</w:t>
            </w:r>
          </w:p>
        </w:tc>
      </w:tr>
      <w:tr w:rsidR="0010300D" w:rsidRPr="00347C61" w:rsidTr="0010300D">
        <w:trPr>
          <w:trHeight w:val="300"/>
          <w:jc w:val="center"/>
        </w:trPr>
        <w:tc>
          <w:tcPr>
            <w:tcW w:w="880" w:type="dxa"/>
            <w:vMerge/>
            <w:tcBorders>
              <w:top w:val="nil"/>
              <w:left w:val="nil"/>
              <w:bottom w:val="single" w:sz="4" w:space="0" w:color="000000"/>
              <w:right w:val="nil"/>
            </w:tcBorders>
            <w:vAlign w:val="center"/>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other cereals</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33</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34</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35</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35</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36</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36</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36</w:t>
            </w:r>
          </w:p>
        </w:tc>
      </w:tr>
      <w:tr w:rsidR="0010300D" w:rsidRPr="00347C61" w:rsidTr="0010300D">
        <w:trPr>
          <w:trHeight w:val="300"/>
          <w:jc w:val="center"/>
        </w:trPr>
        <w:tc>
          <w:tcPr>
            <w:tcW w:w="880" w:type="dxa"/>
            <w:vMerge/>
            <w:tcBorders>
              <w:top w:val="nil"/>
              <w:left w:val="nil"/>
              <w:bottom w:val="single" w:sz="4" w:space="0" w:color="000000"/>
              <w:right w:val="nil"/>
            </w:tcBorders>
            <w:vAlign w:val="center"/>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oils (from crops)</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16</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18</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19</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20</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20</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21</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21</w:t>
            </w:r>
          </w:p>
        </w:tc>
      </w:tr>
      <w:tr w:rsidR="0010300D" w:rsidRPr="00347C61" w:rsidTr="0010300D">
        <w:trPr>
          <w:trHeight w:val="300"/>
          <w:jc w:val="center"/>
        </w:trPr>
        <w:tc>
          <w:tcPr>
            <w:tcW w:w="880" w:type="dxa"/>
            <w:vMerge/>
            <w:tcBorders>
              <w:top w:val="nil"/>
              <w:left w:val="nil"/>
              <w:bottom w:val="single" w:sz="4" w:space="0" w:color="000000"/>
              <w:right w:val="nil"/>
            </w:tcBorders>
            <w:vAlign w:val="center"/>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sugar</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36</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35</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34</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33</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33</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33</w:t>
            </w:r>
          </w:p>
        </w:tc>
        <w:tc>
          <w:tcPr>
            <w:tcW w:w="520" w:type="dxa"/>
            <w:tcBorders>
              <w:top w:val="nil"/>
              <w:left w:val="nil"/>
              <w:bottom w:val="nil"/>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33</w:t>
            </w:r>
          </w:p>
        </w:tc>
      </w:tr>
      <w:tr w:rsidR="0010300D" w:rsidRPr="00347C61" w:rsidTr="0010300D">
        <w:trPr>
          <w:trHeight w:val="300"/>
          <w:jc w:val="center"/>
        </w:trPr>
        <w:tc>
          <w:tcPr>
            <w:tcW w:w="880" w:type="dxa"/>
            <w:vMerge/>
            <w:tcBorders>
              <w:top w:val="nil"/>
              <w:left w:val="nil"/>
              <w:bottom w:val="single" w:sz="4" w:space="0" w:color="000000"/>
              <w:right w:val="nil"/>
            </w:tcBorders>
            <w:vAlign w:val="center"/>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single" w:sz="4" w:space="0" w:color="auto"/>
              <w:right w:val="nil"/>
            </w:tcBorders>
            <w:shd w:val="clear" w:color="auto" w:fill="auto"/>
            <w:noWrap/>
            <w:vAlign w:val="bottom"/>
            <w:hideMark/>
          </w:tcPr>
          <w:p w:rsidR="0010300D" w:rsidRPr="00347C61" w:rsidRDefault="0010300D" w:rsidP="0010300D">
            <w:pPr>
              <w:spacing w:after="0" w:line="240" w:lineRule="auto"/>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vegetable</w:t>
            </w:r>
            <w:r w:rsidR="00347C61">
              <w:rPr>
                <w:rFonts w:ascii="Times New Roman" w:eastAsia="Times New Roman" w:hAnsi="Times New Roman" w:cs="Times New Roman"/>
                <w:color w:val="000000"/>
                <w:sz w:val="20"/>
                <w:szCs w:val="20"/>
              </w:rPr>
              <w:t>s</w:t>
            </w:r>
            <w:r w:rsidRPr="00347C61">
              <w:rPr>
                <w:rFonts w:ascii="Times New Roman" w:eastAsia="Times New Roman" w:hAnsi="Times New Roman" w:cs="Times New Roman"/>
                <w:color w:val="000000"/>
                <w:sz w:val="20"/>
                <w:szCs w:val="20"/>
              </w:rPr>
              <w:t>, fruit</w:t>
            </w:r>
            <w:r w:rsidR="00347C61">
              <w:rPr>
                <w:rFonts w:ascii="Times New Roman" w:eastAsia="Times New Roman" w:hAnsi="Times New Roman" w:cs="Times New Roman"/>
                <w:color w:val="000000"/>
                <w:sz w:val="20"/>
                <w:szCs w:val="20"/>
              </w:rPr>
              <w:t>s</w:t>
            </w:r>
            <w:r w:rsidRPr="00347C61">
              <w:rPr>
                <w:rFonts w:ascii="Times New Roman" w:eastAsia="Times New Roman" w:hAnsi="Times New Roman" w:cs="Times New Roman"/>
                <w:color w:val="000000"/>
                <w:sz w:val="20"/>
                <w:szCs w:val="20"/>
              </w:rPr>
              <w:t>, and nuts</w:t>
            </w:r>
          </w:p>
        </w:tc>
        <w:tc>
          <w:tcPr>
            <w:tcW w:w="520" w:type="dxa"/>
            <w:tcBorders>
              <w:top w:val="nil"/>
              <w:left w:val="nil"/>
              <w:bottom w:val="single" w:sz="4" w:space="0" w:color="auto"/>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81</w:t>
            </w:r>
          </w:p>
        </w:tc>
        <w:tc>
          <w:tcPr>
            <w:tcW w:w="520" w:type="dxa"/>
            <w:tcBorders>
              <w:top w:val="nil"/>
              <w:left w:val="nil"/>
              <w:bottom w:val="single" w:sz="4" w:space="0" w:color="auto"/>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80</w:t>
            </w:r>
          </w:p>
        </w:tc>
        <w:tc>
          <w:tcPr>
            <w:tcW w:w="520" w:type="dxa"/>
            <w:tcBorders>
              <w:top w:val="nil"/>
              <w:left w:val="nil"/>
              <w:bottom w:val="single" w:sz="4" w:space="0" w:color="auto"/>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79</w:t>
            </w:r>
          </w:p>
        </w:tc>
        <w:tc>
          <w:tcPr>
            <w:tcW w:w="520" w:type="dxa"/>
            <w:tcBorders>
              <w:top w:val="nil"/>
              <w:left w:val="nil"/>
              <w:bottom w:val="single" w:sz="4" w:space="0" w:color="auto"/>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78</w:t>
            </w:r>
          </w:p>
        </w:tc>
        <w:tc>
          <w:tcPr>
            <w:tcW w:w="520" w:type="dxa"/>
            <w:tcBorders>
              <w:top w:val="nil"/>
              <w:left w:val="nil"/>
              <w:bottom w:val="single" w:sz="4" w:space="0" w:color="auto"/>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76</w:t>
            </w:r>
          </w:p>
        </w:tc>
        <w:tc>
          <w:tcPr>
            <w:tcW w:w="520" w:type="dxa"/>
            <w:tcBorders>
              <w:top w:val="nil"/>
              <w:left w:val="nil"/>
              <w:bottom w:val="single" w:sz="4" w:space="0" w:color="auto"/>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76</w:t>
            </w:r>
          </w:p>
        </w:tc>
        <w:tc>
          <w:tcPr>
            <w:tcW w:w="520" w:type="dxa"/>
            <w:tcBorders>
              <w:top w:val="nil"/>
              <w:left w:val="nil"/>
              <w:bottom w:val="single" w:sz="4" w:space="0" w:color="auto"/>
              <w:right w:val="nil"/>
            </w:tcBorders>
            <w:shd w:val="clear" w:color="auto" w:fill="auto"/>
            <w:noWrap/>
            <w:vAlign w:val="center"/>
            <w:hideMark/>
          </w:tcPr>
          <w:p w:rsidR="0010300D" w:rsidRPr="00347C61" w:rsidRDefault="0010300D" w:rsidP="0010300D">
            <w:pPr>
              <w:spacing w:after="0" w:line="240" w:lineRule="auto"/>
              <w:jc w:val="center"/>
              <w:rPr>
                <w:rFonts w:ascii="Times New Roman" w:eastAsia="Times New Roman" w:hAnsi="Times New Roman" w:cs="Times New Roman"/>
                <w:color w:val="000000"/>
                <w:sz w:val="20"/>
                <w:szCs w:val="20"/>
              </w:rPr>
            </w:pPr>
            <w:r w:rsidRPr="00347C61">
              <w:rPr>
                <w:rFonts w:ascii="Times New Roman" w:eastAsia="Times New Roman" w:hAnsi="Times New Roman" w:cs="Times New Roman"/>
                <w:color w:val="000000"/>
                <w:sz w:val="20"/>
                <w:szCs w:val="20"/>
              </w:rPr>
              <w:t>75</w:t>
            </w:r>
          </w:p>
        </w:tc>
      </w:tr>
    </w:tbl>
    <w:p w:rsidR="00596499" w:rsidRDefault="00596499" w:rsidP="00596499">
      <w:pPr>
        <w:spacing w:after="0"/>
        <w:rPr>
          <w:rFonts w:ascii="Times New Roman" w:hAnsi="Times New Roman" w:cs="Times New Roman"/>
          <w:bCs/>
          <w:sz w:val="22"/>
          <w:szCs w:val="22"/>
        </w:rPr>
      </w:pPr>
    </w:p>
    <w:p w:rsidR="00596499" w:rsidRDefault="00596499" w:rsidP="00596499">
      <w:pPr>
        <w:spacing w:after="0"/>
        <w:rPr>
          <w:rFonts w:ascii="Times New Roman" w:hAnsi="Times New Roman" w:cs="Times New Roman"/>
          <w:bCs/>
          <w:sz w:val="22"/>
          <w:szCs w:val="22"/>
        </w:rPr>
      </w:pPr>
      <w:r>
        <w:rPr>
          <w:rFonts w:ascii="Times New Roman" w:hAnsi="Times New Roman" w:cs="Times New Roman"/>
          <w:bCs/>
          <w:sz w:val="22"/>
          <w:szCs w:val="22"/>
        </w:rPr>
        <w:t>To obtain t</w:t>
      </w:r>
      <w:r w:rsidRPr="00231910">
        <w:rPr>
          <w:rFonts w:ascii="Times New Roman" w:hAnsi="Times New Roman" w:cs="Times New Roman"/>
          <w:bCs/>
          <w:sz w:val="22"/>
          <w:szCs w:val="22"/>
        </w:rPr>
        <w:t xml:space="preserve">he </w:t>
      </w:r>
      <w:r>
        <w:rPr>
          <w:rFonts w:ascii="Times New Roman" w:hAnsi="Times New Roman" w:cs="Times New Roman"/>
          <w:bCs/>
          <w:sz w:val="22"/>
          <w:szCs w:val="22"/>
        </w:rPr>
        <w:t>h</w:t>
      </w:r>
      <w:r w:rsidRPr="00231910">
        <w:rPr>
          <w:rFonts w:ascii="Times New Roman" w:hAnsi="Times New Roman" w:cs="Times New Roman"/>
          <w:bCs/>
          <w:sz w:val="22"/>
          <w:szCs w:val="22"/>
        </w:rPr>
        <w:t xml:space="preserve">igher </w:t>
      </w:r>
      <w:r>
        <w:rPr>
          <w:rFonts w:ascii="Times New Roman" w:hAnsi="Times New Roman" w:cs="Times New Roman"/>
          <w:bCs/>
          <w:sz w:val="22"/>
          <w:szCs w:val="22"/>
        </w:rPr>
        <w:t>f</w:t>
      </w:r>
      <w:r w:rsidRPr="00231910">
        <w:rPr>
          <w:rFonts w:ascii="Times New Roman" w:hAnsi="Times New Roman" w:cs="Times New Roman"/>
          <w:bCs/>
          <w:sz w:val="22"/>
          <w:szCs w:val="22"/>
        </w:rPr>
        <w:t xml:space="preserve">ood </w:t>
      </w:r>
      <w:r>
        <w:rPr>
          <w:rFonts w:ascii="Times New Roman" w:hAnsi="Times New Roman" w:cs="Times New Roman"/>
          <w:bCs/>
          <w:sz w:val="22"/>
          <w:szCs w:val="22"/>
        </w:rPr>
        <w:t>d</w:t>
      </w:r>
      <w:r w:rsidRPr="00231910">
        <w:rPr>
          <w:rFonts w:ascii="Times New Roman" w:hAnsi="Times New Roman" w:cs="Times New Roman"/>
          <w:bCs/>
          <w:sz w:val="22"/>
          <w:szCs w:val="22"/>
        </w:rPr>
        <w:t xml:space="preserve">emand level </w:t>
      </w:r>
      <w:r w:rsidR="00FD5A5E">
        <w:rPr>
          <w:rFonts w:ascii="Times New Roman" w:hAnsi="Times New Roman" w:cs="Times New Roman"/>
          <w:bCs/>
          <w:sz w:val="22"/>
          <w:szCs w:val="22"/>
        </w:rPr>
        <w:t xml:space="preserve">applied in the HF and </w:t>
      </w:r>
      <w:r w:rsidR="00D85A9F">
        <w:rPr>
          <w:rFonts w:ascii="Times New Roman" w:hAnsi="Times New Roman" w:cs="Times New Roman"/>
          <w:bCs/>
          <w:sz w:val="22"/>
          <w:szCs w:val="22"/>
        </w:rPr>
        <w:t>(</w:t>
      </w:r>
      <w:r w:rsidR="00FD5A5E">
        <w:rPr>
          <w:rFonts w:ascii="Times New Roman" w:hAnsi="Times New Roman" w:cs="Times New Roman"/>
          <w:bCs/>
          <w:sz w:val="22"/>
          <w:szCs w:val="22"/>
        </w:rPr>
        <w:t>HFB scenarios</w:t>
      </w:r>
      <w:r w:rsidR="009A1DFE">
        <w:rPr>
          <w:rFonts w:ascii="Times New Roman" w:hAnsi="Times New Roman" w:cs="Times New Roman"/>
          <w:bCs/>
          <w:sz w:val="22"/>
          <w:szCs w:val="22"/>
        </w:rPr>
        <w:t>,</w:t>
      </w:r>
      <w:r w:rsidR="00FD5A5E">
        <w:rPr>
          <w:rFonts w:ascii="Times New Roman" w:hAnsi="Times New Roman" w:cs="Times New Roman"/>
          <w:bCs/>
          <w:sz w:val="22"/>
          <w:szCs w:val="22"/>
        </w:rPr>
        <w:t xml:space="preserve"> </w:t>
      </w:r>
      <w:r>
        <w:rPr>
          <w:rFonts w:ascii="Times New Roman" w:hAnsi="Times New Roman" w:cs="Times New Roman"/>
          <w:bCs/>
          <w:sz w:val="22"/>
          <w:szCs w:val="22"/>
        </w:rPr>
        <w:t xml:space="preserve">we </w:t>
      </w:r>
      <w:r w:rsidRPr="00231910">
        <w:rPr>
          <w:rFonts w:ascii="Times New Roman" w:hAnsi="Times New Roman" w:cs="Times New Roman"/>
          <w:bCs/>
          <w:sz w:val="22"/>
          <w:szCs w:val="22"/>
        </w:rPr>
        <w:t>appl</w:t>
      </w:r>
      <w:r>
        <w:rPr>
          <w:rFonts w:ascii="Times New Roman" w:hAnsi="Times New Roman" w:cs="Times New Roman"/>
          <w:bCs/>
          <w:sz w:val="22"/>
          <w:szCs w:val="22"/>
        </w:rPr>
        <w:t>y</w:t>
      </w:r>
      <w:r w:rsidRPr="00231910">
        <w:rPr>
          <w:rFonts w:ascii="Times New Roman" w:hAnsi="Times New Roman" w:cs="Times New Roman"/>
          <w:bCs/>
          <w:sz w:val="22"/>
          <w:szCs w:val="22"/>
        </w:rPr>
        <w:t xml:space="preserve"> </w:t>
      </w:r>
      <w:proofErr w:type="spellStart"/>
      <w:r w:rsidR="00550C07">
        <w:rPr>
          <w:rFonts w:ascii="Times New Roman" w:hAnsi="Times New Roman" w:cs="Times New Roman"/>
          <w:bCs/>
          <w:sz w:val="22"/>
          <w:szCs w:val="22"/>
        </w:rPr>
        <w:t>Tilman</w:t>
      </w:r>
      <w:proofErr w:type="spellEnd"/>
      <w:r w:rsidR="00550C07">
        <w:rPr>
          <w:rFonts w:ascii="Times New Roman" w:hAnsi="Times New Roman" w:cs="Times New Roman"/>
          <w:bCs/>
          <w:sz w:val="22"/>
          <w:szCs w:val="22"/>
        </w:rPr>
        <w:t xml:space="preserve"> et al. (</w:t>
      </w:r>
      <w:r w:rsidRPr="00231910">
        <w:rPr>
          <w:rFonts w:ascii="Times New Roman" w:hAnsi="Times New Roman" w:cs="Times New Roman"/>
          <w:bCs/>
          <w:sz w:val="22"/>
          <w:szCs w:val="22"/>
        </w:rPr>
        <w:t xml:space="preserve">2011) </w:t>
      </w:r>
      <w:r w:rsidR="004558FB">
        <w:rPr>
          <w:rFonts w:ascii="Times New Roman" w:hAnsi="Times New Roman" w:cs="Times New Roman"/>
          <w:bCs/>
          <w:sz w:val="22"/>
          <w:szCs w:val="22"/>
        </w:rPr>
        <w:t>per capita</w:t>
      </w:r>
      <w:r w:rsidR="00550C07">
        <w:rPr>
          <w:rFonts w:ascii="Times New Roman" w:hAnsi="Times New Roman" w:cs="Times New Roman"/>
          <w:bCs/>
          <w:sz w:val="22"/>
          <w:szCs w:val="22"/>
        </w:rPr>
        <w:t xml:space="preserve"> demand projected increases from 2005 to 2050</w:t>
      </w:r>
      <w:r w:rsidRPr="00231910">
        <w:rPr>
          <w:rFonts w:ascii="Times New Roman" w:hAnsi="Times New Roman" w:cs="Times New Roman"/>
          <w:bCs/>
          <w:sz w:val="22"/>
          <w:szCs w:val="22"/>
        </w:rPr>
        <w:t xml:space="preserve"> to the </w:t>
      </w:r>
      <w:r>
        <w:rPr>
          <w:rFonts w:ascii="Times New Roman" w:hAnsi="Times New Roman" w:cs="Times New Roman"/>
          <w:bCs/>
          <w:sz w:val="22"/>
          <w:szCs w:val="22"/>
        </w:rPr>
        <w:t>l</w:t>
      </w:r>
      <w:r w:rsidRPr="00231910">
        <w:rPr>
          <w:rFonts w:ascii="Times New Roman" w:hAnsi="Times New Roman" w:cs="Times New Roman"/>
          <w:bCs/>
          <w:sz w:val="22"/>
          <w:szCs w:val="22"/>
        </w:rPr>
        <w:t xml:space="preserve">ower </w:t>
      </w:r>
      <w:r>
        <w:rPr>
          <w:rFonts w:ascii="Times New Roman" w:hAnsi="Times New Roman" w:cs="Times New Roman"/>
          <w:bCs/>
          <w:sz w:val="22"/>
          <w:szCs w:val="22"/>
        </w:rPr>
        <w:t>f</w:t>
      </w:r>
      <w:r w:rsidRPr="00231910">
        <w:rPr>
          <w:rFonts w:ascii="Times New Roman" w:hAnsi="Times New Roman" w:cs="Times New Roman"/>
          <w:bCs/>
          <w:sz w:val="22"/>
          <w:szCs w:val="22"/>
        </w:rPr>
        <w:t xml:space="preserve">ood </w:t>
      </w:r>
      <w:r>
        <w:rPr>
          <w:rFonts w:ascii="Times New Roman" w:hAnsi="Times New Roman" w:cs="Times New Roman"/>
          <w:bCs/>
          <w:sz w:val="22"/>
          <w:szCs w:val="22"/>
        </w:rPr>
        <w:t>d</w:t>
      </w:r>
      <w:r w:rsidRPr="00231910">
        <w:rPr>
          <w:rFonts w:ascii="Times New Roman" w:hAnsi="Times New Roman" w:cs="Times New Roman"/>
          <w:bCs/>
          <w:sz w:val="22"/>
          <w:szCs w:val="22"/>
        </w:rPr>
        <w:t>emand level</w:t>
      </w:r>
      <w:r w:rsidR="009A1DFE">
        <w:rPr>
          <w:rFonts w:ascii="Times New Roman" w:hAnsi="Times New Roman" w:cs="Times New Roman"/>
          <w:bCs/>
          <w:sz w:val="22"/>
          <w:szCs w:val="22"/>
        </w:rPr>
        <w:t>,</w:t>
      </w:r>
      <w:r w:rsidR="00FD5A5E">
        <w:rPr>
          <w:rFonts w:ascii="Times New Roman" w:hAnsi="Times New Roman" w:cs="Times New Roman"/>
          <w:bCs/>
          <w:sz w:val="22"/>
          <w:szCs w:val="22"/>
        </w:rPr>
        <w:t xml:space="preserve"> as </w:t>
      </w:r>
      <w:r w:rsidR="00FD5A5E">
        <w:rPr>
          <w:rFonts w:ascii="Times New Roman" w:hAnsi="Times New Roman" w:cs="Times New Roman"/>
          <w:bCs/>
          <w:sz w:val="22"/>
          <w:szCs w:val="22"/>
        </w:rPr>
        <w:lastRenderedPageBreak/>
        <w:t xml:space="preserve">shown in </w:t>
      </w:r>
      <w:r w:rsidR="00D8346F">
        <w:rPr>
          <w:rFonts w:ascii="Times New Roman" w:hAnsi="Times New Roman" w:cs="Times New Roman"/>
          <w:bCs/>
          <w:sz w:val="22"/>
          <w:szCs w:val="22"/>
        </w:rPr>
        <w:t>t</w:t>
      </w:r>
      <w:r w:rsidR="00FD5A5E">
        <w:rPr>
          <w:rFonts w:ascii="Times New Roman" w:hAnsi="Times New Roman" w:cs="Times New Roman"/>
          <w:bCs/>
          <w:sz w:val="22"/>
          <w:szCs w:val="22"/>
        </w:rPr>
        <w:t xml:space="preserve">able </w:t>
      </w:r>
      <w:r w:rsidR="004B2E88">
        <w:rPr>
          <w:rFonts w:ascii="Times New Roman" w:hAnsi="Times New Roman" w:cs="Times New Roman"/>
          <w:bCs/>
          <w:sz w:val="22"/>
          <w:szCs w:val="22"/>
        </w:rPr>
        <w:t>S4</w:t>
      </w:r>
      <w:r w:rsidRPr="00231910">
        <w:rPr>
          <w:rFonts w:ascii="Times New Roman" w:hAnsi="Times New Roman" w:cs="Times New Roman"/>
          <w:bCs/>
          <w:sz w:val="22"/>
          <w:szCs w:val="22"/>
        </w:rPr>
        <w:t xml:space="preserve">. We </w:t>
      </w:r>
      <w:r w:rsidR="00550C07">
        <w:rPr>
          <w:rFonts w:ascii="Times New Roman" w:hAnsi="Times New Roman" w:cs="Times New Roman"/>
          <w:bCs/>
          <w:sz w:val="22"/>
          <w:szCs w:val="22"/>
        </w:rPr>
        <w:t>assume</w:t>
      </w:r>
      <w:r w:rsidRPr="00231910">
        <w:rPr>
          <w:rFonts w:ascii="Times New Roman" w:hAnsi="Times New Roman" w:cs="Times New Roman"/>
          <w:bCs/>
          <w:sz w:val="22"/>
          <w:szCs w:val="22"/>
        </w:rPr>
        <w:t xml:space="preserve"> </w:t>
      </w:r>
      <w:proofErr w:type="spellStart"/>
      <w:r w:rsidRPr="00231910">
        <w:rPr>
          <w:rFonts w:ascii="Times New Roman" w:hAnsi="Times New Roman" w:cs="Times New Roman"/>
          <w:bCs/>
          <w:sz w:val="22"/>
          <w:szCs w:val="22"/>
        </w:rPr>
        <w:t>Tilman</w:t>
      </w:r>
      <w:proofErr w:type="spellEnd"/>
      <w:r w:rsidR="00550C07">
        <w:rPr>
          <w:rFonts w:ascii="Times New Roman" w:hAnsi="Times New Roman" w:cs="Times New Roman"/>
          <w:bCs/>
          <w:sz w:val="22"/>
          <w:szCs w:val="22"/>
        </w:rPr>
        <w:t xml:space="preserve"> et al.</w:t>
      </w:r>
      <w:r w:rsidRPr="00231910">
        <w:rPr>
          <w:rFonts w:ascii="Times New Roman" w:hAnsi="Times New Roman" w:cs="Times New Roman"/>
          <w:bCs/>
          <w:sz w:val="22"/>
          <w:szCs w:val="22"/>
        </w:rPr>
        <w:t xml:space="preserve">’s </w:t>
      </w:r>
      <w:r w:rsidR="00B40445">
        <w:rPr>
          <w:rFonts w:ascii="Times New Roman" w:hAnsi="Times New Roman" w:cs="Times New Roman"/>
          <w:bCs/>
          <w:sz w:val="22"/>
          <w:szCs w:val="22"/>
        </w:rPr>
        <w:t xml:space="preserve">(2011) </w:t>
      </w:r>
      <w:r w:rsidR="00550C07">
        <w:rPr>
          <w:rFonts w:ascii="Times New Roman" w:hAnsi="Times New Roman" w:cs="Times New Roman"/>
          <w:bCs/>
          <w:sz w:val="22"/>
          <w:szCs w:val="22"/>
        </w:rPr>
        <w:t>per capita food demand increase</w:t>
      </w:r>
      <w:r w:rsidRPr="00231910">
        <w:rPr>
          <w:rFonts w:ascii="Times New Roman" w:hAnsi="Times New Roman" w:cs="Times New Roman"/>
          <w:bCs/>
          <w:sz w:val="22"/>
          <w:szCs w:val="22"/>
        </w:rPr>
        <w:t xml:space="preserve"> (</w:t>
      </w:r>
      <w:r w:rsidR="00550C07">
        <w:rPr>
          <w:rFonts w:ascii="Times New Roman" w:hAnsi="Times New Roman" w:cs="Times New Roman"/>
          <w:bCs/>
          <w:sz w:val="22"/>
          <w:szCs w:val="22"/>
        </w:rPr>
        <w:t>~40%</w:t>
      </w:r>
      <w:r w:rsidRPr="00231910">
        <w:rPr>
          <w:rFonts w:ascii="Times New Roman" w:hAnsi="Times New Roman" w:cs="Times New Roman"/>
          <w:bCs/>
          <w:sz w:val="22"/>
          <w:szCs w:val="22"/>
        </w:rPr>
        <w:t xml:space="preserve">) </w:t>
      </w:r>
      <w:r w:rsidR="00550C07">
        <w:rPr>
          <w:rFonts w:ascii="Times New Roman" w:hAnsi="Times New Roman" w:cs="Times New Roman"/>
          <w:bCs/>
          <w:sz w:val="22"/>
          <w:szCs w:val="22"/>
        </w:rPr>
        <w:t xml:space="preserve">and adjust it to the </w:t>
      </w:r>
      <w:proofErr w:type="spellStart"/>
      <w:r w:rsidR="00550C07">
        <w:rPr>
          <w:rFonts w:ascii="Times New Roman" w:hAnsi="Times New Roman" w:cs="Times New Roman"/>
          <w:bCs/>
          <w:sz w:val="22"/>
          <w:szCs w:val="22"/>
        </w:rPr>
        <w:t>Alexandratos</w:t>
      </w:r>
      <w:proofErr w:type="spellEnd"/>
      <w:r w:rsidR="00550C07">
        <w:rPr>
          <w:rFonts w:ascii="Times New Roman" w:hAnsi="Times New Roman" w:cs="Times New Roman"/>
          <w:bCs/>
          <w:sz w:val="22"/>
          <w:szCs w:val="22"/>
        </w:rPr>
        <w:t xml:space="preserve"> and </w:t>
      </w:r>
      <w:proofErr w:type="spellStart"/>
      <w:r w:rsidR="00550C07">
        <w:rPr>
          <w:rFonts w:ascii="Times New Roman" w:hAnsi="Times New Roman" w:cs="Times New Roman"/>
          <w:bCs/>
          <w:sz w:val="22"/>
          <w:szCs w:val="22"/>
        </w:rPr>
        <w:t>Bruinsma</w:t>
      </w:r>
      <w:proofErr w:type="spellEnd"/>
      <w:r w:rsidR="00550C07">
        <w:rPr>
          <w:rFonts w:ascii="Times New Roman" w:hAnsi="Times New Roman" w:cs="Times New Roman"/>
          <w:bCs/>
          <w:sz w:val="22"/>
          <w:szCs w:val="22"/>
        </w:rPr>
        <w:t xml:space="preserve"> (2012) assumptions to maintain the basic trends of the original low food demand scenario, but emphasize the effects exaggerating pre-existing </w:t>
      </w:r>
      <w:r w:rsidRPr="00231910">
        <w:rPr>
          <w:rFonts w:ascii="Times New Roman" w:hAnsi="Times New Roman" w:cs="Times New Roman"/>
          <w:bCs/>
          <w:sz w:val="22"/>
          <w:szCs w:val="22"/>
        </w:rPr>
        <w:t xml:space="preserve">demand </w:t>
      </w:r>
      <w:r w:rsidR="00550C07">
        <w:rPr>
          <w:rFonts w:ascii="Times New Roman" w:hAnsi="Times New Roman" w:cs="Times New Roman"/>
          <w:bCs/>
          <w:sz w:val="22"/>
          <w:szCs w:val="22"/>
        </w:rPr>
        <w:t>trends</w:t>
      </w:r>
      <w:r w:rsidRPr="00231910">
        <w:rPr>
          <w:rFonts w:ascii="Times New Roman" w:hAnsi="Times New Roman" w:cs="Times New Roman"/>
          <w:bCs/>
          <w:sz w:val="22"/>
          <w:szCs w:val="22"/>
        </w:rPr>
        <w:t xml:space="preserve">. </w:t>
      </w:r>
      <w:proofErr w:type="spellStart"/>
      <w:r w:rsidR="00550C07">
        <w:rPr>
          <w:rFonts w:ascii="Times New Roman" w:hAnsi="Times New Roman" w:cs="Times New Roman"/>
          <w:bCs/>
          <w:sz w:val="22"/>
          <w:szCs w:val="22"/>
        </w:rPr>
        <w:t>Tilman</w:t>
      </w:r>
      <w:proofErr w:type="spellEnd"/>
      <w:r w:rsidR="00550C07">
        <w:rPr>
          <w:rFonts w:ascii="Times New Roman" w:hAnsi="Times New Roman" w:cs="Times New Roman"/>
          <w:bCs/>
          <w:sz w:val="22"/>
          <w:szCs w:val="22"/>
        </w:rPr>
        <w:t xml:space="preserve"> et al. (2012) </w:t>
      </w:r>
      <w:proofErr w:type="gramStart"/>
      <w:r w:rsidR="00550C07">
        <w:rPr>
          <w:rFonts w:ascii="Times New Roman" w:hAnsi="Times New Roman" w:cs="Times New Roman"/>
          <w:bCs/>
          <w:sz w:val="22"/>
          <w:szCs w:val="22"/>
        </w:rPr>
        <w:t>does</w:t>
      </w:r>
      <w:proofErr w:type="gramEnd"/>
      <w:r w:rsidR="004558FB">
        <w:rPr>
          <w:rFonts w:ascii="Times New Roman" w:hAnsi="Times New Roman" w:cs="Times New Roman"/>
          <w:bCs/>
          <w:sz w:val="22"/>
          <w:szCs w:val="22"/>
        </w:rPr>
        <w:t xml:space="preserve"> not specified how the </w:t>
      </w:r>
      <w:r w:rsidRPr="00231910">
        <w:rPr>
          <w:rFonts w:ascii="Times New Roman" w:hAnsi="Times New Roman" w:cs="Times New Roman"/>
          <w:bCs/>
          <w:sz w:val="22"/>
          <w:szCs w:val="22"/>
        </w:rPr>
        <w:t xml:space="preserve">demand increase is distributed across </w:t>
      </w:r>
      <w:r w:rsidR="00550C07">
        <w:rPr>
          <w:rFonts w:ascii="Times New Roman" w:hAnsi="Times New Roman" w:cs="Times New Roman"/>
          <w:bCs/>
          <w:sz w:val="22"/>
          <w:szCs w:val="22"/>
        </w:rPr>
        <w:t xml:space="preserve">individual </w:t>
      </w:r>
      <w:r w:rsidRPr="00231910">
        <w:rPr>
          <w:rFonts w:ascii="Times New Roman" w:hAnsi="Times New Roman" w:cs="Times New Roman"/>
          <w:bCs/>
          <w:sz w:val="22"/>
          <w:szCs w:val="22"/>
        </w:rPr>
        <w:t>food categories</w:t>
      </w:r>
      <w:r w:rsidR="00550C07">
        <w:rPr>
          <w:rFonts w:ascii="Times New Roman" w:hAnsi="Times New Roman" w:cs="Times New Roman"/>
          <w:bCs/>
          <w:sz w:val="22"/>
          <w:szCs w:val="22"/>
        </w:rPr>
        <w:t>.</w:t>
      </w:r>
      <w:r w:rsidR="00550C07" w:rsidRPr="00550C07">
        <w:rPr>
          <w:rFonts w:ascii="Times New Roman" w:hAnsi="Times New Roman"/>
          <w:bCs/>
          <w:sz w:val="22"/>
          <w:szCs w:val="22"/>
        </w:rPr>
        <w:t xml:space="preserve"> </w:t>
      </w:r>
      <w:r w:rsidR="00550C07">
        <w:rPr>
          <w:rFonts w:ascii="Times New Roman" w:hAnsi="Times New Roman"/>
          <w:bCs/>
          <w:sz w:val="22"/>
          <w:szCs w:val="22"/>
        </w:rPr>
        <w:t>W</w:t>
      </w:r>
      <w:r w:rsidR="00550C07">
        <w:rPr>
          <w:rFonts w:ascii="Times New Roman" w:hAnsi="Times New Roman" w:cs="Times New Roman"/>
          <w:bCs/>
          <w:sz w:val="22"/>
          <w:szCs w:val="22"/>
        </w:rPr>
        <w:t xml:space="preserve">e </w:t>
      </w:r>
      <w:r w:rsidR="00550C07">
        <w:rPr>
          <w:rFonts w:ascii="Times New Roman" w:hAnsi="Times New Roman"/>
          <w:bCs/>
          <w:sz w:val="22"/>
          <w:szCs w:val="22"/>
        </w:rPr>
        <w:t xml:space="preserve">closely </w:t>
      </w:r>
      <w:r w:rsidR="00550C07">
        <w:rPr>
          <w:rFonts w:ascii="Times New Roman" w:hAnsi="Times New Roman" w:cs="Times New Roman"/>
          <w:bCs/>
          <w:sz w:val="22"/>
          <w:szCs w:val="22"/>
        </w:rPr>
        <w:t xml:space="preserve">approximate the 40% increase </w:t>
      </w:r>
      <w:r w:rsidR="00550C07">
        <w:rPr>
          <w:rFonts w:ascii="Times New Roman" w:hAnsi="Times New Roman"/>
          <w:bCs/>
          <w:sz w:val="22"/>
          <w:szCs w:val="22"/>
        </w:rPr>
        <w:t>by</w:t>
      </w:r>
      <w:r w:rsidR="00550C07">
        <w:rPr>
          <w:rFonts w:ascii="Times New Roman" w:hAnsi="Times New Roman" w:cs="Times New Roman"/>
          <w:bCs/>
          <w:sz w:val="22"/>
          <w:szCs w:val="22"/>
        </w:rPr>
        <w:t xml:space="preserve"> equally applying changes across all commodities through a ~45% increase in annual growth of each commodity starting in 2010 relative to the low food demand </w:t>
      </w:r>
      <w:r w:rsidR="00550C07">
        <w:rPr>
          <w:rFonts w:ascii="Times New Roman" w:hAnsi="Times New Roman"/>
          <w:bCs/>
          <w:sz w:val="22"/>
          <w:szCs w:val="22"/>
        </w:rPr>
        <w:t>scenario</w:t>
      </w:r>
      <w:r w:rsidR="00550C07">
        <w:rPr>
          <w:rFonts w:ascii="Times New Roman" w:hAnsi="Times New Roman" w:cs="Times New Roman"/>
          <w:bCs/>
          <w:sz w:val="22"/>
          <w:szCs w:val="22"/>
        </w:rPr>
        <w:t>.</w:t>
      </w:r>
    </w:p>
    <w:p w:rsidR="00596499" w:rsidRDefault="00596499" w:rsidP="00231910">
      <w:pPr>
        <w:spacing w:after="0"/>
        <w:rPr>
          <w:rFonts w:ascii="Times New Roman" w:hAnsi="Times New Roman" w:cs="Times New Roman"/>
          <w:bCs/>
          <w:sz w:val="22"/>
          <w:szCs w:val="22"/>
        </w:rPr>
      </w:pPr>
    </w:p>
    <w:p w:rsidR="00596499" w:rsidRDefault="00D22F20" w:rsidP="00596499">
      <w:pPr>
        <w:rPr>
          <w:rFonts w:ascii="Times New Roman" w:hAnsi="Times New Roman" w:cs="Times New Roman"/>
          <w:sz w:val="20"/>
          <w:szCs w:val="20"/>
        </w:rPr>
      </w:pPr>
      <w:r w:rsidRPr="00D22F20">
        <w:rPr>
          <w:rFonts w:ascii="Times New Roman" w:hAnsi="Times New Roman" w:cs="Times New Roman"/>
          <w:b/>
          <w:sz w:val="20"/>
          <w:szCs w:val="20"/>
        </w:rPr>
        <w:t>Table S4</w:t>
      </w:r>
      <w:r w:rsidR="00BC510A">
        <w:rPr>
          <w:rFonts w:ascii="Times New Roman" w:hAnsi="Times New Roman" w:cs="Times New Roman"/>
          <w:sz w:val="20"/>
          <w:szCs w:val="20"/>
        </w:rPr>
        <w:t>.</w:t>
      </w:r>
      <w:r w:rsidR="00596499" w:rsidRPr="009F6262">
        <w:rPr>
          <w:rFonts w:ascii="Times New Roman" w:hAnsi="Times New Roman" w:cs="Times New Roman"/>
          <w:sz w:val="20"/>
          <w:szCs w:val="20"/>
        </w:rPr>
        <w:t xml:space="preserve"> HF and HFB scenario food commodity demand from 1991-2050 in kg/capita</w:t>
      </w:r>
      <w:r w:rsidR="003A69C7">
        <w:rPr>
          <w:rFonts w:ascii="Times New Roman" w:hAnsi="Times New Roman" w:cs="Times New Roman"/>
          <w:sz w:val="20"/>
          <w:szCs w:val="20"/>
        </w:rPr>
        <w:t>-</w:t>
      </w:r>
      <w:r w:rsidR="00596499" w:rsidRPr="009F6262">
        <w:rPr>
          <w:rFonts w:ascii="Times New Roman" w:hAnsi="Times New Roman" w:cs="Times New Roman"/>
          <w:sz w:val="20"/>
          <w:szCs w:val="20"/>
        </w:rPr>
        <w:t>yr.</w:t>
      </w:r>
    </w:p>
    <w:tbl>
      <w:tblPr>
        <w:tblW w:w="7320" w:type="dxa"/>
        <w:jc w:val="center"/>
        <w:tblInd w:w="95" w:type="dxa"/>
        <w:tblLook w:val="04A0"/>
      </w:tblPr>
      <w:tblGrid>
        <w:gridCol w:w="972"/>
        <w:gridCol w:w="2740"/>
        <w:gridCol w:w="616"/>
        <w:gridCol w:w="616"/>
        <w:gridCol w:w="616"/>
        <w:gridCol w:w="616"/>
        <w:gridCol w:w="616"/>
        <w:gridCol w:w="616"/>
        <w:gridCol w:w="616"/>
      </w:tblGrid>
      <w:tr w:rsidR="00550C07" w:rsidRPr="00550C07" w:rsidTr="00550C07">
        <w:trPr>
          <w:trHeight w:val="300"/>
          <w:jc w:val="center"/>
        </w:trPr>
        <w:tc>
          <w:tcPr>
            <w:tcW w:w="880" w:type="dxa"/>
            <w:tcBorders>
              <w:top w:val="nil"/>
              <w:left w:val="nil"/>
              <w:bottom w:val="single" w:sz="4" w:space="0" w:color="auto"/>
              <w:right w:val="nil"/>
            </w:tcBorders>
            <w:shd w:val="clear" w:color="auto" w:fill="auto"/>
            <w:noWrap/>
            <w:vAlign w:val="bottom"/>
            <w:hideMark/>
          </w:tcPr>
          <w:p w:rsidR="00550C07" w:rsidRPr="00550C07" w:rsidRDefault="00550C07" w:rsidP="00550C07">
            <w:pPr>
              <w:spacing w:after="0" w:line="240" w:lineRule="auto"/>
              <w:jc w:val="center"/>
              <w:rPr>
                <w:rFonts w:ascii="Times New Roman" w:eastAsia="Times New Roman" w:hAnsi="Times New Roman" w:cs="Times New Roman"/>
                <w:b/>
                <w:bCs/>
                <w:color w:val="000000"/>
                <w:sz w:val="20"/>
                <w:szCs w:val="20"/>
              </w:rPr>
            </w:pPr>
            <w:r w:rsidRPr="00550C07">
              <w:rPr>
                <w:rFonts w:ascii="Times New Roman" w:eastAsia="Times New Roman" w:hAnsi="Times New Roman" w:cs="Times New Roman"/>
                <w:b/>
                <w:bCs/>
                <w:color w:val="000000"/>
                <w:sz w:val="20"/>
                <w:szCs w:val="20"/>
              </w:rPr>
              <w:t>Location</w:t>
            </w:r>
          </w:p>
        </w:tc>
        <w:tc>
          <w:tcPr>
            <w:tcW w:w="2740" w:type="dxa"/>
            <w:tcBorders>
              <w:top w:val="nil"/>
              <w:left w:val="nil"/>
              <w:bottom w:val="single" w:sz="4" w:space="0" w:color="auto"/>
              <w:right w:val="nil"/>
            </w:tcBorders>
            <w:shd w:val="clear" w:color="auto" w:fill="auto"/>
            <w:noWrap/>
            <w:vAlign w:val="bottom"/>
            <w:hideMark/>
          </w:tcPr>
          <w:p w:rsidR="00550C07" w:rsidRPr="00550C07" w:rsidRDefault="00550C07" w:rsidP="00550C07">
            <w:pPr>
              <w:spacing w:after="0" w:line="240" w:lineRule="auto"/>
              <w:jc w:val="center"/>
              <w:rPr>
                <w:rFonts w:ascii="Times New Roman" w:eastAsia="Times New Roman" w:hAnsi="Times New Roman" w:cs="Times New Roman"/>
                <w:b/>
                <w:bCs/>
                <w:color w:val="000000"/>
                <w:sz w:val="20"/>
                <w:szCs w:val="20"/>
              </w:rPr>
            </w:pPr>
            <w:r w:rsidRPr="00550C07">
              <w:rPr>
                <w:rFonts w:ascii="Times New Roman" w:eastAsia="Times New Roman" w:hAnsi="Times New Roman" w:cs="Times New Roman"/>
                <w:b/>
                <w:bCs/>
                <w:color w:val="000000"/>
                <w:sz w:val="20"/>
                <w:szCs w:val="20"/>
              </w:rPr>
              <w:t>Commodity Type</w:t>
            </w:r>
          </w:p>
        </w:tc>
        <w:tc>
          <w:tcPr>
            <w:tcW w:w="520" w:type="dxa"/>
            <w:tcBorders>
              <w:top w:val="nil"/>
              <w:left w:val="nil"/>
              <w:bottom w:val="single" w:sz="4" w:space="0" w:color="auto"/>
              <w:right w:val="nil"/>
            </w:tcBorders>
            <w:shd w:val="clear" w:color="auto" w:fill="auto"/>
            <w:noWrap/>
            <w:vAlign w:val="bottom"/>
            <w:hideMark/>
          </w:tcPr>
          <w:p w:rsidR="00550C07" w:rsidRPr="00550C07" w:rsidRDefault="00550C07" w:rsidP="00550C07">
            <w:pPr>
              <w:spacing w:after="0" w:line="240" w:lineRule="auto"/>
              <w:jc w:val="center"/>
              <w:rPr>
                <w:rFonts w:ascii="Times New Roman" w:eastAsia="Times New Roman" w:hAnsi="Times New Roman" w:cs="Times New Roman"/>
                <w:b/>
                <w:bCs/>
                <w:color w:val="000000"/>
                <w:sz w:val="20"/>
                <w:szCs w:val="20"/>
              </w:rPr>
            </w:pPr>
            <w:r w:rsidRPr="00550C07">
              <w:rPr>
                <w:rFonts w:ascii="Times New Roman" w:eastAsia="Times New Roman" w:hAnsi="Times New Roman" w:cs="Times New Roman"/>
                <w:b/>
                <w:bCs/>
                <w:color w:val="000000"/>
                <w:sz w:val="20"/>
                <w:szCs w:val="20"/>
              </w:rPr>
              <w:t>1991</w:t>
            </w:r>
          </w:p>
        </w:tc>
        <w:tc>
          <w:tcPr>
            <w:tcW w:w="580" w:type="dxa"/>
            <w:tcBorders>
              <w:top w:val="nil"/>
              <w:left w:val="nil"/>
              <w:bottom w:val="single" w:sz="4" w:space="0" w:color="auto"/>
              <w:right w:val="nil"/>
            </w:tcBorders>
            <w:shd w:val="clear" w:color="auto" w:fill="auto"/>
            <w:noWrap/>
            <w:vAlign w:val="bottom"/>
            <w:hideMark/>
          </w:tcPr>
          <w:p w:rsidR="00550C07" w:rsidRPr="00550C07" w:rsidRDefault="00550C07" w:rsidP="00550C07">
            <w:pPr>
              <w:spacing w:after="0" w:line="240" w:lineRule="auto"/>
              <w:jc w:val="center"/>
              <w:rPr>
                <w:rFonts w:ascii="Times New Roman" w:eastAsia="Times New Roman" w:hAnsi="Times New Roman" w:cs="Times New Roman"/>
                <w:b/>
                <w:bCs/>
                <w:color w:val="000000"/>
                <w:sz w:val="20"/>
                <w:szCs w:val="20"/>
              </w:rPr>
            </w:pPr>
            <w:r w:rsidRPr="00550C07">
              <w:rPr>
                <w:rFonts w:ascii="Times New Roman" w:eastAsia="Times New Roman" w:hAnsi="Times New Roman" w:cs="Times New Roman"/>
                <w:b/>
                <w:bCs/>
                <w:color w:val="000000"/>
                <w:sz w:val="20"/>
                <w:szCs w:val="20"/>
              </w:rPr>
              <w:t>2000</w:t>
            </w:r>
          </w:p>
        </w:tc>
        <w:tc>
          <w:tcPr>
            <w:tcW w:w="520" w:type="dxa"/>
            <w:tcBorders>
              <w:top w:val="nil"/>
              <w:left w:val="nil"/>
              <w:bottom w:val="single" w:sz="4" w:space="0" w:color="auto"/>
              <w:right w:val="nil"/>
            </w:tcBorders>
            <w:shd w:val="clear" w:color="auto" w:fill="auto"/>
            <w:noWrap/>
            <w:vAlign w:val="bottom"/>
            <w:hideMark/>
          </w:tcPr>
          <w:p w:rsidR="00550C07" w:rsidRPr="00550C07" w:rsidRDefault="00550C07" w:rsidP="00550C07">
            <w:pPr>
              <w:spacing w:after="0" w:line="240" w:lineRule="auto"/>
              <w:jc w:val="center"/>
              <w:rPr>
                <w:rFonts w:ascii="Times New Roman" w:eastAsia="Times New Roman" w:hAnsi="Times New Roman" w:cs="Times New Roman"/>
                <w:b/>
                <w:bCs/>
                <w:color w:val="000000"/>
                <w:sz w:val="20"/>
                <w:szCs w:val="20"/>
              </w:rPr>
            </w:pPr>
            <w:r w:rsidRPr="00550C07">
              <w:rPr>
                <w:rFonts w:ascii="Times New Roman" w:eastAsia="Times New Roman" w:hAnsi="Times New Roman" w:cs="Times New Roman"/>
                <w:b/>
                <w:bCs/>
                <w:color w:val="000000"/>
                <w:sz w:val="20"/>
                <w:szCs w:val="20"/>
              </w:rPr>
              <w:t>2010</w:t>
            </w:r>
          </w:p>
        </w:tc>
        <w:tc>
          <w:tcPr>
            <w:tcW w:w="520" w:type="dxa"/>
            <w:tcBorders>
              <w:top w:val="nil"/>
              <w:left w:val="nil"/>
              <w:bottom w:val="single" w:sz="4" w:space="0" w:color="auto"/>
              <w:right w:val="nil"/>
            </w:tcBorders>
            <w:shd w:val="clear" w:color="auto" w:fill="auto"/>
            <w:noWrap/>
            <w:vAlign w:val="bottom"/>
            <w:hideMark/>
          </w:tcPr>
          <w:p w:rsidR="00550C07" w:rsidRPr="00550C07" w:rsidRDefault="00550C07" w:rsidP="00550C07">
            <w:pPr>
              <w:spacing w:after="0" w:line="240" w:lineRule="auto"/>
              <w:jc w:val="center"/>
              <w:rPr>
                <w:rFonts w:ascii="Times New Roman" w:eastAsia="Times New Roman" w:hAnsi="Times New Roman" w:cs="Times New Roman"/>
                <w:b/>
                <w:bCs/>
                <w:color w:val="000000"/>
                <w:sz w:val="20"/>
                <w:szCs w:val="20"/>
              </w:rPr>
            </w:pPr>
            <w:r w:rsidRPr="00550C07">
              <w:rPr>
                <w:rFonts w:ascii="Times New Roman" w:eastAsia="Times New Roman" w:hAnsi="Times New Roman" w:cs="Times New Roman"/>
                <w:b/>
                <w:bCs/>
                <w:color w:val="000000"/>
                <w:sz w:val="20"/>
                <w:szCs w:val="20"/>
              </w:rPr>
              <w:t>2020</w:t>
            </w:r>
          </w:p>
        </w:tc>
        <w:tc>
          <w:tcPr>
            <w:tcW w:w="520" w:type="dxa"/>
            <w:tcBorders>
              <w:top w:val="nil"/>
              <w:left w:val="nil"/>
              <w:bottom w:val="single" w:sz="4" w:space="0" w:color="auto"/>
              <w:right w:val="nil"/>
            </w:tcBorders>
            <w:shd w:val="clear" w:color="auto" w:fill="auto"/>
            <w:noWrap/>
            <w:vAlign w:val="bottom"/>
            <w:hideMark/>
          </w:tcPr>
          <w:p w:rsidR="00550C07" w:rsidRPr="00550C07" w:rsidRDefault="00550C07" w:rsidP="00550C07">
            <w:pPr>
              <w:spacing w:after="0" w:line="240" w:lineRule="auto"/>
              <w:jc w:val="center"/>
              <w:rPr>
                <w:rFonts w:ascii="Times New Roman" w:eastAsia="Times New Roman" w:hAnsi="Times New Roman" w:cs="Times New Roman"/>
                <w:b/>
                <w:bCs/>
                <w:color w:val="000000"/>
                <w:sz w:val="20"/>
                <w:szCs w:val="20"/>
              </w:rPr>
            </w:pPr>
            <w:r w:rsidRPr="00550C07">
              <w:rPr>
                <w:rFonts w:ascii="Times New Roman" w:eastAsia="Times New Roman" w:hAnsi="Times New Roman" w:cs="Times New Roman"/>
                <w:b/>
                <w:bCs/>
                <w:color w:val="000000"/>
                <w:sz w:val="20"/>
                <w:szCs w:val="20"/>
              </w:rPr>
              <w:t>2030</w:t>
            </w:r>
          </w:p>
        </w:tc>
        <w:tc>
          <w:tcPr>
            <w:tcW w:w="520" w:type="dxa"/>
            <w:tcBorders>
              <w:top w:val="nil"/>
              <w:left w:val="nil"/>
              <w:bottom w:val="single" w:sz="4" w:space="0" w:color="auto"/>
              <w:right w:val="nil"/>
            </w:tcBorders>
            <w:shd w:val="clear" w:color="auto" w:fill="auto"/>
            <w:noWrap/>
            <w:vAlign w:val="bottom"/>
            <w:hideMark/>
          </w:tcPr>
          <w:p w:rsidR="00550C07" w:rsidRPr="00550C07" w:rsidRDefault="00550C07" w:rsidP="00550C07">
            <w:pPr>
              <w:spacing w:after="0" w:line="240" w:lineRule="auto"/>
              <w:jc w:val="center"/>
              <w:rPr>
                <w:rFonts w:ascii="Times New Roman" w:eastAsia="Times New Roman" w:hAnsi="Times New Roman" w:cs="Times New Roman"/>
                <w:b/>
                <w:bCs/>
                <w:color w:val="000000"/>
                <w:sz w:val="20"/>
                <w:szCs w:val="20"/>
              </w:rPr>
            </w:pPr>
            <w:r w:rsidRPr="00550C07">
              <w:rPr>
                <w:rFonts w:ascii="Times New Roman" w:eastAsia="Times New Roman" w:hAnsi="Times New Roman" w:cs="Times New Roman"/>
                <w:b/>
                <w:bCs/>
                <w:color w:val="000000"/>
                <w:sz w:val="20"/>
                <w:szCs w:val="20"/>
              </w:rPr>
              <w:t>2040</w:t>
            </w:r>
          </w:p>
        </w:tc>
        <w:tc>
          <w:tcPr>
            <w:tcW w:w="520" w:type="dxa"/>
            <w:tcBorders>
              <w:top w:val="nil"/>
              <w:left w:val="nil"/>
              <w:bottom w:val="single" w:sz="4" w:space="0" w:color="auto"/>
              <w:right w:val="nil"/>
            </w:tcBorders>
            <w:shd w:val="clear" w:color="auto" w:fill="auto"/>
            <w:noWrap/>
            <w:vAlign w:val="bottom"/>
            <w:hideMark/>
          </w:tcPr>
          <w:p w:rsidR="00550C07" w:rsidRPr="00550C07" w:rsidRDefault="00550C07" w:rsidP="00550C07">
            <w:pPr>
              <w:spacing w:after="0" w:line="240" w:lineRule="auto"/>
              <w:jc w:val="center"/>
              <w:rPr>
                <w:rFonts w:ascii="Times New Roman" w:eastAsia="Times New Roman" w:hAnsi="Times New Roman" w:cs="Times New Roman"/>
                <w:b/>
                <w:bCs/>
                <w:color w:val="000000"/>
                <w:sz w:val="20"/>
                <w:szCs w:val="20"/>
              </w:rPr>
            </w:pPr>
            <w:r w:rsidRPr="00550C07">
              <w:rPr>
                <w:rFonts w:ascii="Times New Roman" w:eastAsia="Times New Roman" w:hAnsi="Times New Roman" w:cs="Times New Roman"/>
                <w:b/>
                <w:bCs/>
                <w:color w:val="000000"/>
                <w:sz w:val="20"/>
                <w:szCs w:val="20"/>
              </w:rPr>
              <w:t>2050</w:t>
            </w:r>
          </w:p>
        </w:tc>
      </w:tr>
      <w:tr w:rsidR="00550C07" w:rsidRPr="00550C07" w:rsidTr="00550C07">
        <w:trPr>
          <w:trHeight w:val="300"/>
          <w:jc w:val="center"/>
        </w:trPr>
        <w:tc>
          <w:tcPr>
            <w:tcW w:w="880" w:type="dxa"/>
            <w:vMerge w:val="restart"/>
            <w:tcBorders>
              <w:top w:val="nil"/>
              <w:left w:val="nil"/>
              <w:bottom w:val="single" w:sz="4" w:space="0" w:color="000000"/>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ROW</w:t>
            </w:r>
          </w:p>
        </w:tc>
        <w:tc>
          <w:tcPr>
            <w:tcW w:w="2740" w:type="dxa"/>
            <w:tcBorders>
              <w:top w:val="nil"/>
              <w:left w:val="nil"/>
              <w:bottom w:val="nil"/>
              <w:right w:val="nil"/>
            </w:tcBorders>
            <w:shd w:val="clear" w:color="auto" w:fill="auto"/>
            <w:noWrap/>
            <w:vAlign w:val="bottom"/>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cow/sheep/goat like meat</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11</w:t>
            </w:r>
          </w:p>
        </w:tc>
        <w:tc>
          <w:tcPr>
            <w:tcW w:w="58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11</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11</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13</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14</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16</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18</w:t>
            </w:r>
          </w:p>
        </w:tc>
      </w:tr>
      <w:tr w:rsidR="00550C07" w:rsidRPr="00550C07" w:rsidTr="00550C07">
        <w:trPr>
          <w:trHeight w:val="300"/>
          <w:jc w:val="center"/>
        </w:trPr>
        <w:tc>
          <w:tcPr>
            <w:tcW w:w="880" w:type="dxa"/>
            <w:vMerge/>
            <w:tcBorders>
              <w:top w:val="nil"/>
              <w:left w:val="nil"/>
              <w:bottom w:val="single" w:sz="4" w:space="0" w:color="000000"/>
              <w:right w:val="nil"/>
            </w:tcBorders>
            <w:vAlign w:val="center"/>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diary</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70</w:t>
            </w:r>
          </w:p>
        </w:tc>
        <w:tc>
          <w:tcPr>
            <w:tcW w:w="58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74</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83</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95</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107</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118</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129</w:t>
            </w:r>
          </w:p>
        </w:tc>
      </w:tr>
      <w:tr w:rsidR="00550C07" w:rsidRPr="00550C07" w:rsidTr="00550C07">
        <w:trPr>
          <w:trHeight w:val="300"/>
          <w:jc w:val="center"/>
        </w:trPr>
        <w:tc>
          <w:tcPr>
            <w:tcW w:w="880" w:type="dxa"/>
            <w:vMerge/>
            <w:tcBorders>
              <w:top w:val="nil"/>
              <w:left w:val="nil"/>
              <w:bottom w:val="single" w:sz="4" w:space="0" w:color="000000"/>
              <w:right w:val="nil"/>
            </w:tcBorders>
            <w:vAlign w:val="center"/>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pig like meat</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13</w:t>
            </w:r>
          </w:p>
        </w:tc>
        <w:tc>
          <w:tcPr>
            <w:tcW w:w="58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14</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16</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17</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19</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21</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23</w:t>
            </w:r>
          </w:p>
        </w:tc>
      </w:tr>
      <w:tr w:rsidR="00550C07" w:rsidRPr="00550C07" w:rsidTr="00550C07">
        <w:trPr>
          <w:trHeight w:val="300"/>
          <w:jc w:val="center"/>
        </w:trPr>
        <w:tc>
          <w:tcPr>
            <w:tcW w:w="880" w:type="dxa"/>
            <w:vMerge/>
            <w:tcBorders>
              <w:top w:val="nil"/>
              <w:left w:val="nil"/>
              <w:bottom w:val="single" w:sz="4" w:space="0" w:color="000000"/>
              <w:right w:val="nil"/>
            </w:tcBorders>
            <w:vAlign w:val="center"/>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poultry like meat</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7.0</w:t>
            </w:r>
          </w:p>
        </w:tc>
        <w:tc>
          <w:tcPr>
            <w:tcW w:w="58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9.1</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13</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16</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20</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25</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31</w:t>
            </w:r>
          </w:p>
        </w:tc>
      </w:tr>
      <w:tr w:rsidR="00550C07" w:rsidRPr="00550C07" w:rsidTr="00550C07">
        <w:trPr>
          <w:trHeight w:val="300"/>
          <w:jc w:val="center"/>
        </w:trPr>
        <w:tc>
          <w:tcPr>
            <w:tcW w:w="880" w:type="dxa"/>
            <w:vMerge/>
            <w:tcBorders>
              <w:top w:val="nil"/>
              <w:left w:val="nil"/>
              <w:bottom w:val="single" w:sz="4" w:space="0" w:color="000000"/>
              <w:right w:val="nil"/>
            </w:tcBorders>
            <w:vAlign w:val="center"/>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maize</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37</w:t>
            </w:r>
          </w:p>
        </w:tc>
        <w:tc>
          <w:tcPr>
            <w:tcW w:w="58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36</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39</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45</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52</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52</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54</w:t>
            </w:r>
          </w:p>
        </w:tc>
      </w:tr>
      <w:tr w:rsidR="00550C07" w:rsidRPr="00550C07" w:rsidTr="00550C07">
        <w:trPr>
          <w:trHeight w:val="300"/>
          <w:jc w:val="center"/>
        </w:trPr>
        <w:tc>
          <w:tcPr>
            <w:tcW w:w="880" w:type="dxa"/>
            <w:vMerge/>
            <w:tcBorders>
              <w:top w:val="nil"/>
              <w:left w:val="nil"/>
              <w:bottom w:val="single" w:sz="4" w:space="0" w:color="000000"/>
              <w:right w:val="nil"/>
            </w:tcBorders>
            <w:vAlign w:val="center"/>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wheat</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53</w:t>
            </w:r>
          </w:p>
        </w:tc>
        <w:tc>
          <w:tcPr>
            <w:tcW w:w="58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52</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52</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53</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54</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54</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55</w:t>
            </w:r>
          </w:p>
        </w:tc>
      </w:tr>
      <w:tr w:rsidR="00550C07" w:rsidRPr="00550C07" w:rsidTr="00550C07">
        <w:trPr>
          <w:trHeight w:val="300"/>
          <w:jc w:val="center"/>
        </w:trPr>
        <w:tc>
          <w:tcPr>
            <w:tcW w:w="880" w:type="dxa"/>
            <w:vMerge/>
            <w:tcBorders>
              <w:top w:val="nil"/>
              <w:left w:val="nil"/>
              <w:bottom w:val="single" w:sz="4" w:space="0" w:color="000000"/>
              <w:right w:val="nil"/>
            </w:tcBorders>
            <w:vAlign w:val="center"/>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rice</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38</w:t>
            </w:r>
          </w:p>
        </w:tc>
        <w:tc>
          <w:tcPr>
            <w:tcW w:w="58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37</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37</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38</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38</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39</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39</w:t>
            </w:r>
          </w:p>
        </w:tc>
      </w:tr>
      <w:tr w:rsidR="00550C07" w:rsidRPr="00550C07" w:rsidTr="00550C07">
        <w:trPr>
          <w:trHeight w:val="300"/>
          <w:jc w:val="center"/>
        </w:trPr>
        <w:tc>
          <w:tcPr>
            <w:tcW w:w="880" w:type="dxa"/>
            <w:vMerge/>
            <w:tcBorders>
              <w:top w:val="nil"/>
              <w:left w:val="nil"/>
              <w:bottom w:val="single" w:sz="4" w:space="0" w:color="000000"/>
              <w:right w:val="nil"/>
            </w:tcBorders>
            <w:vAlign w:val="center"/>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other cereals</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33</w:t>
            </w:r>
          </w:p>
        </w:tc>
        <w:tc>
          <w:tcPr>
            <w:tcW w:w="58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32</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33</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36</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39</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39</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40</w:t>
            </w:r>
          </w:p>
        </w:tc>
      </w:tr>
      <w:tr w:rsidR="00550C07" w:rsidRPr="00550C07" w:rsidTr="00550C07">
        <w:trPr>
          <w:trHeight w:val="300"/>
          <w:jc w:val="center"/>
        </w:trPr>
        <w:tc>
          <w:tcPr>
            <w:tcW w:w="880" w:type="dxa"/>
            <w:vMerge/>
            <w:tcBorders>
              <w:top w:val="nil"/>
              <w:left w:val="nil"/>
              <w:bottom w:val="single" w:sz="4" w:space="0" w:color="000000"/>
              <w:right w:val="nil"/>
            </w:tcBorders>
            <w:vAlign w:val="center"/>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oils (from crops)</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10</w:t>
            </w:r>
          </w:p>
        </w:tc>
        <w:tc>
          <w:tcPr>
            <w:tcW w:w="58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11</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13</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16</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18</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21</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23</w:t>
            </w:r>
          </w:p>
        </w:tc>
      </w:tr>
      <w:tr w:rsidR="00550C07" w:rsidRPr="00550C07" w:rsidTr="00550C07">
        <w:trPr>
          <w:trHeight w:val="300"/>
          <w:jc w:val="center"/>
        </w:trPr>
        <w:tc>
          <w:tcPr>
            <w:tcW w:w="880" w:type="dxa"/>
            <w:vMerge/>
            <w:tcBorders>
              <w:top w:val="nil"/>
              <w:left w:val="nil"/>
              <w:bottom w:val="single" w:sz="4" w:space="0" w:color="000000"/>
              <w:right w:val="nil"/>
            </w:tcBorders>
            <w:vAlign w:val="center"/>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sugar</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22</w:t>
            </w:r>
          </w:p>
        </w:tc>
        <w:tc>
          <w:tcPr>
            <w:tcW w:w="58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21</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22</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25</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27</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30</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32</w:t>
            </w:r>
          </w:p>
        </w:tc>
      </w:tr>
      <w:tr w:rsidR="00550C07" w:rsidRPr="00550C07" w:rsidTr="00550C07">
        <w:trPr>
          <w:trHeight w:val="300"/>
          <w:jc w:val="center"/>
        </w:trPr>
        <w:tc>
          <w:tcPr>
            <w:tcW w:w="880" w:type="dxa"/>
            <w:vMerge/>
            <w:tcBorders>
              <w:top w:val="nil"/>
              <w:left w:val="nil"/>
              <w:bottom w:val="single" w:sz="4" w:space="0" w:color="000000"/>
              <w:right w:val="nil"/>
            </w:tcBorders>
            <w:vAlign w:val="center"/>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single" w:sz="4" w:space="0" w:color="auto"/>
              <w:right w:val="nil"/>
            </w:tcBorders>
            <w:shd w:val="clear" w:color="auto" w:fill="auto"/>
            <w:noWrap/>
            <w:vAlign w:val="bottom"/>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vegetable, fruit, and nuts</w:t>
            </w:r>
          </w:p>
        </w:tc>
        <w:tc>
          <w:tcPr>
            <w:tcW w:w="520" w:type="dxa"/>
            <w:tcBorders>
              <w:top w:val="nil"/>
              <w:left w:val="nil"/>
              <w:bottom w:val="single" w:sz="4" w:space="0" w:color="auto"/>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73</w:t>
            </w:r>
          </w:p>
        </w:tc>
        <w:tc>
          <w:tcPr>
            <w:tcW w:w="580" w:type="dxa"/>
            <w:tcBorders>
              <w:top w:val="nil"/>
              <w:left w:val="nil"/>
              <w:bottom w:val="single" w:sz="4" w:space="0" w:color="auto"/>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74</w:t>
            </w:r>
          </w:p>
        </w:tc>
        <w:tc>
          <w:tcPr>
            <w:tcW w:w="520" w:type="dxa"/>
            <w:tcBorders>
              <w:top w:val="nil"/>
              <w:left w:val="nil"/>
              <w:bottom w:val="single" w:sz="4" w:space="0" w:color="auto"/>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77</w:t>
            </w:r>
          </w:p>
        </w:tc>
        <w:tc>
          <w:tcPr>
            <w:tcW w:w="520" w:type="dxa"/>
            <w:tcBorders>
              <w:top w:val="nil"/>
              <w:left w:val="nil"/>
              <w:bottom w:val="single" w:sz="4" w:space="0" w:color="auto"/>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81</w:t>
            </w:r>
          </w:p>
        </w:tc>
        <w:tc>
          <w:tcPr>
            <w:tcW w:w="520" w:type="dxa"/>
            <w:tcBorders>
              <w:top w:val="nil"/>
              <w:left w:val="nil"/>
              <w:bottom w:val="single" w:sz="4" w:space="0" w:color="auto"/>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88</w:t>
            </w:r>
          </w:p>
        </w:tc>
        <w:tc>
          <w:tcPr>
            <w:tcW w:w="520" w:type="dxa"/>
            <w:tcBorders>
              <w:top w:val="nil"/>
              <w:left w:val="nil"/>
              <w:bottom w:val="single" w:sz="4" w:space="0" w:color="auto"/>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93</w:t>
            </w:r>
          </w:p>
        </w:tc>
        <w:tc>
          <w:tcPr>
            <w:tcW w:w="520" w:type="dxa"/>
            <w:tcBorders>
              <w:top w:val="nil"/>
              <w:left w:val="nil"/>
              <w:bottom w:val="single" w:sz="4" w:space="0" w:color="auto"/>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97</w:t>
            </w:r>
          </w:p>
        </w:tc>
      </w:tr>
      <w:tr w:rsidR="00550C07" w:rsidRPr="00550C07" w:rsidTr="00550C07">
        <w:trPr>
          <w:trHeight w:val="300"/>
          <w:jc w:val="center"/>
        </w:trPr>
        <w:tc>
          <w:tcPr>
            <w:tcW w:w="880" w:type="dxa"/>
            <w:vMerge w:val="restart"/>
            <w:tcBorders>
              <w:top w:val="nil"/>
              <w:left w:val="nil"/>
              <w:bottom w:val="single" w:sz="4" w:space="0" w:color="000000"/>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USA</w:t>
            </w:r>
          </w:p>
        </w:tc>
        <w:tc>
          <w:tcPr>
            <w:tcW w:w="2740" w:type="dxa"/>
            <w:tcBorders>
              <w:top w:val="nil"/>
              <w:left w:val="nil"/>
              <w:bottom w:val="nil"/>
              <w:right w:val="nil"/>
            </w:tcBorders>
            <w:shd w:val="clear" w:color="auto" w:fill="auto"/>
            <w:noWrap/>
            <w:vAlign w:val="bottom"/>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cow/sheep/goat like meat</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26</w:t>
            </w:r>
          </w:p>
        </w:tc>
        <w:tc>
          <w:tcPr>
            <w:tcW w:w="58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25</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25</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25</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25</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25</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25</w:t>
            </w:r>
          </w:p>
        </w:tc>
      </w:tr>
      <w:tr w:rsidR="00550C07" w:rsidRPr="00550C07" w:rsidTr="00550C07">
        <w:trPr>
          <w:trHeight w:val="300"/>
          <w:jc w:val="center"/>
        </w:trPr>
        <w:tc>
          <w:tcPr>
            <w:tcW w:w="880" w:type="dxa"/>
            <w:vMerge/>
            <w:tcBorders>
              <w:top w:val="nil"/>
              <w:left w:val="nil"/>
              <w:bottom w:val="single" w:sz="4" w:space="0" w:color="000000"/>
              <w:right w:val="nil"/>
            </w:tcBorders>
            <w:vAlign w:val="center"/>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diary</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201</w:t>
            </w:r>
          </w:p>
        </w:tc>
        <w:tc>
          <w:tcPr>
            <w:tcW w:w="58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202</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207</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221</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234</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243</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251</w:t>
            </w:r>
          </w:p>
        </w:tc>
      </w:tr>
      <w:tr w:rsidR="00550C07" w:rsidRPr="00550C07" w:rsidTr="00550C07">
        <w:trPr>
          <w:trHeight w:val="300"/>
          <w:jc w:val="center"/>
        </w:trPr>
        <w:tc>
          <w:tcPr>
            <w:tcW w:w="880" w:type="dxa"/>
            <w:vMerge/>
            <w:tcBorders>
              <w:top w:val="nil"/>
              <w:left w:val="nil"/>
              <w:bottom w:val="single" w:sz="4" w:space="0" w:color="000000"/>
              <w:right w:val="nil"/>
            </w:tcBorders>
            <w:vAlign w:val="center"/>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pig like meat</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31</w:t>
            </w:r>
          </w:p>
        </w:tc>
        <w:tc>
          <w:tcPr>
            <w:tcW w:w="58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32</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34</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34</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35</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36</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37</w:t>
            </w:r>
          </w:p>
        </w:tc>
      </w:tr>
      <w:tr w:rsidR="00550C07" w:rsidRPr="00550C07" w:rsidTr="00550C07">
        <w:trPr>
          <w:trHeight w:val="300"/>
          <w:jc w:val="center"/>
        </w:trPr>
        <w:tc>
          <w:tcPr>
            <w:tcW w:w="880" w:type="dxa"/>
            <w:vMerge/>
            <w:tcBorders>
              <w:top w:val="nil"/>
              <w:left w:val="nil"/>
              <w:bottom w:val="single" w:sz="4" w:space="0" w:color="000000"/>
              <w:right w:val="nil"/>
            </w:tcBorders>
            <w:vAlign w:val="center"/>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poultry like meat</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19</w:t>
            </w:r>
          </w:p>
        </w:tc>
        <w:tc>
          <w:tcPr>
            <w:tcW w:w="58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22</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27</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31</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36</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41</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46</w:t>
            </w:r>
          </w:p>
        </w:tc>
      </w:tr>
      <w:tr w:rsidR="00550C07" w:rsidRPr="00550C07" w:rsidTr="00550C07">
        <w:trPr>
          <w:trHeight w:val="300"/>
          <w:jc w:val="center"/>
        </w:trPr>
        <w:tc>
          <w:tcPr>
            <w:tcW w:w="880" w:type="dxa"/>
            <w:vMerge/>
            <w:tcBorders>
              <w:top w:val="nil"/>
              <w:left w:val="nil"/>
              <w:bottom w:val="single" w:sz="4" w:space="0" w:color="000000"/>
              <w:right w:val="nil"/>
            </w:tcBorders>
            <w:vAlign w:val="center"/>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maize</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37</w:t>
            </w:r>
          </w:p>
        </w:tc>
        <w:tc>
          <w:tcPr>
            <w:tcW w:w="58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38</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41</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46</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52</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52</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52</w:t>
            </w:r>
          </w:p>
        </w:tc>
      </w:tr>
      <w:tr w:rsidR="00550C07" w:rsidRPr="00550C07" w:rsidTr="00550C07">
        <w:trPr>
          <w:trHeight w:val="300"/>
          <w:jc w:val="center"/>
        </w:trPr>
        <w:tc>
          <w:tcPr>
            <w:tcW w:w="880" w:type="dxa"/>
            <w:vMerge/>
            <w:tcBorders>
              <w:top w:val="nil"/>
              <w:left w:val="nil"/>
              <w:bottom w:val="single" w:sz="4" w:space="0" w:color="000000"/>
              <w:right w:val="nil"/>
            </w:tcBorders>
            <w:vAlign w:val="center"/>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wheat</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53</w:t>
            </w:r>
          </w:p>
        </w:tc>
        <w:tc>
          <w:tcPr>
            <w:tcW w:w="58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54</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56</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56</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57</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57</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57</w:t>
            </w:r>
          </w:p>
        </w:tc>
      </w:tr>
      <w:tr w:rsidR="00550C07" w:rsidRPr="00550C07" w:rsidTr="00550C07">
        <w:trPr>
          <w:trHeight w:val="300"/>
          <w:jc w:val="center"/>
        </w:trPr>
        <w:tc>
          <w:tcPr>
            <w:tcW w:w="880" w:type="dxa"/>
            <w:vMerge/>
            <w:tcBorders>
              <w:top w:val="nil"/>
              <w:left w:val="nil"/>
              <w:bottom w:val="single" w:sz="4" w:space="0" w:color="000000"/>
              <w:right w:val="nil"/>
            </w:tcBorders>
            <w:vAlign w:val="center"/>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rice</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38</w:t>
            </w:r>
          </w:p>
        </w:tc>
        <w:tc>
          <w:tcPr>
            <w:tcW w:w="58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39</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40</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40</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41</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41</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41</w:t>
            </w:r>
          </w:p>
        </w:tc>
      </w:tr>
      <w:tr w:rsidR="00550C07" w:rsidRPr="00550C07" w:rsidTr="00550C07">
        <w:trPr>
          <w:trHeight w:val="300"/>
          <w:jc w:val="center"/>
        </w:trPr>
        <w:tc>
          <w:tcPr>
            <w:tcW w:w="880" w:type="dxa"/>
            <w:vMerge/>
            <w:tcBorders>
              <w:top w:val="nil"/>
              <w:left w:val="nil"/>
              <w:bottom w:val="single" w:sz="4" w:space="0" w:color="000000"/>
              <w:right w:val="nil"/>
            </w:tcBorders>
            <w:vAlign w:val="center"/>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other cereals</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33</w:t>
            </w:r>
          </w:p>
        </w:tc>
        <w:tc>
          <w:tcPr>
            <w:tcW w:w="58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34</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35</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37</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39</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39</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39</w:t>
            </w:r>
          </w:p>
        </w:tc>
      </w:tr>
      <w:tr w:rsidR="00550C07" w:rsidRPr="00550C07" w:rsidTr="00550C07">
        <w:trPr>
          <w:trHeight w:val="300"/>
          <w:jc w:val="center"/>
        </w:trPr>
        <w:tc>
          <w:tcPr>
            <w:tcW w:w="880" w:type="dxa"/>
            <w:vMerge/>
            <w:tcBorders>
              <w:top w:val="nil"/>
              <w:left w:val="nil"/>
              <w:bottom w:val="single" w:sz="4" w:space="0" w:color="000000"/>
              <w:right w:val="nil"/>
            </w:tcBorders>
            <w:vAlign w:val="center"/>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oils (from crops)</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16</w:t>
            </w:r>
          </w:p>
        </w:tc>
        <w:tc>
          <w:tcPr>
            <w:tcW w:w="58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18</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20</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21</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22</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23</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24</w:t>
            </w:r>
          </w:p>
        </w:tc>
      </w:tr>
      <w:tr w:rsidR="00550C07" w:rsidRPr="00550C07" w:rsidTr="00550C07">
        <w:trPr>
          <w:trHeight w:val="300"/>
          <w:jc w:val="center"/>
        </w:trPr>
        <w:tc>
          <w:tcPr>
            <w:tcW w:w="880" w:type="dxa"/>
            <w:vMerge/>
            <w:tcBorders>
              <w:top w:val="nil"/>
              <w:left w:val="nil"/>
              <w:bottom w:val="single" w:sz="4" w:space="0" w:color="000000"/>
              <w:right w:val="nil"/>
            </w:tcBorders>
            <w:vAlign w:val="center"/>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nil"/>
              <w:right w:val="nil"/>
            </w:tcBorders>
            <w:shd w:val="clear" w:color="auto" w:fill="auto"/>
            <w:noWrap/>
            <w:vAlign w:val="bottom"/>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sugar</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36</w:t>
            </w:r>
          </w:p>
        </w:tc>
        <w:tc>
          <w:tcPr>
            <w:tcW w:w="58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35</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34</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34</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35</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35</w:t>
            </w:r>
          </w:p>
        </w:tc>
        <w:tc>
          <w:tcPr>
            <w:tcW w:w="520" w:type="dxa"/>
            <w:tcBorders>
              <w:top w:val="nil"/>
              <w:left w:val="nil"/>
              <w:bottom w:val="nil"/>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35</w:t>
            </w:r>
          </w:p>
        </w:tc>
      </w:tr>
      <w:tr w:rsidR="00550C07" w:rsidRPr="00550C07" w:rsidTr="00550C07">
        <w:trPr>
          <w:trHeight w:val="300"/>
          <w:jc w:val="center"/>
        </w:trPr>
        <w:tc>
          <w:tcPr>
            <w:tcW w:w="880" w:type="dxa"/>
            <w:vMerge/>
            <w:tcBorders>
              <w:top w:val="nil"/>
              <w:left w:val="nil"/>
              <w:bottom w:val="single" w:sz="4" w:space="0" w:color="000000"/>
              <w:right w:val="nil"/>
            </w:tcBorders>
            <w:vAlign w:val="center"/>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single" w:sz="4" w:space="0" w:color="auto"/>
              <w:right w:val="nil"/>
            </w:tcBorders>
            <w:shd w:val="clear" w:color="auto" w:fill="auto"/>
            <w:noWrap/>
            <w:vAlign w:val="bottom"/>
            <w:hideMark/>
          </w:tcPr>
          <w:p w:rsidR="00550C07" w:rsidRPr="00550C07" w:rsidRDefault="00550C07" w:rsidP="00550C07">
            <w:pPr>
              <w:spacing w:after="0" w:line="240" w:lineRule="auto"/>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vegetable, fruit, and nuts</w:t>
            </w:r>
          </w:p>
        </w:tc>
        <w:tc>
          <w:tcPr>
            <w:tcW w:w="520" w:type="dxa"/>
            <w:tcBorders>
              <w:top w:val="nil"/>
              <w:left w:val="nil"/>
              <w:bottom w:val="single" w:sz="4" w:space="0" w:color="auto"/>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81</w:t>
            </w:r>
          </w:p>
        </w:tc>
        <w:tc>
          <w:tcPr>
            <w:tcW w:w="580" w:type="dxa"/>
            <w:tcBorders>
              <w:top w:val="nil"/>
              <w:left w:val="nil"/>
              <w:bottom w:val="single" w:sz="4" w:space="0" w:color="auto"/>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80</w:t>
            </w:r>
          </w:p>
        </w:tc>
        <w:tc>
          <w:tcPr>
            <w:tcW w:w="520" w:type="dxa"/>
            <w:tcBorders>
              <w:top w:val="nil"/>
              <w:left w:val="nil"/>
              <w:bottom w:val="single" w:sz="4" w:space="0" w:color="auto"/>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80</w:t>
            </w:r>
          </w:p>
        </w:tc>
        <w:tc>
          <w:tcPr>
            <w:tcW w:w="520" w:type="dxa"/>
            <w:tcBorders>
              <w:top w:val="nil"/>
              <w:left w:val="nil"/>
              <w:bottom w:val="single" w:sz="4" w:space="0" w:color="auto"/>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81</w:t>
            </w:r>
          </w:p>
        </w:tc>
        <w:tc>
          <w:tcPr>
            <w:tcW w:w="520" w:type="dxa"/>
            <w:tcBorders>
              <w:top w:val="nil"/>
              <w:left w:val="nil"/>
              <w:bottom w:val="single" w:sz="4" w:space="0" w:color="auto"/>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82</w:t>
            </w:r>
          </w:p>
        </w:tc>
        <w:tc>
          <w:tcPr>
            <w:tcW w:w="520" w:type="dxa"/>
            <w:tcBorders>
              <w:top w:val="nil"/>
              <w:left w:val="nil"/>
              <w:bottom w:val="single" w:sz="4" w:space="0" w:color="auto"/>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82</w:t>
            </w:r>
          </w:p>
        </w:tc>
        <w:tc>
          <w:tcPr>
            <w:tcW w:w="520" w:type="dxa"/>
            <w:tcBorders>
              <w:top w:val="nil"/>
              <w:left w:val="nil"/>
              <w:bottom w:val="single" w:sz="4" w:space="0" w:color="auto"/>
              <w:right w:val="nil"/>
            </w:tcBorders>
            <w:shd w:val="clear" w:color="auto" w:fill="auto"/>
            <w:noWrap/>
            <w:vAlign w:val="center"/>
            <w:hideMark/>
          </w:tcPr>
          <w:p w:rsidR="00550C07" w:rsidRPr="00550C07" w:rsidRDefault="00550C07" w:rsidP="00550C07">
            <w:pPr>
              <w:spacing w:after="0" w:line="240" w:lineRule="auto"/>
              <w:jc w:val="center"/>
              <w:rPr>
                <w:rFonts w:ascii="Times New Roman" w:eastAsia="Times New Roman" w:hAnsi="Times New Roman" w:cs="Times New Roman"/>
                <w:color w:val="000000"/>
                <w:sz w:val="20"/>
                <w:szCs w:val="20"/>
              </w:rPr>
            </w:pPr>
            <w:r w:rsidRPr="00550C07">
              <w:rPr>
                <w:rFonts w:ascii="Times New Roman" w:eastAsia="Times New Roman" w:hAnsi="Times New Roman" w:cs="Times New Roman"/>
                <w:color w:val="000000"/>
                <w:sz w:val="20"/>
                <w:szCs w:val="20"/>
              </w:rPr>
              <w:t>82</w:t>
            </w:r>
          </w:p>
        </w:tc>
      </w:tr>
    </w:tbl>
    <w:p w:rsidR="00550C07" w:rsidRDefault="00550C07" w:rsidP="00596499">
      <w:pPr>
        <w:rPr>
          <w:rFonts w:ascii="Times New Roman" w:hAnsi="Times New Roman" w:cs="Times New Roman"/>
          <w:sz w:val="20"/>
          <w:szCs w:val="20"/>
        </w:rPr>
      </w:pPr>
    </w:p>
    <w:p w:rsidR="00B40445" w:rsidRDefault="00FD5A5E" w:rsidP="00596499">
      <w:pPr>
        <w:spacing w:after="0"/>
        <w:rPr>
          <w:rFonts w:ascii="Times New Roman" w:hAnsi="Times New Roman" w:cs="Times New Roman"/>
          <w:bCs/>
          <w:sz w:val="22"/>
          <w:szCs w:val="22"/>
        </w:rPr>
      </w:pPr>
      <w:r>
        <w:rPr>
          <w:rFonts w:ascii="Times New Roman" w:hAnsi="Times New Roman" w:cs="Times New Roman"/>
          <w:bCs/>
          <w:sz w:val="22"/>
          <w:szCs w:val="22"/>
        </w:rPr>
        <w:t>W</w:t>
      </w:r>
      <w:r w:rsidR="00DC3ACA">
        <w:rPr>
          <w:rFonts w:ascii="Times New Roman" w:hAnsi="Times New Roman" w:cs="Times New Roman"/>
          <w:bCs/>
          <w:sz w:val="22"/>
          <w:szCs w:val="22"/>
        </w:rPr>
        <w:t xml:space="preserve">e </w:t>
      </w:r>
      <w:r w:rsidR="00C501A3">
        <w:rPr>
          <w:rFonts w:ascii="Times New Roman" w:hAnsi="Times New Roman" w:cs="Times New Roman"/>
          <w:bCs/>
          <w:sz w:val="22"/>
          <w:szCs w:val="22"/>
        </w:rPr>
        <w:t xml:space="preserve">mostly </w:t>
      </w:r>
      <w:r w:rsidR="00DC3ACA">
        <w:rPr>
          <w:rFonts w:ascii="Times New Roman" w:hAnsi="Times New Roman" w:cs="Times New Roman"/>
          <w:bCs/>
          <w:sz w:val="22"/>
          <w:szCs w:val="22"/>
        </w:rPr>
        <w:t xml:space="preserve">follow </w:t>
      </w:r>
      <w:proofErr w:type="spellStart"/>
      <w:r w:rsidR="00E23EA5" w:rsidRPr="00231910">
        <w:rPr>
          <w:rFonts w:ascii="Times New Roman" w:hAnsi="Times New Roman" w:cs="Times New Roman"/>
          <w:bCs/>
          <w:sz w:val="22"/>
          <w:szCs w:val="22"/>
        </w:rPr>
        <w:t>Alexandratos</w:t>
      </w:r>
      <w:proofErr w:type="spellEnd"/>
      <w:r w:rsidR="00E23EA5" w:rsidRPr="00231910">
        <w:rPr>
          <w:rFonts w:ascii="Times New Roman" w:hAnsi="Times New Roman" w:cs="Times New Roman"/>
          <w:bCs/>
          <w:sz w:val="22"/>
          <w:szCs w:val="22"/>
        </w:rPr>
        <w:t xml:space="preserve"> and </w:t>
      </w:r>
      <w:proofErr w:type="spellStart"/>
      <w:r w:rsidR="00E23EA5" w:rsidRPr="00231910">
        <w:rPr>
          <w:rFonts w:ascii="Times New Roman" w:hAnsi="Times New Roman" w:cs="Times New Roman"/>
          <w:bCs/>
          <w:sz w:val="22"/>
          <w:szCs w:val="22"/>
        </w:rPr>
        <w:t>Bruinsma</w:t>
      </w:r>
      <w:proofErr w:type="spellEnd"/>
      <w:r w:rsidR="00E23EA5" w:rsidRPr="00231910">
        <w:rPr>
          <w:rFonts w:ascii="Times New Roman" w:hAnsi="Times New Roman" w:cs="Times New Roman"/>
          <w:bCs/>
          <w:sz w:val="22"/>
          <w:szCs w:val="22"/>
        </w:rPr>
        <w:t xml:space="preserve"> (2012)</w:t>
      </w:r>
      <w:r>
        <w:rPr>
          <w:rFonts w:ascii="Times New Roman" w:hAnsi="Times New Roman" w:cs="Times New Roman"/>
          <w:bCs/>
          <w:sz w:val="22"/>
          <w:szCs w:val="22"/>
        </w:rPr>
        <w:t xml:space="preserve"> f</w:t>
      </w:r>
      <w:r w:rsidRPr="00231910">
        <w:rPr>
          <w:rFonts w:ascii="Times New Roman" w:hAnsi="Times New Roman" w:cs="Times New Roman"/>
          <w:bCs/>
          <w:sz w:val="22"/>
          <w:szCs w:val="22"/>
        </w:rPr>
        <w:t xml:space="preserve">or the </w:t>
      </w:r>
      <w:r>
        <w:rPr>
          <w:rFonts w:ascii="Times New Roman" w:hAnsi="Times New Roman" w:cs="Times New Roman"/>
          <w:bCs/>
          <w:sz w:val="22"/>
          <w:szCs w:val="22"/>
        </w:rPr>
        <w:t>l</w:t>
      </w:r>
      <w:r w:rsidRPr="00231910">
        <w:rPr>
          <w:rFonts w:ascii="Times New Roman" w:hAnsi="Times New Roman" w:cs="Times New Roman"/>
          <w:bCs/>
          <w:sz w:val="22"/>
          <w:szCs w:val="22"/>
        </w:rPr>
        <w:t xml:space="preserve">ower </w:t>
      </w:r>
      <w:r>
        <w:rPr>
          <w:rFonts w:ascii="Times New Roman" w:hAnsi="Times New Roman" w:cs="Times New Roman"/>
          <w:bCs/>
          <w:sz w:val="22"/>
          <w:szCs w:val="22"/>
        </w:rPr>
        <w:t>b</w:t>
      </w:r>
      <w:r w:rsidRPr="00231910">
        <w:rPr>
          <w:rFonts w:ascii="Times New Roman" w:hAnsi="Times New Roman" w:cs="Times New Roman"/>
          <w:bCs/>
          <w:sz w:val="22"/>
          <w:szCs w:val="22"/>
        </w:rPr>
        <w:t xml:space="preserve">iofuels </w:t>
      </w:r>
      <w:r>
        <w:rPr>
          <w:rFonts w:ascii="Times New Roman" w:hAnsi="Times New Roman" w:cs="Times New Roman"/>
          <w:bCs/>
          <w:sz w:val="22"/>
          <w:szCs w:val="22"/>
        </w:rPr>
        <w:t>d</w:t>
      </w:r>
      <w:r w:rsidRPr="00231910">
        <w:rPr>
          <w:rFonts w:ascii="Times New Roman" w:hAnsi="Times New Roman" w:cs="Times New Roman"/>
          <w:bCs/>
          <w:sz w:val="22"/>
          <w:szCs w:val="22"/>
        </w:rPr>
        <w:t>emand level</w:t>
      </w:r>
      <w:r>
        <w:rPr>
          <w:rFonts w:ascii="Times New Roman" w:hAnsi="Times New Roman" w:cs="Times New Roman"/>
          <w:bCs/>
          <w:sz w:val="22"/>
          <w:szCs w:val="22"/>
        </w:rPr>
        <w:t xml:space="preserve"> used in BAU and HF scenarios</w:t>
      </w:r>
      <w:r w:rsidR="00B40445">
        <w:rPr>
          <w:rFonts w:ascii="Times New Roman" w:hAnsi="Times New Roman" w:cs="Times New Roman"/>
          <w:bCs/>
          <w:sz w:val="22"/>
          <w:szCs w:val="22"/>
        </w:rPr>
        <w:t>,</w:t>
      </w:r>
      <w:r w:rsidR="00CD64C6">
        <w:rPr>
          <w:rFonts w:ascii="Times New Roman" w:hAnsi="Times New Roman" w:cs="Times New Roman"/>
          <w:bCs/>
          <w:sz w:val="22"/>
          <w:szCs w:val="22"/>
        </w:rPr>
        <w:t xml:space="preserve"> and convert these demands to </w:t>
      </w:r>
      <w:r>
        <w:rPr>
          <w:rFonts w:ascii="Times New Roman" w:hAnsi="Times New Roman" w:cs="Times New Roman"/>
          <w:bCs/>
          <w:sz w:val="22"/>
          <w:szCs w:val="22"/>
        </w:rPr>
        <w:t xml:space="preserve">energy </w:t>
      </w:r>
      <w:r w:rsidR="00CD64C6">
        <w:rPr>
          <w:rFonts w:ascii="Times New Roman" w:hAnsi="Times New Roman" w:cs="Times New Roman"/>
          <w:bCs/>
          <w:sz w:val="22"/>
          <w:szCs w:val="22"/>
        </w:rPr>
        <w:t xml:space="preserve">and land requirements as listed </w:t>
      </w:r>
      <w:r w:rsidR="00D8346F">
        <w:rPr>
          <w:rFonts w:ascii="Times New Roman" w:hAnsi="Times New Roman" w:cs="Times New Roman"/>
          <w:bCs/>
          <w:sz w:val="22"/>
          <w:szCs w:val="22"/>
        </w:rPr>
        <w:t>in t</w:t>
      </w:r>
      <w:r>
        <w:rPr>
          <w:rFonts w:ascii="Times New Roman" w:hAnsi="Times New Roman" w:cs="Times New Roman"/>
          <w:bCs/>
          <w:sz w:val="22"/>
          <w:szCs w:val="22"/>
        </w:rPr>
        <w:t xml:space="preserve">ables </w:t>
      </w:r>
      <w:r w:rsidR="004B2E88">
        <w:rPr>
          <w:rFonts w:ascii="Times New Roman" w:hAnsi="Times New Roman" w:cs="Times New Roman"/>
          <w:bCs/>
          <w:sz w:val="22"/>
          <w:szCs w:val="22"/>
        </w:rPr>
        <w:t>S5</w:t>
      </w:r>
      <w:r>
        <w:rPr>
          <w:rFonts w:ascii="Times New Roman" w:hAnsi="Times New Roman" w:cs="Times New Roman"/>
          <w:bCs/>
          <w:sz w:val="22"/>
          <w:szCs w:val="22"/>
        </w:rPr>
        <w:t xml:space="preserve"> and </w:t>
      </w:r>
      <w:r w:rsidR="004B2E88">
        <w:rPr>
          <w:rFonts w:ascii="Times New Roman" w:hAnsi="Times New Roman" w:cs="Times New Roman"/>
          <w:bCs/>
          <w:sz w:val="22"/>
          <w:szCs w:val="22"/>
        </w:rPr>
        <w:t>S6</w:t>
      </w:r>
      <w:r w:rsidR="00E23EA5" w:rsidRPr="00231910">
        <w:rPr>
          <w:rFonts w:ascii="Times New Roman" w:hAnsi="Times New Roman" w:cs="Times New Roman"/>
          <w:bCs/>
          <w:sz w:val="22"/>
          <w:szCs w:val="22"/>
        </w:rPr>
        <w:t xml:space="preserve">. </w:t>
      </w:r>
      <w:proofErr w:type="spellStart"/>
      <w:r w:rsidR="00E23EA5" w:rsidRPr="00231910">
        <w:rPr>
          <w:rFonts w:ascii="Times New Roman" w:hAnsi="Times New Roman" w:cs="Times New Roman"/>
          <w:bCs/>
          <w:sz w:val="22"/>
          <w:szCs w:val="22"/>
        </w:rPr>
        <w:t>Alexandratos</w:t>
      </w:r>
      <w:proofErr w:type="spellEnd"/>
      <w:r w:rsidR="00E23EA5" w:rsidRPr="00231910">
        <w:rPr>
          <w:rFonts w:ascii="Times New Roman" w:hAnsi="Times New Roman" w:cs="Times New Roman"/>
          <w:bCs/>
          <w:sz w:val="22"/>
          <w:szCs w:val="22"/>
        </w:rPr>
        <w:t xml:space="preserve"> and </w:t>
      </w:r>
      <w:proofErr w:type="spellStart"/>
      <w:r w:rsidR="00E23EA5" w:rsidRPr="00231910">
        <w:rPr>
          <w:rFonts w:ascii="Times New Roman" w:hAnsi="Times New Roman" w:cs="Times New Roman"/>
          <w:bCs/>
          <w:sz w:val="22"/>
          <w:szCs w:val="22"/>
        </w:rPr>
        <w:t>Bruinsma</w:t>
      </w:r>
      <w:proofErr w:type="spellEnd"/>
      <w:r w:rsidR="00E23EA5" w:rsidRPr="00231910">
        <w:rPr>
          <w:rFonts w:ascii="Times New Roman" w:hAnsi="Times New Roman" w:cs="Times New Roman"/>
          <w:bCs/>
          <w:sz w:val="22"/>
          <w:szCs w:val="22"/>
        </w:rPr>
        <w:t xml:space="preserve"> (2012) use “OECD-FAO Agricultural Outlook 2010-2019” </w:t>
      </w:r>
      <w:r w:rsidR="00F5683B">
        <w:rPr>
          <w:rFonts w:ascii="Times New Roman" w:hAnsi="Times New Roman" w:cs="Times New Roman"/>
          <w:bCs/>
          <w:sz w:val="22"/>
          <w:szCs w:val="22"/>
        </w:rPr>
        <w:t xml:space="preserve">(OECD-FAO 2010) </w:t>
      </w:r>
      <w:r w:rsidR="00E23EA5" w:rsidRPr="00231910">
        <w:rPr>
          <w:rFonts w:ascii="Times New Roman" w:hAnsi="Times New Roman" w:cs="Times New Roman"/>
          <w:bCs/>
          <w:sz w:val="22"/>
          <w:szCs w:val="22"/>
        </w:rPr>
        <w:t xml:space="preserve">biofuel production projections for ethanol and biodiesel in 2019. For all following years, production </w:t>
      </w:r>
      <w:r w:rsidR="00F5683B">
        <w:rPr>
          <w:rFonts w:ascii="Times New Roman" w:hAnsi="Times New Roman" w:cs="Times New Roman"/>
          <w:bCs/>
          <w:sz w:val="22"/>
          <w:szCs w:val="22"/>
        </w:rPr>
        <w:t>is</w:t>
      </w:r>
      <w:r w:rsidR="00F5683B" w:rsidRPr="00231910">
        <w:rPr>
          <w:rFonts w:ascii="Times New Roman" w:hAnsi="Times New Roman" w:cs="Times New Roman"/>
          <w:bCs/>
          <w:sz w:val="22"/>
          <w:szCs w:val="22"/>
        </w:rPr>
        <w:t xml:space="preserve"> </w:t>
      </w:r>
      <w:r w:rsidR="00E23EA5" w:rsidRPr="00231910">
        <w:rPr>
          <w:rFonts w:ascii="Times New Roman" w:hAnsi="Times New Roman" w:cs="Times New Roman"/>
          <w:bCs/>
          <w:sz w:val="22"/>
          <w:szCs w:val="22"/>
        </w:rPr>
        <w:t xml:space="preserve">assumed to level off at the projected 2019 values. US Energy Information Administration (EIA) spreadsheets for ethanol and biodiesel production </w:t>
      </w:r>
      <w:r w:rsidR="00F5683B">
        <w:rPr>
          <w:rFonts w:ascii="Times New Roman" w:hAnsi="Times New Roman" w:cs="Times New Roman"/>
          <w:bCs/>
          <w:sz w:val="22"/>
          <w:szCs w:val="22"/>
        </w:rPr>
        <w:t>are</w:t>
      </w:r>
      <w:r w:rsidR="00F5683B" w:rsidRPr="00231910">
        <w:rPr>
          <w:rFonts w:ascii="Times New Roman" w:hAnsi="Times New Roman" w:cs="Times New Roman"/>
          <w:bCs/>
          <w:sz w:val="22"/>
          <w:szCs w:val="22"/>
        </w:rPr>
        <w:t xml:space="preserve"> </w:t>
      </w:r>
      <w:r w:rsidR="00E23EA5" w:rsidRPr="00231910">
        <w:rPr>
          <w:rFonts w:ascii="Times New Roman" w:hAnsi="Times New Roman" w:cs="Times New Roman"/>
          <w:bCs/>
          <w:sz w:val="22"/>
          <w:szCs w:val="22"/>
        </w:rPr>
        <w:t>used for years prior to 2008</w:t>
      </w:r>
      <w:r w:rsidR="00F5683B">
        <w:rPr>
          <w:rFonts w:ascii="Times New Roman" w:hAnsi="Times New Roman" w:cs="Times New Roman"/>
          <w:bCs/>
          <w:sz w:val="22"/>
          <w:szCs w:val="22"/>
        </w:rPr>
        <w:t xml:space="preserve"> (EIA 2012)</w:t>
      </w:r>
      <w:r w:rsidR="00E23EA5" w:rsidRPr="00231910">
        <w:rPr>
          <w:rFonts w:ascii="Times New Roman" w:hAnsi="Times New Roman" w:cs="Times New Roman"/>
          <w:bCs/>
          <w:sz w:val="22"/>
          <w:szCs w:val="22"/>
        </w:rPr>
        <w:t xml:space="preserve">. </w:t>
      </w:r>
    </w:p>
    <w:p w:rsidR="00B40445" w:rsidRDefault="00B40445" w:rsidP="00596499">
      <w:pPr>
        <w:spacing w:after="0"/>
        <w:rPr>
          <w:rFonts w:ascii="Times New Roman" w:hAnsi="Times New Roman" w:cs="Times New Roman"/>
          <w:bCs/>
          <w:sz w:val="22"/>
          <w:szCs w:val="22"/>
        </w:rPr>
      </w:pPr>
    </w:p>
    <w:p w:rsidR="00E67941" w:rsidRDefault="00E23EA5" w:rsidP="00596499">
      <w:pPr>
        <w:spacing w:after="0"/>
        <w:rPr>
          <w:rFonts w:ascii="Times New Roman" w:hAnsi="Times New Roman" w:cs="Times New Roman"/>
          <w:bCs/>
          <w:sz w:val="22"/>
          <w:szCs w:val="22"/>
        </w:rPr>
      </w:pPr>
      <w:r w:rsidRPr="00231910">
        <w:rPr>
          <w:rFonts w:ascii="Times New Roman" w:hAnsi="Times New Roman" w:cs="Times New Roman"/>
          <w:bCs/>
          <w:sz w:val="22"/>
          <w:szCs w:val="22"/>
        </w:rPr>
        <w:lastRenderedPageBreak/>
        <w:t xml:space="preserve">From 2008 to 2019, ethanol and biodiesel production </w:t>
      </w:r>
      <w:r w:rsidR="00F5683B">
        <w:rPr>
          <w:rFonts w:ascii="Times New Roman" w:hAnsi="Times New Roman" w:cs="Times New Roman"/>
          <w:bCs/>
          <w:sz w:val="22"/>
          <w:szCs w:val="22"/>
        </w:rPr>
        <w:t xml:space="preserve">are </w:t>
      </w:r>
      <w:r w:rsidRPr="00231910">
        <w:rPr>
          <w:rFonts w:ascii="Times New Roman" w:hAnsi="Times New Roman" w:cs="Times New Roman"/>
          <w:bCs/>
          <w:sz w:val="22"/>
          <w:szCs w:val="22"/>
        </w:rPr>
        <w:t xml:space="preserve">assumed to increase </w:t>
      </w:r>
      <w:r w:rsidR="00B40445">
        <w:rPr>
          <w:rFonts w:ascii="Times New Roman" w:hAnsi="Times New Roman" w:cs="Times New Roman"/>
          <w:bCs/>
          <w:sz w:val="22"/>
          <w:szCs w:val="22"/>
        </w:rPr>
        <w:t>linearly--</w:t>
      </w:r>
      <w:r w:rsidRPr="00231910">
        <w:rPr>
          <w:rFonts w:ascii="Times New Roman" w:hAnsi="Times New Roman" w:cs="Times New Roman"/>
          <w:bCs/>
          <w:sz w:val="22"/>
          <w:szCs w:val="22"/>
        </w:rPr>
        <w:t>from 2008 historical data to the World Agricultural Outlook values for 2019. US</w:t>
      </w:r>
      <w:r w:rsidR="00263953">
        <w:rPr>
          <w:rFonts w:ascii="Times New Roman" w:hAnsi="Times New Roman" w:cs="Times New Roman"/>
          <w:bCs/>
          <w:sz w:val="22"/>
          <w:szCs w:val="22"/>
        </w:rPr>
        <w:t>A</w:t>
      </w:r>
      <w:r w:rsidRPr="00231910">
        <w:rPr>
          <w:rFonts w:ascii="Times New Roman" w:hAnsi="Times New Roman" w:cs="Times New Roman"/>
          <w:bCs/>
          <w:sz w:val="22"/>
          <w:szCs w:val="22"/>
        </w:rPr>
        <w:t xml:space="preserve"> region data</w:t>
      </w:r>
      <w:r w:rsidR="00F5683B">
        <w:rPr>
          <w:rFonts w:ascii="Times New Roman" w:hAnsi="Times New Roman" w:cs="Times New Roman"/>
          <w:bCs/>
          <w:sz w:val="22"/>
          <w:szCs w:val="22"/>
        </w:rPr>
        <w:t xml:space="preserve"> is</w:t>
      </w:r>
      <w:r w:rsidRPr="00231910">
        <w:rPr>
          <w:rFonts w:ascii="Times New Roman" w:hAnsi="Times New Roman" w:cs="Times New Roman"/>
          <w:bCs/>
          <w:sz w:val="22"/>
          <w:szCs w:val="22"/>
        </w:rPr>
        <w:t xml:space="preserve"> taken from </w:t>
      </w:r>
      <w:r w:rsidR="00B40445">
        <w:rPr>
          <w:rFonts w:ascii="Times New Roman" w:hAnsi="Times New Roman" w:cs="Times New Roman"/>
          <w:bCs/>
          <w:sz w:val="22"/>
          <w:szCs w:val="22"/>
        </w:rPr>
        <w:t>US</w:t>
      </w:r>
      <w:r w:rsidRPr="00231910">
        <w:rPr>
          <w:rFonts w:ascii="Times New Roman" w:hAnsi="Times New Roman" w:cs="Times New Roman"/>
          <w:bCs/>
          <w:sz w:val="22"/>
          <w:szCs w:val="22"/>
        </w:rPr>
        <w:t xml:space="preserve"> ethanol and biodiesel production in the spreadsheet, while ROW region data </w:t>
      </w:r>
      <w:r w:rsidR="00F5683B">
        <w:rPr>
          <w:rFonts w:ascii="Times New Roman" w:hAnsi="Times New Roman" w:cs="Times New Roman"/>
          <w:bCs/>
          <w:sz w:val="22"/>
          <w:szCs w:val="22"/>
        </w:rPr>
        <w:t>is</w:t>
      </w:r>
      <w:r w:rsidR="00F5683B" w:rsidRPr="00231910">
        <w:rPr>
          <w:rFonts w:ascii="Times New Roman" w:hAnsi="Times New Roman" w:cs="Times New Roman"/>
          <w:bCs/>
          <w:sz w:val="22"/>
          <w:szCs w:val="22"/>
        </w:rPr>
        <w:t xml:space="preserve"> </w:t>
      </w:r>
      <w:r w:rsidRPr="00231910">
        <w:rPr>
          <w:rFonts w:ascii="Times New Roman" w:hAnsi="Times New Roman" w:cs="Times New Roman"/>
          <w:bCs/>
          <w:sz w:val="22"/>
          <w:szCs w:val="22"/>
        </w:rPr>
        <w:t>the difference between provided world biofuel production and US values.</w:t>
      </w:r>
      <w:r w:rsidR="00CA550D">
        <w:rPr>
          <w:rFonts w:ascii="Times New Roman" w:hAnsi="Times New Roman" w:cs="Times New Roman"/>
          <w:bCs/>
          <w:sz w:val="22"/>
          <w:szCs w:val="22"/>
        </w:rPr>
        <w:t xml:space="preserve"> </w:t>
      </w:r>
      <w:proofErr w:type="spellStart"/>
      <w:r w:rsidR="00CA550D">
        <w:rPr>
          <w:rFonts w:ascii="Times New Roman" w:hAnsi="Times New Roman" w:cs="Times New Roman"/>
          <w:bCs/>
          <w:sz w:val="22"/>
          <w:szCs w:val="22"/>
        </w:rPr>
        <w:t>Alexandratos</w:t>
      </w:r>
      <w:proofErr w:type="spellEnd"/>
      <w:r w:rsidR="00CA550D">
        <w:rPr>
          <w:rFonts w:ascii="Times New Roman" w:hAnsi="Times New Roman" w:cs="Times New Roman"/>
          <w:bCs/>
          <w:sz w:val="22"/>
          <w:szCs w:val="22"/>
        </w:rPr>
        <w:t xml:space="preserve"> and </w:t>
      </w:r>
      <w:proofErr w:type="spellStart"/>
      <w:r w:rsidR="00CA550D">
        <w:rPr>
          <w:rFonts w:ascii="Times New Roman" w:hAnsi="Times New Roman" w:cs="Times New Roman"/>
          <w:bCs/>
          <w:sz w:val="22"/>
          <w:szCs w:val="22"/>
        </w:rPr>
        <w:t>Bruinsma</w:t>
      </w:r>
      <w:proofErr w:type="spellEnd"/>
      <w:r w:rsidR="00CA550D">
        <w:rPr>
          <w:rFonts w:ascii="Times New Roman" w:hAnsi="Times New Roman" w:cs="Times New Roman"/>
          <w:bCs/>
          <w:sz w:val="22"/>
          <w:szCs w:val="22"/>
        </w:rPr>
        <w:t xml:space="preserve"> (2012) presume that only </w:t>
      </w:r>
      <w:r w:rsidR="00B40445">
        <w:rPr>
          <w:rFonts w:ascii="Times New Roman" w:hAnsi="Times New Roman" w:cs="Times New Roman"/>
          <w:bCs/>
          <w:sz w:val="22"/>
          <w:szCs w:val="22"/>
        </w:rPr>
        <w:t>food-</w:t>
      </w:r>
      <w:r w:rsidR="00CA550D">
        <w:rPr>
          <w:rFonts w:ascii="Times New Roman" w:hAnsi="Times New Roman" w:cs="Times New Roman"/>
          <w:bCs/>
          <w:sz w:val="22"/>
          <w:szCs w:val="22"/>
        </w:rPr>
        <w:t>based crop biofuels are available to meet policy requirements</w:t>
      </w:r>
      <w:r w:rsidR="00E67941">
        <w:rPr>
          <w:rFonts w:ascii="Times New Roman" w:hAnsi="Times New Roman" w:cs="Times New Roman"/>
          <w:bCs/>
          <w:sz w:val="22"/>
          <w:szCs w:val="22"/>
        </w:rPr>
        <w:t xml:space="preserve"> </w:t>
      </w:r>
      <w:r w:rsidR="00C501A3">
        <w:rPr>
          <w:rFonts w:ascii="Times New Roman" w:hAnsi="Times New Roman" w:cs="Times New Roman"/>
          <w:bCs/>
          <w:sz w:val="22"/>
          <w:szCs w:val="22"/>
        </w:rPr>
        <w:t>despite cellulosic ethanol requirements (US EPA 2010). The</w:t>
      </w:r>
      <w:r w:rsidR="006811E8">
        <w:rPr>
          <w:rFonts w:ascii="Times New Roman" w:hAnsi="Times New Roman" w:cs="Times New Roman"/>
          <w:bCs/>
          <w:sz w:val="22"/>
          <w:szCs w:val="22"/>
        </w:rPr>
        <w:t xml:space="preserve"> amended</w:t>
      </w:r>
      <w:r w:rsidR="00C501A3">
        <w:rPr>
          <w:rFonts w:ascii="Times New Roman" w:hAnsi="Times New Roman" w:cs="Times New Roman"/>
          <w:bCs/>
          <w:sz w:val="22"/>
          <w:szCs w:val="22"/>
        </w:rPr>
        <w:t xml:space="preserve"> scenario </w:t>
      </w:r>
      <w:r w:rsidR="006811E8">
        <w:rPr>
          <w:rFonts w:ascii="Times New Roman" w:hAnsi="Times New Roman" w:cs="Times New Roman"/>
          <w:bCs/>
          <w:sz w:val="22"/>
          <w:szCs w:val="22"/>
        </w:rPr>
        <w:t xml:space="preserve">assumes </w:t>
      </w:r>
      <w:r w:rsidR="00C501A3">
        <w:rPr>
          <w:rFonts w:ascii="Times New Roman" w:hAnsi="Times New Roman" w:cs="Times New Roman"/>
          <w:bCs/>
          <w:sz w:val="22"/>
          <w:szCs w:val="22"/>
        </w:rPr>
        <w:t>the mandated 57 billion dm</w:t>
      </w:r>
      <w:r w:rsidR="00C501A3" w:rsidRPr="00C501A3">
        <w:rPr>
          <w:rFonts w:ascii="Times New Roman" w:hAnsi="Times New Roman" w:cs="Times New Roman"/>
          <w:bCs/>
          <w:sz w:val="22"/>
          <w:szCs w:val="22"/>
          <w:vertAlign w:val="superscript"/>
        </w:rPr>
        <w:t>3</w:t>
      </w:r>
      <w:r w:rsidR="00C501A3">
        <w:rPr>
          <w:rFonts w:ascii="Times New Roman" w:hAnsi="Times New Roman" w:cs="Times New Roman"/>
          <w:bCs/>
          <w:sz w:val="22"/>
          <w:szCs w:val="22"/>
        </w:rPr>
        <w:t xml:space="preserve"> of corn ethanol and about 32 billion dm</w:t>
      </w:r>
      <w:r w:rsidR="00C501A3" w:rsidRPr="00C501A3">
        <w:rPr>
          <w:rFonts w:ascii="Times New Roman" w:hAnsi="Times New Roman" w:cs="Times New Roman"/>
          <w:bCs/>
          <w:sz w:val="22"/>
          <w:szCs w:val="22"/>
          <w:vertAlign w:val="superscript"/>
        </w:rPr>
        <w:t>3</w:t>
      </w:r>
      <w:r w:rsidR="00C501A3">
        <w:rPr>
          <w:rFonts w:ascii="Times New Roman" w:hAnsi="Times New Roman" w:cs="Times New Roman"/>
          <w:bCs/>
          <w:sz w:val="22"/>
          <w:szCs w:val="22"/>
        </w:rPr>
        <w:t xml:space="preserve"> of cellulosic ethanol by 2019. </w:t>
      </w:r>
      <w:r w:rsidR="00CD64C6">
        <w:rPr>
          <w:rFonts w:ascii="Times New Roman" w:hAnsi="Times New Roman" w:cs="Times New Roman"/>
          <w:bCs/>
          <w:sz w:val="22"/>
          <w:szCs w:val="22"/>
        </w:rPr>
        <w:t xml:space="preserve"> </w:t>
      </w:r>
    </w:p>
    <w:p w:rsidR="00E67941" w:rsidRDefault="00E67941" w:rsidP="00596499">
      <w:pPr>
        <w:spacing w:after="0"/>
        <w:rPr>
          <w:rFonts w:ascii="Times New Roman" w:hAnsi="Times New Roman" w:cs="Times New Roman"/>
          <w:bCs/>
          <w:sz w:val="22"/>
          <w:szCs w:val="22"/>
        </w:rPr>
      </w:pPr>
    </w:p>
    <w:p w:rsidR="00596499" w:rsidRDefault="00CD64C6" w:rsidP="00596499">
      <w:pPr>
        <w:spacing w:after="0"/>
        <w:rPr>
          <w:rFonts w:ascii="Times New Roman" w:hAnsi="Times New Roman" w:cs="Times New Roman"/>
          <w:bCs/>
          <w:sz w:val="22"/>
          <w:szCs w:val="22"/>
        </w:rPr>
      </w:pPr>
      <w:r>
        <w:rPr>
          <w:rFonts w:ascii="Times New Roman" w:hAnsi="Times New Roman" w:cs="Times New Roman"/>
          <w:bCs/>
          <w:sz w:val="22"/>
          <w:szCs w:val="22"/>
        </w:rPr>
        <w:t>To calculate the land and energy requirements</w:t>
      </w:r>
      <w:r w:rsidR="00B40445">
        <w:rPr>
          <w:rFonts w:ascii="Times New Roman" w:hAnsi="Times New Roman" w:cs="Times New Roman"/>
          <w:bCs/>
          <w:sz w:val="22"/>
          <w:szCs w:val="22"/>
        </w:rPr>
        <w:t>,</w:t>
      </w:r>
      <w:r w:rsidR="00157DFC">
        <w:rPr>
          <w:rFonts w:ascii="Times New Roman" w:hAnsi="Times New Roman" w:cs="Times New Roman"/>
          <w:bCs/>
          <w:sz w:val="22"/>
          <w:szCs w:val="22"/>
        </w:rPr>
        <w:t xml:space="preserve"> we used biodiesel conversion and oil yield assumptions for palm and soybeans from the Biomass Scenario Model </w:t>
      </w:r>
      <w:r w:rsidR="004D78C7">
        <w:rPr>
          <w:rFonts w:ascii="Times New Roman" w:hAnsi="Times New Roman" w:cs="Times New Roman"/>
          <w:bCs/>
          <w:sz w:val="22"/>
          <w:szCs w:val="22"/>
        </w:rPr>
        <w:t>(NREL 2012)</w:t>
      </w:r>
      <w:r w:rsidR="00157DFC">
        <w:rPr>
          <w:rFonts w:ascii="Times New Roman" w:hAnsi="Times New Roman" w:cs="Times New Roman"/>
          <w:bCs/>
          <w:sz w:val="22"/>
          <w:szCs w:val="22"/>
        </w:rPr>
        <w:t>.</w:t>
      </w:r>
      <w:r w:rsidR="00DE2A96">
        <w:rPr>
          <w:rFonts w:ascii="Times New Roman" w:hAnsi="Times New Roman" w:cs="Times New Roman"/>
          <w:bCs/>
          <w:sz w:val="22"/>
          <w:szCs w:val="22"/>
        </w:rPr>
        <w:t xml:space="preserve"> </w:t>
      </w:r>
      <w:r w:rsidR="000E15CC">
        <w:rPr>
          <w:rFonts w:ascii="Times New Roman" w:hAnsi="Times New Roman" w:cs="Times New Roman"/>
          <w:bCs/>
          <w:sz w:val="22"/>
          <w:szCs w:val="22"/>
        </w:rPr>
        <w:t>T</w:t>
      </w:r>
      <w:r w:rsidR="000E15CC" w:rsidRPr="000E15CC">
        <w:rPr>
          <w:rFonts w:ascii="Times New Roman" w:hAnsi="Times New Roman" w:cs="Times New Roman"/>
          <w:bCs/>
          <w:sz w:val="22"/>
          <w:szCs w:val="22"/>
        </w:rPr>
        <w:t>he details o</w:t>
      </w:r>
      <w:r w:rsidR="00395504">
        <w:rPr>
          <w:rFonts w:ascii="Times New Roman" w:hAnsi="Times New Roman" w:cs="Times New Roman"/>
          <w:bCs/>
          <w:sz w:val="22"/>
          <w:szCs w:val="22"/>
        </w:rPr>
        <w:t>f</w:t>
      </w:r>
      <w:r w:rsidR="000E15CC">
        <w:rPr>
          <w:rFonts w:ascii="Times New Roman" w:hAnsi="Times New Roman" w:cs="Times New Roman"/>
          <w:bCs/>
          <w:sz w:val="22"/>
          <w:szCs w:val="22"/>
        </w:rPr>
        <w:t xml:space="preserve"> markets </w:t>
      </w:r>
      <w:r w:rsidR="000E15CC" w:rsidRPr="000E15CC">
        <w:rPr>
          <w:rFonts w:ascii="Times New Roman" w:hAnsi="Times New Roman" w:cs="Times New Roman"/>
          <w:bCs/>
          <w:sz w:val="22"/>
          <w:szCs w:val="22"/>
        </w:rPr>
        <w:t xml:space="preserve">are below the resolution of the </w:t>
      </w:r>
      <w:proofErr w:type="spellStart"/>
      <w:r w:rsidR="00395504">
        <w:rPr>
          <w:rFonts w:ascii="Times New Roman" w:hAnsi="Times New Roman" w:cs="Times New Roman"/>
          <w:bCs/>
          <w:sz w:val="22"/>
          <w:szCs w:val="22"/>
        </w:rPr>
        <w:t>BioLUC</w:t>
      </w:r>
      <w:proofErr w:type="spellEnd"/>
      <w:r w:rsidR="00395504">
        <w:rPr>
          <w:rFonts w:ascii="Times New Roman" w:hAnsi="Times New Roman" w:cs="Times New Roman"/>
          <w:bCs/>
          <w:sz w:val="22"/>
          <w:szCs w:val="22"/>
        </w:rPr>
        <w:t xml:space="preserve"> </w:t>
      </w:r>
      <w:r w:rsidR="000E15CC" w:rsidRPr="000E15CC">
        <w:rPr>
          <w:rFonts w:ascii="Times New Roman" w:hAnsi="Times New Roman" w:cs="Times New Roman"/>
          <w:bCs/>
          <w:sz w:val="22"/>
          <w:szCs w:val="22"/>
        </w:rPr>
        <w:t>model.</w:t>
      </w:r>
      <w:r w:rsidR="000E15CC">
        <w:rPr>
          <w:rFonts w:ascii="Times New Roman" w:hAnsi="Times New Roman" w:cs="Times New Roman"/>
          <w:bCs/>
          <w:sz w:val="22"/>
          <w:szCs w:val="22"/>
        </w:rPr>
        <w:t xml:space="preserve"> </w:t>
      </w:r>
      <w:r w:rsidR="00DE2A96">
        <w:rPr>
          <w:rFonts w:ascii="Times New Roman" w:hAnsi="Times New Roman" w:cs="Times New Roman"/>
          <w:bCs/>
          <w:sz w:val="22"/>
          <w:szCs w:val="22"/>
        </w:rPr>
        <w:t>To calculate land requirements solely for biofuels and not co-products</w:t>
      </w:r>
      <w:r w:rsidR="00252E59">
        <w:rPr>
          <w:rFonts w:ascii="Times New Roman" w:hAnsi="Times New Roman" w:cs="Times New Roman"/>
          <w:bCs/>
          <w:sz w:val="22"/>
          <w:szCs w:val="22"/>
        </w:rPr>
        <w:t>,</w:t>
      </w:r>
      <w:r w:rsidR="00DE2A96">
        <w:rPr>
          <w:rFonts w:ascii="Times New Roman" w:hAnsi="Times New Roman" w:cs="Times New Roman"/>
          <w:bCs/>
          <w:sz w:val="22"/>
          <w:szCs w:val="22"/>
        </w:rPr>
        <w:t xml:space="preserve"> we </w:t>
      </w:r>
      <w:r w:rsidR="00AC2F14">
        <w:rPr>
          <w:rFonts w:ascii="Times New Roman" w:hAnsi="Times New Roman" w:cs="Times New Roman"/>
          <w:bCs/>
          <w:sz w:val="22"/>
          <w:szCs w:val="22"/>
        </w:rPr>
        <w:t>ass</w:t>
      </w:r>
      <w:r w:rsidR="00457248">
        <w:rPr>
          <w:rFonts w:ascii="Times New Roman" w:hAnsi="Times New Roman" w:cs="Times New Roman"/>
          <w:bCs/>
          <w:sz w:val="22"/>
          <w:szCs w:val="22"/>
        </w:rPr>
        <w:t xml:space="preserve">umed economic </w:t>
      </w:r>
      <w:r w:rsidR="00DE2A96">
        <w:rPr>
          <w:rFonts w:ascii="Times New Roman" w:hAnsi="Times New Roman" w:cs="Times New Roman"/>
          <w:bCs/>
          <w:sz w:val="22"/>
          <w:szCs w:val="22"/>
        </w:rPr>
        <w:t xml:space="preserve">co-product allocation from </w:t>
      </w:r>
      <w:proofErr w:type="spellStart"/>
      <w:r w:rsidR="00DE2A96">
        <w:rPr>
          <w:rFonts w:ascii="Times New Roman" w:hAnsi="Times New Roman" w:cs="Times New Roman"/>
          <w:bCs/>
          <w:sz w:val="22"/>
          <w:szCs w:val="22"/>
        </w:rPr>
        <w:t>Hoefnagels</w:t>
      </w:r>
      <w:proofErr w:type="spellEnd"/>
      <w:r w:rsidR="00DE2A96">
        <w:rPr>
          <w:rFonts w:ascii="Times New Roman" w:hAnsi="Times New Roman" w:cs="Times New Roman"/>
          <w:bCs/>
          <w:sz w:val="22"/>
          <w:szCs w:val="22"/>
        </w:rPr>
        <w:t xml:space="preserve"> </w:t>
      </w:r>
      <w:r w:rsidR="00D22F20" w:rsidRPr="00D22F20">
        <w:rPr>
          <w:rFonts w:ascii="Times New Roman" w:hAnsi="Times New Roman" w:cs="Times New Roman"/>
          <w:bCs/>
          <w:i/>
          <w:sz w:val="22"/>
          <w:szCs w:val="22"/>
        </w:rPr>
        <w:t>et al</w:t>
      </w:r>
      <w:r w:rsidR="00DE2A96">
        <w:rPr>
          <w:rFonts w:ascii="Times New Roman" w:hAnsi="Times New Roman" w:cs="Times New Roman"/>
          <w:bCs/>
          <w:sz w:val="22"/>
          <w:szCs w:val="22"/>
        </w:rPr>
        <w:t xml:space="preserve"> (2010)</w:t>
      </w:r>
      <w:r w:rsidR="00457248">
        <w:rPr>
          <w:rFonts w:ascii="Times New Roman" w:hAnsi="Times New Roman" w:cs="Times New Roman"/>
          <w:bCs/>
          <w:sz w:val="22"/>
          <w:szCs w:val="22"/>
        </w:rPr>
        <w:t xml:space="preserve"> which was generally the most conservative (i.e., with regards to assuming higher land requirements for the biofuel)</w:t>
      </w:r>
      <w:r w:rsidR="00DE2A96">
        <w:rPr>
          <w:rFonts w:ascii="Times New Roman" w:hAnsi="Times New Roman" w:cs="Times New Roman"/>
          <w:bCs/>
          <w:sz w:val="22"/>
          <w:szCs w:val="22"/>
        </w:rPr>
        <w:t>.</w:t>
      </w:r>
      <w:r w:rsidR="000E15CC">
        <w:rPr>
          <w:rFonts w:ascii="Times New Roman" w:hAnsi="Times New Roman" w:cs="Times New Roman"/>
          <w:bCs/>
          <w:sz w:val="22"/>
          <w:szCs w:val="22"/>
        </w:rPr>
        <w:t xml:space="preserve"> </w:t>
      </w:r>
    </w:p>
    <w:p w:rsidR="00E67941" w:rsidRDefault="00E67941" w:rsidP="00E67941">
      <w:pPr>
        <w:spacing w:after="0"/>
        <w:rPr>
          <w:rFonts w:ascii="Times New Roman" w:hAnsi="Times New Roman" w:cs="Times New Roman"/>
          <w:bCs/>
          <w:sz w:val="22"/>
          <w:szCs w:val="22"/>
        </w:rPr>
      </w:pPr>
    </w:p>
    <w:p w:rsidR="00E67941" w:rsidRDefault="00E67941" w:rsidP="00E67941">
      <w:pPr>
        <w:spacing w:after="0"/>
        <w:rPr>
          <w:rFonts w:ascii="Times New Roman" w:hAnsi="Times New Roman" w:cs="Times New Roman"/>
          <w:bCs/>
          <w:sz w:val="22"/>
          <w:szCs w:val="22"/>
        </w:rPr>
      </w:pPr>
      <w:r>
        <w:rPr>
          <w:rFonts w:ascii="Times New Roman" w:hAnsi="Times New Roman" w:cs="Times New Roman"/>
          <w:bCs/>
          <w:sz w:val="22"/>
          <w:szCs w:val="22"/>
        </w:rPr>
        <w:t xml:space="preserve">Cellulosic ethanol yield assumptions from 2020-2050 based on US DOE 2011 for the USA and two papers by </w:t>
      </w:r>
      <w:proofErr w:type="spellStart"/>
      <w:r>
        <w:rPr>
          <w:rFonts w:ascii="Times New Roman" w:hAnsi="Times New Roman" w:cs="Times New Roman"/>
          <w:bCs/>
          <w:sz w:val="22"/>
          <w:szCs w:val="22"/>
        </w:rPr>
        <w:t>Hacatoglu</w:t>
      </w:r>
      <w:proofErr w:type="spellEnd"/>
      <w:r>
        <w:rPr>
          <w:rFonts w:ascii="Times New Roman" w:hAnsi="Times New Roman" w:cs="Times New Roman"/>
          <w:bCs/>
          <w:sz w:val="22"/>
          <w:szCs w:val="22"/>
        </w:rPr>
        <w:t xml:space="preserve"> et al. (2011) and </w:t>
      </w:r>
      <w:proofErr w:type="spellStart"/>
      <w:r w:rsidRPr="00034169">
        <w:rPr>
          <w:rFonts w:ascii="Times New Roman" w:hAnsi="Times New Roman" w:cs="Times New Roman"/>
          <w:bCs/>
          <w:sz w:val="22"/>
          <w:szCs w:val="22"/>
        </w:rPr>
        <w:t>Djomo</w:t>
      </w:r>
      <w:proofErr w:type="spellEnd"/>
      <w:r w:rsidRPr="00034169">
        <w:rPr>
          <w:rFonts w:ascii="Times New Roman" w:hAnsi="Times New Roman" w:cs="Times New Roman"/>
          <w:bCs/>
          <w:sz w:val="22"/>
          <w:szCs w:val="22"/>
        </w:rPr>
        <w:t xml:space="preserve"> et al. </w:t>
      </w:r>
      <w:r>
        <w:rPr>
          <w:rFonts w:ascii="Times New Roman" w:hAnsi="Times New Roman" w:cs="Times New Roman"/>
          <w:bCs/>
          <w:sz w:val="22"/>
          <w:szCs w:val="22"/>
        </w:rPr>
        <w:t>(</w:t>
      </w:r>
      <w:r w:rsidRPr="00034169">
        <w:rPr>
          <w:rFonts w:ascii="Times New Roman" w:hAnsi="Times New Roman" w:cs="Times New Roman"/>
          <w:bCs/>
          <w:sz w:val="22"/>
          <w:szCs w:val="22"/>
        </w:rPr>
        <w:t>2011</w:t>
      </w:r>
      <w:r>
        <w:rPr>
          <w:rFonts w:ascii="Times New Roman" w:hAnsi="Times New Roman" w:cs="Times New Roman"/>
          <w:bCs/>
          <w:sz w:val="22"/>
          <w:szCs w:val="22"/>
        </w:rPr>
        <w:t>) for the ROW are reported in Table S</w:t>
      </w:r>
      <w:r w:rsidR="00C501A3">
        <w:rPr>
          <w:rFonts w:ascii="Times New Roman" w:hAnsi="Times New Roman" w:cs="Times New Roman"/>
          <w:bCs/>
          <w:sz w:val="22"/>
          <w:szCs w:val="22"/>
        </w:rPr>
        <w:t>7</w:t>
      </w:r>
      <w:r>
        <w:rPr>
          <w:rFonts w:ascii="Times New Roman" w:hAnsi="Times New Roman" w:cs="Times New Roman"/>
          <w:bCs/>
          <w:sz w:val="22"/>
          <w:szCs w:val="22"/>
        </w:rPr>
        <w:t>.</w:t>
      </w:r>
      <w:r w:rsidR="00C501A3">
        <w:rPr>
          <w:rFonts w:ascii="Times New Roman" w:hAnsi="Times New Roman" w:cs="Times New Roman"/>
          <w:bCs/>
          <w:sz w:val="22"/>
          <w:szCs w:val="22"/>
        </w:rPr>
        <w:t xml:space="preserve"> </w:t>
      </w:r>
      <w:r>
        <w:rPr>
          <w:rFonts w:ascii="Times New Roman" w:hAnsi="Times New Roman" w:cs="Times New Roman"/>
          <w:bCs/>
          <w:sz w:val="22"/>
          <w:szCs w:val="22"/>
        </w:rPr>
        <w:t>Approximately 100% cellulosic ethanol from herbaceous feedstocks was assumed for the US (US DOE 2011). W</w:t>
      </w:r>
      <w:r w:rsidR="00925D22">
        <w:rPr>
          <w:rFonts w:ascii="Times New Roman" w:hAnsi="Times New Roman" w:cs="Times New Roman"/>
          <w:bCs/>
          <w:sz w:val="22"/>
          <w:szCs w:val="22"/>
        </w:rPr>
        <w:t xml:space="preserve">e assumed a mixture of 70% </w:t>
      </w:r>
      <w:r>
        <w:rPr>
          <w:rFonts w:ascii="Times New Roman" w:hAnsi="Times New Roman" w:cs="Times New Roman"/>
          <w:bCs/>
          <w:sz w:val="22"/>
          <w:szCs w:val="22"/>
        </w:rPr>
        <w:t xml:space="preserve">woody and </w:t>
      </w:r>
      <w:r w:rsidR="00925D22">
        <w:rPr>
          <w:rFonts w:ascii="Times New Roman" w:hAnsi="Times New Roman" w:cs="Times New Roman"/>
          <w:bCs/>
          <w:sz w:val="22"/>
          <w:szCs w:val="22"/>
        </w:rPr>
        <w:t xml:space="preserve">30% </w:t>
      </w:r>
      <w:r>
        <w:rPr>
          <w:rFonts w:ascii="Times New Roman" w:hAnsi="Times New Roman" w:cs="Times New Roman"/>
          <w:bCs/>
          <w:sz w:val="22"/>
          <w:szCs w:val="22"/>
        </w:rPr>
        <w:t xml:space="preserve">herbaceous crop feedstocks based on lower yield estimates in </w:t>
      </w:r>
      <w:proofErr w:type="spellStart"/>
      <w:r>
        <w:rPr>
          <w:rFonts w:ascii="Times New Roman" w:hAnsi="Times New Roman" w:cs="Times New Roman"/>
          <w:bCs/>
          <w:sz w:val="22"/>
          <w:szCs w:val="22"/>
        </w:rPr>
        <w:t>Djomo</w:t>
      </w:r>
      <w:proofErr w:type="spellEnd"/>
      <w:r>
        <w:rPr>
          <w:rFonts w:ascii="Times New Roman" w:hAnsi="Times New Roman" w:cs="Times New Roman"/>
          <w:bCs/>
          <w:sz w:val="22"/>
          <w:szCs w:val="22"/>
        </w:rPr>
        <w:t xml:space="preserve"> et al. (2011) and </w:t>
      </w:r>
      <w:proofErr w:type="spellStart"/>
      <w:r>
        <w:rPr>
          <w:rFonts w:ascii="Times New Roman" w:hAnsi="Times New Roman" w:cs="Times New Roman"/>
          <w:bCs/>
          <w:sz w:val="22"/>
          <w:szCs w:val="22"/>
        </w:rPr>
        <w:t>Hacatoglu</w:t>
      </w:r>
      <w:proofErr w:type="spellEnd"/>
      <w:r>
        <w:rPr>
          <w:rFonts w:ascii="Times New Roman" w:hAnsi="Times New Roman" w:cs="Times New Roman"/>
          <w:bCs/>
          <w:sz w:val="22"/>
          <w:szCs w:val="22"/>
        </w:rPr>
        <w:t xml:space="preserve"> et al. (2011) for the ROW. In the US a 1% improvement in yield per year is assumed (US DOE 2011). The same improvement is extended to the ROW.</w:t>
      </w:r>
      <w:r w:rsidR="00C501A3">
        <w:rPr>
          <w:rFonts w:ascii="Times New Roman" w:hAnsi="Times New Roman" w:cs="Times New Roman"/>
          <w:bCs/>
          <w:sz w:val="22"/>
          <w:szCs w:val="22"/>
        </w:rPr>
        <w:t xml:space="preserve"> ROW cellulosic ethanol yields are only used in the higher biofuel (HB) demand scenario.</w:t>
      </w:r>
    </w:p>
    <w:p w:rsidR="00E67941" w:rsidRDefault="00E67941" w:rsidP="00596499">
      <w:pPr>
        <w:spacing w:after="0"/>
        <w:rPr>
          <w:rFonts w:ascii="Times New Roman" w:hAnsi="Times New Roman" w:cs="Times New Roman"/>
          <w:bCs/>
          <w:sz w:val="22"/>
          <w:szCs w:val="22"/>
        </w:rPr>
      </w:pPr>
    </w:p>
    <w:p w:rsidR="00596499" w:rsidRPr="00596499" w:rsidRDefault="00596499" w:rsidP="00596499">
      <w:pPr>
        <w:spacing w:after="0"/>
        <w:rPr>
          <w:rFonts w:ascii="Times New Roman" w:hAnsi="Times New Roman" w:cs="Times New Roman"/>
          <w:bCs/>
          <w:sz w:val="22"/>
          <w:szCs w:val="22"/>
        </w:rPr>
      </w:pPr>
    </w:p>
    <w:p w:rsidR="005912EA" w:rsidRDefault="00D22F20" w:rsidP="003A69C7">
      <w:pPr>
        <w:rPr>
          <w:rFonts w:ascii="Times New Roman" w:hAnsi="Times New Roman" w:cs="Times New Roman"/>
          <w:sz w:val="20"/>
          <w:szCs w:val="20"/>
        </w:rPr>
      </w:pPr>
      <w:r w:rsidRPr="00D22F20">
        <w:rPr>
          <w:rFonts w:ascii="Times New Roman" w:hAnsi="Times New Roman" w:cs="Times New Roman"/>
          <w:b/>
          <w:sz w:val="20"/>
          <w:szCs w:val="20"/>
        </w:rPr>
        <w:t xml:space="preserve">Table </w:t>
      </w:r>
      <w:r w:rsidR="00732824">
        <w:rPr>
          <w:rFonts w:ascii="Times New Roman" w:hAnsi="Times New Roman" w:cs="Times New Roman"/>
          <w:b/>
          <w:sz w:val="20"/>
          <w:szCs w:val="20"/>
        </w:rPr>
        <w:t>S</w:t>
      </w:r>
      <w:r w:rsidRPr="00D22F20">
        <w:rPr>
          <w:rFonts w:ascii="Times New Roman" w:hAnsi="Times New Roman" w:cs="Times New Roman"/>
          <w:b/>
          <w:sz w:val="20"/>
          <w:szCs w:val="20"/>
        </w:rPr>
        <w:t>5</w:t>
      </w:r>
      <w:r w:rsidR="00BC510A">
        <w:rPr>
          <w:rFonts w:ascii="Times New Roman" w:hAnsi="Times New Roman" w:cs="Times New Roman"/>
          <w:sz w:val="20"/>
          <w:szCs w:val="20"/>
        </w:rPr>
        <w:t>.</w:t>
      </w:r>
      <w:r w:rsidR="00CD64C6" w:rsidRPr="009F6262">
        <w:rPr>
          <w:rFonts w:ascii="Times New Roman" w:hAnsi="Times New Roman" w:cs="Times New Roman"/>
          <w:sz w:val="20"/>
          <w:szCs w:val="20"/>
        </w:rPr>
        <w:t xml:space="preserve"> BAU and HF biofuel energy demand from 1991-2050 in EJ/yr.</w:t>
      </w:r>
      <w:r w:rsidR="003A69C7">
        <w:rPr>
          <w:rFonts w:ascii="Times New Roman" w:hAnsi="Times New Roman" w:cs="Times New Roman"/>
          <w:sz w:val="20"/>
          <w:szCs w:val="20"/>
        </w:rPr>
        <w:t xml:space="preserve"> </w:t>
      </w:r>
    </w:p>
    <w:tbl>
      <w:tblPr>
        <w:tblW w:w="7320" w:type="dxa"/>
        <w:jc w:val="center"/>
        <w:tblInd w:w="95" w:type="dxa"/>
        <w:tblLook w:val="04A0"/>
      </w:tblPr>
      <w:tblGrid>
        <w:gridCol w:w="972"/>
        <w:gridCol w:w="2740"/>
        <w:gridCol w:w="616"/>
        <w:gridCol w:w="616"/>
        <w:gridCol w:w="616"/>
        <w:gridCol w:w="616"/>
        <w:gridCol w:w="616"/>
        <w:gridCol w:w="616"/>
        <w:gridCol w:w="616"/>
      </w:tblGrid>
      <w:tr w:rsidR="003A69C7" w:rsidRPr="003A69C7" w:rsidTr="003A69C7">
        <w:trPr>
          <w:trHeight w:val="300"/>
          <w:jc w:val="center"/>
        </w:trPr>
        <w:tc>
          <w:tcPr>
            <w:tcW w:w="88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b/>
                <w:bCs/>
                <w:color w:val="000000"/>
                <w:sz w:val="20"/>
                <w:szCs w:val="20"/>
              </w:rPr>
            </w:pPr>
            <w:r w:rsidRPr="003A69C7">
              <w:rPr>
                <w:rFonts w:ascii="Times New Roman" w:eastAsia="Times New Roman" w:hAnsi="Times New Roman" w:cs="Times New Roman"/>
                <w:b/>
                <w:bCs/>
                <w:color w:val="000000"/>
                <w:sz w:val="20"/>
                <w:szCs w:val="20"/>
              </w:rPr>
              <w:t>Location</w:t>
            </w:r>
          </w:p>
        </w:tc>
        <w:tc>
          <w:tcPr>
            <w:tcW w:w="274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b/>
                <w:bCs/>
                <w:color w:val="000000"/>
                <w:sz w:val="20"/>
                <w:szCs w:val="20"/>
              </w:rPr>
            </w:pPr>
            <w:r w:rsidRPr="003A69C7">
              <w:rPr>
                <w:rFonts w:ascii="Times New Roman" w:eastAsia="Times New Roman" w:hAnsi="Times New Roman" w:cs="Times New Roman"/>
                <w:b/>
                <w:bCs/>
                <w:color w:val="000000"/>
                <w:sz w:val="20"/>
                <w:szCs w:val="20"/>
              </w:rPr>
              <w:t>Commodity Type</w:t>
            </w:r>
          </w:p>
        </w:tc>
        <w:tc>
          <w:tcPr>
            <w:tcW w:w="52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b/>
                <w:bCs/>
                <w:color w:val="000000"/>
                <w:sz w:val="20"/>
                <w:szCs w:val="20"/>
              </w:rPr>
            </w:pPr>
            <w:r w:rsidRPr="003A69C7">
              <w:rPr>
                <w:rFonts w:ascii="Times New Roman" w:eastAsia="Times New Roman" w:hAnsi="Times New Roman" w:cs="Times New Roman"/>
                <w:b/>
                <w:bCs/>
                <w:color w:val="000000"/>
                <w:sz w:val="20"/>
                <w:szCs w:val="20"/>
              </w:rPr>
              <w:t>1991</w:t>
            </w:r>
          </w:p>
        </w:tc>
        <w:tc>
          <w:tcPr>
            <w:tcW w:w="58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b/>
                <w:bCs/>
                <w:color w:val="000000"/>
                <w:sz w:val="20"/>
                <w:szCs w:val="20"/>
              </w:rPr>
            </w:pPr>
            <w:r w:rsidRPr="003A69C7">
              <w:rPr>
                <w:rFonts w:ascii="Times New Roman" w:eastAsia="Times New Roman" w:hAnsi="Times New Roman" w:cs="Times New Roman"/>
                <w:b/>
                <w:bCs/>
                <w:color w:val="000000"/>
                <w:sz w:val="20"/>
                <w:szCs w:val="20"/>
              </w:rPr>
              <w:t>2000</w:t>
            </w:r>
          </w:p>
        </w:tc>
        <w:tc>
          <w:tcPr>
            <w:tcW w:w="52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b/>
                <w:bCs/>
                <w:color w:val="000000"/>
                <w:sz w:val="20"/>
                <w:szCs w:val="20"/>
              </w:rPr>
            </w:pPr>
            <w:r w:rsidRPr="003A69C7">
              <w:rPr>
                <w:rFonts w:ascii="Times New Roman" w:eastAsia="Times New Roman" w:hAnsi="Times New Roman" w:cs="Times New Roman"/>
                <w:b/>
                <w:bCs/>
                <w:color w:val="000000"/>
                <w:sz w:val="20"/>
                <w:szCs w:val="20"/>
              </w:rPr>
              <w:t>2010</w:t>
            </w:r>
          </w:p>
        </w:tc>
        <w:tc>
          <w:tcPr>
            <w:tcW w:w="52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b/>
                <w:bCs/>
                <w:color w:val="000000"/>
                <w:sz w:val="20"/>
                <w:szCs w:val="20"/>
              </w:rPr>
            </w:pPr>
            <w:r w:rsidRPr="003A69C7">
              <w:rPr>
                <w:rFonts w:ascii="Times New Roman" w:eastAsia="Times New Roman" w:hAnsi="Times New Roman" w:cs="Times New Roman"/>
                <w:b/>
                <w:bCs/>
                <w:color w:val="000000"/>
                <w:sz w:val="20"/>
                <w:szCs w:val="20"/>
              </w:rPr>
              <w:t>2020</w:t>
            </w:r>
          </w:p>
        </w:tc>
        <w:tc>
          <w:tcPr>
            <w:tcW w:w="52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b/>
                <w:bCs/>
                <w:color w:val="000000"/>
                <w:sz w:val="20"/>
                <w:szCs w:val="20"/>
              </w:rPr>
            </w:pPr>
            <w:r w:rsidRPr="003A69C7">
              <w:rPr>
                <w:rFonts w:ascii="Times New Roman" w:eastAsia="Times New Roman" w:hAnsi="Times New Roman" w:cs="Times New Roman"/>
                <w:b/>
                <w:bCs/>
                <w:color w:val="000000"/>
                <w:sz w:val="20"/>
                <w:szCs w:val="20"/>
              </w:rPr>
              <w:t>2030</w:t>
            </w:r>
          </w:p>
        </w:tc>
        <w:tc>
          <w:tcPr>
            <w:tcW w:w="52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b/>
                <w:bCs/>
                <w:color w:val="000000"/>
                <w:sz w:val="20"/>
                <w:szCs w:val="20"/>
              </w:rPr>
            </w:pPr>
            <w:r w:rsidRPr="003A69C7">
              <w:rPr>
                <w:rFonts w:ascii="Times New Roman" w:eastAsia="Times New Roman" w:hAnsi="Times New Roman" w:cs="Times New Roman"/>
                <w:b/>
                <w:bCs/>
                <w:color w:val="000000"/>
                <w:sz w:val="20"/>
                <w:szCs w:val="20"/>
              </w:rPr>
              <w:t>2040</w:t>
            </w:r>
          </w:p>
        </w:tc>
        <w:tc>
          <w:tcPr>
            <w:tcW w:w="52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b/>
                <w:bCs/>
                <w:color w:val="000000"/>
                <w:sz w:val="20"/>
                <w:szCs w:val="20"/>
              </w:rPr>
            </w:pPr>
            <w:r w:rsidRPr="003A69C7">
              <w:rPr>
                <w:rFonts w:ascii="Times New Roman" w:eastAsia="Times New Roman" w:hAnsi="Times New Roman" w:cs="Times New Roman"/>
                <w:b/>
                <w:bCs/>
                <w:color w:val="000000"/>
                <w:sz w:val="20"/>
                <w:szCs w:val="20"/>
              </w:rPr>
              <w:t>2050</w:t>
            </w:r>
          </w:p>
        </w:tc>
      </w:tr>
      <w:tr w:rsidR="003A69C7" w:rsidRPr="003A69C7" w:rsidTr="003A69C7">
        <w:trPr>
          <w:trHeight w:val="300"/>
          <w:jc w:val="center"/>
        </w:trPr>
        <w:tc>
          <w:tcPr>
            <w:tcW w:w="880" w:type="dxa"/>
            <w:vMerge w:val="restart"/>
            <w:tcBorders>
              <w:top w:val="nil"/>
              <w:left w:val="nil"/>
              <w:bottom w:val="nil"/>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sz w:val="20"/>
                <w:szCs w:val="20"/>
              </w:rPr>
            </w:pPr>
            <w:r w:rsidRPr="003A69C7">
              <w:rPr>
                <w:rFonts w:ascii="Times New Roman" w:eastAsia="Times New Roman" w:hAnsi="Times New Roman" w:cs="Times New Roman"/>
                <w:sz w:val="20"/>
                <w:szCs w:val="20"/>
              </w:rPr>
              <w:t>USA</w:t>
            </w:r>
          </w:p>
        </w:tc>
        <w:tc>
          <w:tcPr>
            <w:tcW w:w="274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ethanol</w:t>
            </w:r>
          </w:p>
        </w:tc>
        <w:tc>
          <w:tcPr>
            <w:tcW w:w="52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0.02</w:t>
            </w:r>
          </w:p>
        </w:tc>
        <w:tc>
          <w:tcPr>
            <w:tcW w:w="58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0.21</w:t>
            </w:r>
          </w:p>
        </w:tc>
        <w:tc>
          <w:tcPr>
            <w:tcW w:w="52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1.4</w:t>
            </w:r>
          </w:p>
        </w:tc>
        <w:tc>
          <w:tcPr>
            <w:tcW w:w="52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2.3</w:t>
            </w:r>
          </w:p>
        </w:tc>
        <w:tc>
          <w:tcPr>
            <w:tcW w:w="52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2.3</w:t>
            </w:r>
          </w:p>
        </w:tc>
        <w:tc>
          <w:tcPr>
            <w:tcW w:w="52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2.3</w:t>
            </w:r>
          </w:p>
        </w:tc>
        <w:tc>
          <w:tcPr>
            <w:tcW w:w="52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2.3</w:t>
            </w:r>
          </w:p>
        </w:tc>
      </w:tr>
      <w:tr w:rsidR="003A69C7" w:rsidRPr="003A69C7" w:rsidTr="003A69C7">
        <w:trPr>
          <w:trHeight w:val="300"/>
          <w:jc w:val="center"/>
        </w:trPr>
        <w:tc>
          <w:tcPr>
            <w:tcW w:w="880" w:type="dxa"/>
            <w:vMerge/>
            <w:tcBorders>
              <w:top w:val="nil"/>
              <w:left w:val="nil"/>
              <w:bottom w:val="nil"/>
              <w:right w:val="nil"/>
            </w:tcBorders>
            <w:vAlign w:val="center"/>
            <w:hideMark/>
          </w:tcPr>
          <w:p w:rsidR="003A69C7" w:rsidRPr="003A69C7" w:rsidRDefault="003A69C7" w:rsidP="003A69C7">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biodiesel</w:t>
            </w:r>
          </w:p>
        </w:tc>
        <w:tc>
          <w:tcPr>
            <w:tcW w:w="52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0.00</w:t>
            </w:r>
          </w:p>
        </w:tc>
        <w:tc>
          <w:tcPr>
            <w:tcW w:w="58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0.00</w:t>
            </w:r>
          </w:p>
        </w:tc>
        <w:tc>
          <w:tcPr>
            <w:tcW w:w="52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0.10</w:t>
            </w:r>
          </w:p>
        </w:tc>
        <w:tc>
          <w:tcPr>
            <w:tcW w:w="52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0.14</w:t>
            </w:r>
          </w:p>
        </w:tc>
        <w:tc>
          <w:tcPr>
            <w:tcW w:w="52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0.14</w:t>
            </w:r>
          </w:p>
        </w:tc>
        <w:tc>
          <w:tcPr>
            <w:tcW w:w="52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0.14</w:t>
            </w:r>
          </w:p>
        </w:tc>
        <w:tc>
          <w:tcPr>
            <w:tcW w:w="52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0.14</w:t>
            </w:r>
          </w:p>
        </w:tc>
      </w:tr>
      <w:tr w:rsidR="003A69C7" w:rsidRPr="003A69C7" w:rsidTr="003A69C7">
        <w:trPr>
          <w:trHeight w:val="300"/>
          <w:jc w:val="center"/>
        </w:trPr>
        <w:tc>
          <w:tcPr>
            <w:tcW w:w="880" w:type="dxa"/>
            <w:vMerge w:val="restart"/>
            <w:tcBorders>
              <w:top w:val="nil"/>
              <w:left w:val="nil"/>
              <w:bottom w:val="single" w:sz="4" w:space="0" w:color="000000"/>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ROW</w:t>
            </w:r>
          </w:p>
        </w:tc>
        <w:tc>
          <w:tcPr>
            <w:tcW w:w="274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ethanol</w:t>
            </w:r>
          </w:p>
        </w:tc>
        <w:tc>
          <w:tcPr>
            <w:tcW w:w="52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0.04</w:t>
            </w:r>
          </w:p>
        </w:tc>
        <w:tc>
          <w:tcPr>
            <w:tcW w:w="58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0.38</w:t>
            </w:r>
          </w:p>
        </w:tc>
        <w:tc>
          <w:tcPr>
            <w:tcW w:w="52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1.7</w:t>
            </w:r>
          </w:p>
        </w:tc>
        <w:tc>
          <w:tcPr>
            <w:tcW w:w="52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3.1</w:t>
            </w:r>
          </w:p>
        </w:tc>
        <w:tc>
          <w:tcPr>
            <w:tcW w:w="52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3.1</w:t>
            </w:r>
          </w:p>
        </w:tc>
        <w:tc>
          <w:tcPr>
            <w:tcW w:w="52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3.1</w:t>
            </w:r>
          </w:p>
        </w:tc>
        <w:tc>
          <w:tcPr>
            <w:tcW w:w="52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3.1</w:t>
            </w:r>
          </w:p>
        </w:tc>
      </w:tr>
      <w:tr w:rsidR="003A69C7" w:rsidRPr="003A69C7" w:rsidTr="003A69C7">
        <w:trPr>
          <w:trHeight w:val="300"/>
          <w:jc w:val="center"/>
        </w:trPr>
        <w:tc>
          <w:tcPr>
            <w:tcW w:w="880" w:type="dxa"/>
            <w:vMerge/>
            <w:tcBorders>
              <w:top w:val="nil"/>
              <w:left w:val="nil"/>
              <w:bottom w:val="single" w:sz="4" w:space="0" w:color="000000"/>
              <w:right w:val="nil"/>
            </w:tcBorders>
            <w:vAlign w:val="center"/>
            <w:hideMark/>
          </w:tcPr>
          <w:p w:rsidR="003A69C7" w:rsidRPr="003A69C7" w:rsidRDefault="003A69C7" w:rsidP="003A69C7">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single" w:sz="4" w:space="0" w:color="auto"/>
              <w:right w:val="nil"/>
            </w:tcBorders>
            <w:shd w:val="clear" w:color="auto" w:fill="auto"/>
            <w:noWrap/>
            <w:vAlign w:val="bottom"/>
            <w:hideMark/>
          </w:tcPr>
          <w:p w:rsidR="003A69C7" w:rsidRPr="003A69C7" w:rsidRDefault="003A69C7" w:rsidP="003A69C7">
            <w:pPr>
              <w:spacing w:after="0" w:line="240" w:lineRule="auto"/>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biodiesel</w:t>
            </w:r>
          </w:p>
        </w:tc>
        <w:tc>
          <w:tcPr>
            <w:tcW w:w="520" w:type="dxa"/>
            <w:tcBorders>
              <w:top w:val="nil"/>
              <w:left w:val="nil"/>
              <w:bottom w:val="single" w:sz="4" w:space="0" w:color="auto"/>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0.00</w:t>
            </w:r>
          </w:p>
        </w:tc>
        <w:tc>
          <w:tcPr>
            <w:tcW w:w="580" w:type="dxa"/>
            <w:tcBorders>
              <w:top w:val="nil"/>
              <w:left w:val="nil"/>
              <w:bottom w:val="single" w:sz="4" w:space="0" w:color="auto"/>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0.03</w:t>
            </w:r>
          </w:p>
        </w:tc>
        <w:tc>
          <w:tcPr>
            <w:tcW w:w="520" w:type="dxa"/>
            <w:tcBorders>
              <w:top w:val="nil"/>
              <w:left w:val="nil"/>
              <w:bottom w:val="single" w:sz="4" w:space="0" w:color="auto"/>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0.65</w:t>
            </w:r>
          </w:p>
        </w:tc>
        <w:tc>
          <w:tcPr>
            <w:tcW w:w="520" w:type="dxa"/>
            <w:tcBorders>
              <w:top w:val="nil"/>
              <w:left w:val="nil"/>
              <w:bottom w:val="single" w:sz="4" w:space="0" w:color="auto"/>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1.4</w:t>
            </w:r>
          </w:p>
        </w:tc>
        <w:tc>
          <w:tcPr>
            <w:tcW w:w="520" w:type="dxa"/>
            <w:tcBorders>
              <w:top w:val="nil"/>
              <w:left w:val="nil"/>
              <w:bottom w:val="single" w:sz="4" w:space="0" w:color="auto"/>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1.4</w:t>
            </w:r>
          </w:p>
        </w:tc>
        <w:tc>
          <w:tcPr>
            <w:tcW w:w="520" w:type="dxa"/>
            <w:tcBorders>
              <w:top w:val="nil"/>
              <w:left w:val="nil"/>
              <w:bottom w:val="single" w:sz="4" w:space="0" w:color="auto"/>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1.4</w:t>
            </w:r>
          </w:p>
        </w:tc>
        <w:tc>
          <w:tcPr>
            <w:tcW w:w="520" w:type="dxa"/>
            <w:tcBorders>
              <w:top w:val="nil"/>
              <w:left w:val="nil"/>
              <w:bottom w:val="single" w:sz="4" w:space="0" w:color="auto"/>
              <w:right w:val="nil"/>
            </w:tcBorders>
            <w:shd w:val="clear" w:color="auto" w:fill="auto"/>
            <w:noWrap/>
            <w:vAlign w:val="bottom"/>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1.4</w:t>
            </w:r>
          </w:p>
        </w:tc>
      </w:tr>
    </w:tbl>
    <w:p w:rsidR="00E67941" w:rsidRDefault="00E67941" w:rsidP="0010300D">
      <w:pPr>
        <w:rPr>
          <w:rFonts w:ascii="Times New Roman" w:hAnsi="Times New Roman" w:cs="Times New Roman"/>
          <w:b/>
          <w:sz w:val="20"/>
          <w:szCs w:val="20"/>
        </w:rPr>
      </w:pPr>
    </w:p>
    <w:p w:rsidR="0010300D" w:rsidRDefault="00596499" w:rsidP="0010300D">
      <w:pPr>
        <w:rPr>
          <w:rFonts w:ascii="Times New Roman" w:hAnsi="Times New Roman" w:cs="Times New Roman"/>
          <w:sz w:val="20"/>
          <w:szCs w:val="20"/>
        </w:rPr>
      </w:pPr>
      <w:r w:rsidRPr="00732824">
        <w:rPr>
          <w:rFonts w:ascii="Times New Roman" w:hAnsi="Times New Roman" w:cs="Times New Roman"/>
          <w:b/>
          <w:sz w:val="20"/>
          <w:szCs w:val="20"/>
        </w:rPr>
        <w:t xml:space="preserve">Table </w:t>
      </w:r>
      <w:r w:rsidR="00732824">
        <w:rPr>
          <w:rFonts w:ascii="Times New Roman" w:hAnsi="Times New Roman" w:cs="Times New Roman"/>
          <w:b/>
          <w:sz w:val="20"/>
          <w:szCs w:val="20"/>
        </w:rPr>
        <w:t>S</w:t>
      </w:r>
      <w:r w:rsidR="004B2E88" w:rsidRPr="00732824">
        <w:rPr>
          <w:rFonts w:ascii="Times New Roman" w:hAnsi="Times New Roman" w:cs="Times New Roman"/>
          <w:b/>
          <w:sz w:val="20"/>
          <w:szCs w:val="20"/>
        </w:rPr>
        <w:t>6</w:t>
      </w:r>
      <w:r w:rsidR="00BC510A">
        <w:rPr>
          <w:rFonts w:ascii="Times New Roman" w:hAnsi="Times New Roman" w:cs="Times New Roman"/>
          <w:sz w:val="20"/>
          <w:szCs w:val="20"/>
        </w:rPr>
        <w:t>.</w:t>
      </w:r>
      <w:r w:rsidRPr="009F6262">
        <w:rPr>
          <w:rFonts w:ascii="Times New Roman" w:hAnsi="Times New Roman" w:cs="Times New Roman"/>
          <w:sz w:val="20"/>
          <w:szCs w:val="20"/>
        </w:rPr>
        <w:t xml:space="preserve"> BAU and HF land demand from 1991-2050 in million ha/yr.</w:t>
      </w:r>
    </w:p>
    <w:tbl>
      <w:tblPr>
        <w:tblW w:w="7320" w:type="dxa"/>
        <w:jc w:val="center"/>
        <w:tblInd w:w="95" w:type="dxa"/>
        <w:tblLook w:val="04A0"/>
      </w:tblPr>
      <w:tblGrid>
        <w:gridCol w:w="972"/>
        <w:gridCol w:w="2740"/>
        <w:gridCol w:w="616"/>
        <w:gridCol w:w="616"/>
        <w:gridCol w:w="616"/>
        <w:gridCol w:w="616"/>
        <w:gridCol w:w="616"/>
        <w:gridCol w:w="616"/>
        <w:gridCol w:w="616"/>
      </w:tblGrid>
      <w:tr w:rsidR="003A69C7" w:rsidRPr="003A69C7" w:rsidTr="003A69C7">
        <w:trPr>
          <w:trHeight w:val="300"/>
          <w:jc w:val="center"/>
        </w:trPr>
        <w:tc>
          <w:tcPr>
            <w:tcW w:w="88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b/>
                <w:bCs/>
                <w:color w:val="000000"/>
                <w:sz w:val="20"/>
                <w:szCs w:val="20"/>
              </w:rPr>
            </w:pPr>
            <w:r w:rsidRPr="003A69C7">
              <w:rPr>
                <w:rFonts w:ascii="Times New Roman" w:eastAsia="Times New Roman" w:hAnsi="Times New Roman" w:cs="Times New Roman"/>
                <w:b/>
                <w:bCs/>
                <w:color w:val="000000"/>
                <w:sz w:val="20"/>
                <w:szCs w:val="20"/>
              </w:rPr>
              <w:t>Location</w:t>
            </w:r>
          </w:p>
        </w:tc>
        <w:tc>
          <w:tcPr>
            <w:tcW w:w="274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b/>
                <w:bCs/>
                <w:color w:val="000000"/>
                <w:sz w:val="20"/>
                <w:szCs w:val="20"/>
              </w:rPr>
            </w:pPr>
            <w:r w:rsidRPr="003A69C7">
              <w:rPr>
                <w:rFonts w:ascii="Times New Roman" w:eastAsia="Times New Roman" w:hAnsi="Times New Roman" w:cs="Times New Roman"/>
                <w:b/>
                <w:bCs/>
                <w:color w:val="000000"/>
                <w:sz w:val="20"/>
                <w:szCs w:val="20"/>
              </w:rPr>
              <w:t>Commodity Type</w:t>
            </w:r>
          </w:p>
        </w:tc>
        <w:tc>
          <w:tcPr>
            <w:tcW w:w="52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b/>
                <w:bCs/>
                <w:color w:val="000000"/>
                <w:sz w:val="20"/>
                <w:szCs w:val="20"/>
              </w:rPr>
            </w:pPr>
            <w:r w:rsidRPr="003A69C7">
              <w:rPr>
                <w:rFonts w:ascii="Times New Roman" w:eastAsia="Times New Roman" w:hAnsi="Times New Roman" w:cs="Times New Roman"/>
                <w:b/>
                <w:bCs/>
                <w:color w:val="000000"/>
                <w:sz w:val="20"/>
                <w:szCs w:val="20"/>
              </w:rPr>
              <w:t>1991</w:t>
            </w:r>
          </w:p>
        </w:tc>
        <w:tc>
          <w:tcPr>
            <w:tcW w:w="58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b/>
                <w:bCs/>
                <w:color w:val="000000"/>
                <w:sz w:val="20"/>
                <w:szCs w:val="20"/>
              </w:rPr>
            </w:pPr>
            <w:r w:rsidRPr="003A69C7">
              <w:rPr>
                <w:rFonts w:ascii="Times New Roman" w:eastAsia="Times New Roman" w:hAnsi="Times New Roman" w:cs="Times New Roman"/>
                <w:b/>
                <w:bCs/>
                <w:color w:val="000000"/>
                <w:sz w:val="20"/>
                <w:szCs w:val="20"/>
              </w:rPr>
              <w:t>2000</w:t>
            </w:r>
          </w:p>
        </w:tc>
        <w:tc>
          <w:tcPr>
            <w:tcW w:w="52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b/>
                <w:bCs/>
                <w:color w:val="000000"/>
                <w:sz w:val="20"/>
                <w:szCs w:val="20"/>
              </w:rPr>
            </w:pPr>
            <w:r w:rsidRPr="003A69C7">
              <w:rPr>
                <w:rFonts w:ascii="Times New Roman" w:eastAsia="Times New Roman" w:hAnsi="Times New Roman" w:cs="Times New Roman"/>
                <w:b/>
                <w:bCs/>
                <w:color w:val="000000"/>
                <w:sz w:val="20"/>
                <w:szCs w:val="20"/>
              </w:rPr>
              <w:t>2010</w:t>
            </w:r>
          </w:p>
        </w:tc>
        <w:tc>
          <w:tcPr>
            <w:tcW w:w="52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b/>
                <w:bCs/>
                <w:color w:val="000000"/>
                <w:sz w:val="20"/>
                <w:szCs w:val="20"/>
              </w:rPr>
            </w:pPr>
            <w:r w:rsidRPr="003A69C7">
              <w:rPr>
                <w:rFonts w:ascii="Times New Roman" w:eastAsia="Times New Roman" w:hAnsi="Times New Roman" w:cs="Times New Roman"/>
                <w:b/>
                <w:bCs/>
                <w:color w:val="000000"/>
                <w:sz w:val="20"/>
                <w:szCs w:val="20"/>
              </w:rPr>
              <w:t>2020</w:t>
            </w:r>
          </w:p>
        </w:tc>
        <w:tc>
          <w:tcPr>
            <w:tcW w:w="52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b/>
                <w:bCs/>
                <w:color w:val="000000"/>
                <w:sz w:val="20"/>
                <w:szCs w:val="20"/>
              </w:rPr>
            </w:pPr>
            <w:r w:rsidRPr="003A69C7">
              <w:rPr>
                <w:rFonts w:ascii="Times New Roman" w:eastAsia="Times New Roman" w:hAnsi="Times New Roman" w:cs="Times New Roman"/>
                <w:b/>
                <w:bCs/>
                <w:color w:val="000000"/>
                <w:sz w:val="20"/>
                <w:szCs w:val="20"/>
              </w:rPr>
              <w:t>2030</w:t>
            </w:r>
          </w:p>
        </w:tc>
        <w:tc>
          <w:tcPr>
            <w:tcW w:w="52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b/>
                <w:bCs/>
                <w:color w:val="000000"/>
                <w:sz w:val="20"/>
                <w:szCs w:val="20"/>
              </w:rPr>
            </w:pPr>
            <w:r w:rsidRPr="003A69C7">
              <w:rPr>
                <w:rFonts w:ascii="Times New Roman" w:eastAsia="Times New Roman" w:hAnsi="Times New Roman" w:cs="Times New Roman"/>
                <w:b/>
                <w:bCs/>
                <w:color w:val="000000"/>
                <w:sz w:val="20"/>
                <w:szCs w:val="20"/>
              </w:rPr>
              <w:t>2040</w:t>
            </w:r>
          </w:p>
        </w:tc>
        <w:tc>
          <w:tcPr>
            <w:tcW w:w="52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b/>
                <w:bCs/>
                <w:color w:val="000000"/>
                <w:sz w:val="20"/>
                <w:szCs w:val="20"/>
              </w:rPr>
            </w:pPr>
            <w:r w:rsidRPr="003A69C7">
              <w:rPr>
                <w:rFonts w:ascii="Times New Roman" w:eastAsia="Times New Roman" w:hAnsi="Times New Roman" w:cs="Times New Roman"/>
                <w:b/>
                <w:bCs/>
                <w:color w:val="000000"/>
                <w:sz w:val="20"/>
                <w:szCs w:val="20"/>
              </w:rPr>
              <w:t>2050</w:t>
            </w:r>
          </w:p>
        </w:tc>
      </w:tr>
      <w:tr w:rsidR="003A69C7" w:rsidRPr="003A69C7" w:rsidTr="003A69C7">
        <w:trPr>
          <w:trHeight w:val="300"/>
          <w:jc w:val="center"/>
        </w:trPr>
        <w:tc>
          <w:tcPr>
            <w:tcW w:w="880" w:type="dxa"/>
            <w:vMerge w:val="restart"/>
            <w:tcBorders>
              <w:top w:val="nil"/>
              <w:left w:val="nil"/>
              <w:bottom w:val="nil"/>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sz w:val="20"/>
                <w:szCs w:val="20"/>
              </w:rPr>
            </w:pPr>
            <w:r w:rsidRPr="003A69C7">
              <w:rPr>
                <w:rFonts w:ascii="Times New Roman" w:eastAsia="Times New Roman" w:hAnsi="Times New Roman" w:cs="Times New Roman"/>
                <w:sz w:val="20"/>
                <w:szCs w:val="20"/>
              </w:rPr>
              <w:t>USA</w:t>
            </w:r>
          </w:p>
        </w:tc>
        <w:tc>
          <w:tcPr>
            <w:tcW w:w="274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ethanol</w:t>
            </w:r>
          </w:p>
        </w:tc>
        <w:tc>
          <w:tcPr>
            <w:tcW w:w="520" w:type="dxa"/>
            <w:tcBorders>
              <w:top w:val="nil"/>
              <w:left w:val="nil"/>
              <w:bottom w:val="nil"/>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0.26</w:t>
            </w:r>
          </w:p>
        </w:tc>
        <w:tc>
          <w:tcPr>
            <w:tcW w:w="580" w:type="dxa"/>
            <w:tcBorders>
              <w:top w:val="nil"/>
              <w:left w:val="nil"/>
              <w:bottom w:val="nil"/>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2.3</w:t>
            </w:r>
          </w:p>
        </w:tc>
        <w:tc>
          <w:tcPr>
            <w:tcW w:w="520" w:type="dxa"/>
            <w:tcBorders>
              <w:top w:val="nil"/>
              <w:left w:val="nil"/>
              <w:bottom w:val="nil"/>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14</w:t>
            </w:r>
          </w:p>
        </w:tc>
        <w:tc>
          <w:tcPr>
            <w:tcW w:w="520" w:type="dxa"/>
            <w:tcBorders>
              <w:top w:val="nil"/>
              <w:left w:val="nil"/>
              <w:bottom w:val="nil"/>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22</w:t>
            </w:r>
          </w:p>
        </w:tc>
        <w:tc>
          <w:tcPr>
            <w:tcW w:w="520" w:type="dxa"/>
            <w:tcBorders>
              <w:top w:val="nil"/>
              <w:left w:val="nil"/>
              <w:bottom w:val="nil"/>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22</w:t>
            </w:r>
          </w:p>
        </w:tc>
        <w:tc>
          <w:tcPr>
            <w:tcW w:w="520" w:type="dxa"/>
            <w:tcBorders>
              <w:top w:val="nil"/>
              <w:left w:val="nil"/>
              <w:bottom w:val="nil"/>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21</w:t>
            </w:r>
          </w:p>
        </w:tc>
        <w:tc>
          <w:tcPr>
            <w:tcW w:w="520" w:type="dxa"/>
            <w:tcBorders>
              <w:top w:val="nil"/>
              <w:left w:val="nil"/>
              <w:bottom w:val="nil"/>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20</w:t>
            </w:r>
          </w:p>
        </w:tc>
      </w:tr>
      <w:tr w:rsidR="003A69C7" w:rsidRPr="003A69C7" w:rsidTr="003A69C7">
        <w:trPr>
          <w:trHeight w:val="300"/>
          <w:jc w:val="center"/>
        </w:trPr>
        <w:tc>
          <w:tcPr>
            <w:tcW w:w="880" w:type="dxa"/>
            <w:vMerge/>
            <w:tcBorders>
              <w:top w:val="nil"/>
              <w:left w:val="nil"/>
              <w:bottom w:val="nil"/>
              <w:right w:val="nil"/>
            </w:tcBorders>
            <w:vAlign w:val="center"/>
            <w:hideMark/>
          </w:tcPr>
          <w:p w:rsidR="003A69C7" w:rsidRPr="003A69C7" w:rsidRDefault="003A69C7" w:rsidP="003A69C7">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biodiesel</w:t>
            </w:r>
          </w:p>
        </w:tc>
        <w:tc>
          <w:tcPr>
            <w:tcW w:w="520" w:type="dxa"/>
            <w:tcBorders>
              <w:top w:val="nil"/>
              <w:left w:val="nil"/>
              <w:bottom w:val="nil"/>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0</w:t>
            </w:r>
          </w:p>
        </w:tc>
        <w:tc>
          <w:tcPr>
            <w:tcW w:w="580" w:type="dxa"/>
            <w:tcBorders>
              <w:top w:val="nil"/>
              <w:left w:val="nil"/>
              <w:bottom w:val="nil"/>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0</w:t>
            </w:r>
          </w:p>
        </w:tc>
        <w:tc>
          <w:tcPr>
            <w:tcW w:w="520" w:type="dxa"/>
            <w:tcBorders>
              <w:top w:val="nil"/>
              <w:left w:val="nil"/>
              <w:bottom w:val="nil"/>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1.9</w:t>
            </w:r>
          </w:p>
        </w:tc>
        <w:tc>
          <w:tcPr>
            <w:tcW w:w="520" w:type="dxa"/>
            <w:tcBorders>
              <w:top w:val="nil"/>
              <w:left w:val="nil"/>
              <w:bottom w:val="nil"/>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2.6</w:t>
            </w:r>
          </w:p>
        </w:tc>
        <w:tc>
          <w:tcPr>
            <w:tcW w:w="520" w:type="dxa"/>
            <w:tcBorders>
              <w:top w:val="nil"/>
              <w:left w:val="nil"/>
              <w:bottom w:val="nil"/>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2.4</w:t>
            </w:r>
          </w:p>
        </w:tc>
        <w:tc>
          <w:tcPr>
            <w:tcW w:w="520" w:type="dxa"/>
            <w:tcBorders>
              <w:top w:val="nil"/>
              <w:left w:val="nil"/>
              <w:bottom w:val="nil"/>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2.2</w:t>
            </w:r>
          </w:p>
        </w:tc>
        <w:tc>
          <w:tcPr>
            <w:tcW w:w="520" w:type="dxa"/>
            <w:tcBorders>
              <w:top w:val="nil"/>
              <w:left w:val="nil"/>
              <w:bottom w:val="nil"/>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2.1</w:t>
            </w:r>
          </w:p>
        </w:tc>
      </w:tr>
      <w:tr w:rsidR="003A69C7" w:rsidRPr="003A69C7" w:rsidTr="003A69C7">
        <w:trPr>
          <w:trHeight w:val="300"/>
          <w:jc w:val="center"/>
        </w:trPr>
        <w:tc>
          <w:tcPr>
            <w:tcW w:w="880" w:type="dxa"/>
            <w:vMerge w:val="restart"/>
            <w:tcBorders>
              <w:top w:val="nil"/>
              <w:left w:val="nil"/>
              <w:bottom w:val="single" w:sz="4" w:space="0" w:color="000000"/>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ROW</w:t>
            </w:r>
          </w:p>
        </w:tc>
        <w:tc>
          <w:tcPr>
            <w:tcW w:w="2740" w:type="dxa"/>
            <w:tcBorders>
              <w:top w:val="nil"/>
              <w:left w:val="nil"/>
              <w:bottom w:val="nil"/>
              <w:right w:val="nil"/>
            </w:tcBorders>
            <w:shd w:val="clear" w:color="auto" w:fill="auto"/>
            <w:noWrap/>
            <w:vAlign w:val="bottom"/>
            <w:hideMark/>
          </w:tcPr>
          <w:p w:rsidR="003A69C7" w:rsidRPr="003A69C7" w:rsidRDefault="003A69C7" w:rsidP="003A69C7">
            <w:pPr>
              <w:spacing w:after="0" w:line="240" w:lineRule="auto"/>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ethanol</w:t>
            </w:r>
          </w:p>
        </w:tc>
        <w:tc>
          <w:tcPr>
            <w:tcW w:w="520" w:type="dxa"/>
            <w:tcBorders>
              <w:top w:val="nil"/>
              <w:left w:val="nil"/>
              <w:bottom w:val="nil"/>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0.64</w:t>
            </w:r>
          </w:p>
        </w:tc>
        <w:tc>
          <w:tcPr>
            <w:tcW w:w="580" w:type="dxa"/>
            <w:tcBorders>
              <w:top w:val="nil"/>
              <w:left w:val="nil"/>
              <w:bottom w:val="nil"/>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5.7</w:t>
            </w:r>
          </w:p>
        </w:tc>
        <w:tc>
          <w:tcPr>
            <w:tcW w:w="520" w:type="dxa"/>
            <w:tcBorders>
              <w:top w:val="nil"/>
              <w:left w:val="nil"/>
              <w:bottom w:val="nil"/>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18</w:t>
            </w:r>
          </w:p>
        </w:tc>
        <w:tc>
          <w:tcPr>
            <w:tcW w:w="520" w:type="dxa"/>
            <w:tcBorders>
              <w:top w:val="nil"/>
              <w:left w:val="nil"/>
              <w:bottom w:val="nil"/>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34</w:t>
            </w:r>
          </w:p>
        </w:tc>
        <w:tc>
          <w:tcPr>
            <w:tcW w:w="520" w:type="dxa"/>
            <w:tcBorders>
              <w:top w:val="nil"/>
              <w:left w:val="nil"/>
              <w:bottom w:val="nil"/>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31</w:t>
            </w:r>
          </w:p>
        </w:tc>
        <w:tc>
          <w:tcPr>
            <w:tcW w:w="520" w:type="dxa"/>
            <w:tcBorders>
              <w:top w:val="nil"/>
              <w:left w:val="nil"/>
              <w:bottom w:val="nil"/>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29</w:t>
            </w:r>
          </w:p>
        </w:tc>
        <w:tc>
          <w:tcPr>
            <w:tcW w:w="520" w:type="dxa"/>
            <w:tcBorders>
              <w:top w:val="nil"/>
              <w:left w:val="nil"/>
              <w:bottom w:val="nil"/>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28</w:t>
            </w:r>
          </w:p>
        </w:tc>
      </w:tr>
      <w:tr w:rsidR="003A69C7" w:rsidRPr="003A69C7" w:rsidTr="003A69C7">
        <w:trPr>
          <w:trHeight w:val="300"/>
          <w:jc w:val="center"/>
        </w:trPr>
        <w:tc>
          <w:tcPr>
            <w:tcW w:w="880" w:type="dxa"/>
            <w:vMerge/>
            <w:tcBorders>
              <w:top w:val="nil"/>
              <w:left w:val="nil"/>
              <w:bottom w:val="single" w:sz="4" w:space="0" w:color="000000"/>
              <w:right w:val="nil"/>
            </w:tcBorders>
            <w:vAlign w:val="center"/>
            <w:hideMark/>
          </w:tcPr>
          <w:p w:rsidR="003A69C7" w:rsidRPr="003A69C7" w:rsidRDefault="003A69C7" w:rsidP="003A69C7">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single" w:sz="4" w:space="0" w:color="auto"/>
              <w:right w:val="nil"/>
            </w:tcBorders>
            <w:shd w:val="clear" w:color="auto" w:fill="auto"/>
            <w:noWrap/>
            <w:vAlign w:val="bottom"/>
            <w:hideMark/>
          </w:tcPr>
          <w:p w:rsidR="003A69C7" w:rsidRPr="003A69C7" w:rsidRDefault="003A69C7" w:rsidP="003A69C7">
            <w:pPr>
              <w:spacing w:after="0" w:line="240" w:lineRule="auto"/>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biodiesel</w:t>
            </w:r>
          </w:p>
        </w:tc>
        <w:tc>
          <w:tcPr>
            <w:tcW w:w="52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0.14</w:t>
            </w:r>
          </w:p>
        </w:tc>
        <w:tc>
          <w:tcPr>
            <w:tcW w:w="58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1.2</w:t>
            </w:r>
          </w:p>
        </w:tc>
        <w:tc>
          <w:tcPr>
            <w:tcW w:w="52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22</w:t>
            </w:r>
          </w:p>
        </w:tc>
        <w:tc>
          <w:tcPr>
            <w:tcW w:w="52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43</w:t>
            </w:r>
          </w:p>
        </w:tc>
        <w:tc>
          <w:tcPr>
            <w:tcW w:w="52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39</w:t>
            </w:r>
          </w:p>
        </w:tc>
        <w:tc>
          <w:tcPr>
            <w:tcW w:w="52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36</w:t>
            </w:r>
          </w:p>
        </w:tc>
        <w:tc>
          <w:tcPr>
            <w:tcW w:w="520" w:type="dxa"/>
            <w:tcBorders>
              <w:top w:val="nil"/>
              <w:left w:val="nil"/>
              <w:bottom w:val="single" w:sz="4" w:space="0" w:color="auto"/>
              <w:right w:val="nil"/>
            </w:tcBorders>
            <w:shd w:val="clear" w:color="auto" w:fill="auto"/>
            <w:noWrap/>
            <w:vAlign w:val="center"/>
            <w:hideMark/>
          </w:tcPr>
          <w:p w:rsidR="003A69C7" w:rsidRPr="003A69C7" w:rsidRDefault="003A69C7" w:rsidP="003A69C7">
            <w:pPr>
              <w:spacing w:after="0" w:line="240" w:lineRule="auto"/>
              <w:jc w:val="center"/>
              <w:rPr>
                <w:rFonts w:ascii="Times New Roman" w:eastAsia="Times New Roman" w:hAnsi="Times New Roman" w:cs="Times New Roman"/>
                <w:color w:val="000000"/>
                <w:sz w:val="20"/>
                <w:szCs w:val="20"/>
              </w:rPr>
            </w:pPr>
            <w:r w:rsidRPr="003A69C7">
              <w:rPr>
                <w:rFonts w:ascii="Times New Roman" w:eastAsia="Times New Roman" w:hAnsi="Times New Roman" w:cs="Times New Roman"/>
                <w:color w:val="000000"/>
                <w:sz w:val="20"/>
                <w:szCs w:val="20"/>
              </w:rPr>
              <w:t>34</w:t>
            </w:r>
          </w:p>
        </w:tc>
      </w:tr>
    </w:tbl>
    <w:p w:rsidR="00E67941" w:rsidRDefault="00E67941" w:rsidP="00E67941">
      <w:pPr>
        <w:rPr>
          <w:rFonts w:ascii="Times New Roman" w:hAnsi="Times New Roman" w:cs="Times New Roman"/>
          <w:sz w:val="20"/>
          <w:szCs w:val="20"/>
        </w:rPr>
      </w:pPr>
    </w:p>
    <w:p w:rsidR="00E67941" w:rsidRPr="00732824" w:rsidRDefault="00E67941" w:rsidP="00E67941">
      <w:pPr>
        <w:rPr>
          <w:rFonts w:ascii="Times New Roman" w:hAnsi="Times New Roman" w:cs="Times New Roman"/>
          <w:sz w:val="20"/>
          <w:szCs w:val="20"/>
        </w:rPr>
      </w:pPr>
      <w:r w:rsidRPr="009F6262">
        <w:rPr>
          <w:rFonts w:ascii="Times New Roman" w:hAnsi="Times New Roman" w:cs="Times New Roman"/>
          <w:b/>
          <w:sz w:val="20"/>
          <w:szCs w:val="20"/>
        </w:rPr>
        <w:t xml:space="preserve">Table </w:t>
      </w:r>
      <w:r>
        <w:rPr>
          <w:rFonts w:ascii="Times New Roman" w:hAnsi="Times New Roman" w:cs="Times New Roman"/>
          <w:b/>
          <w:sz w:val="20"/>
          <w:szCs w:val="20"/>
        </w:rPr>
        <w:t>S7.</w:t>
      </w:r>
      <w:r w:rsidRPr="00D22F20">
        <w:rPr>
          <w:rFonts w:ascii="Times New Roman" w:hAnsi="Times New Roman" w:cs="Times New Roman"/>
          <w:b/>
          <w:sz w:val="20"/>
          <w:szCs w:val="20"/>
        </w:rPr>
        <w:t xml:space="preserve"> </w:t>
      </w:r>
      <w:r w:rsidRPr="00D22F20">
        <w:rPr>
          <w:rFonts w:ascii="Times New Roman" w:hAnsi="Times New Roman" w:cs="Times New Roman"/>
          <w:sz w:val="20"/>
          <w:szCs w:val="20"/>
        </w:rPr>
        <w:t>HB and HFB cellulosic biofuel yields from 1991-2050 in M</w:t>
      </w:r>
      <w:r w:rsidRPr="00732824">
        <w:rPr>
          <w:rFonts w:ascii="Times New Roman" w:hAnsi="Times New Roman" w:cs="Times New Roman"/>
          <w:sz w:val="20"/>
          <w:szCs w:val="20"/>
        </w:rPr>
        <w:t xml:space="preserve">g/harvest ha/yr. </w:t>
      </w:r>
    </w:p>
    <w:tbl>
      <w:tblPr>
        <w:tblW w:w="5867" w:type="dxa"/>
        <w:jc w:val="center"/>
        <w:tblInd w:w="108" w:type="dxa"/>
        <w:tblLook w:val="04A0"/>
      </w:tblPr>
      <w:tblGrid>
        <w:gridCol w:w="876"/>
        <w:gridCol w:w="2367"/>
        <w:gridCol w:w="656"/>
        <w:gridCol w:w="656"/>
        <w:gridCol w:w="656"/>
        <w:gridCol w:w="656"/>
      </w:tblGrid>
      <w:tr w:rsidR="00E67941" w:rsidRPr="00732824" w:rsidTr="004F3E2D">
        <w:trPr>
          <w:trHeight w:val="300"/>
          <w:jc w:val="center"/>
        </w:trPr>
        <w:tc>
          <w:tcPr>
            <w:tcW w:w="876" w:type="dxa"/>
            <w:tcBorders>
              <w:top w:val="nil"/>
              <w:left w:val="nil"/>
              <w:bottom w:val="single" w:sz="4" w:space="0" w:color="auto"/>
              <w:right w:val="nil"/>
            </w:tcBorders>
            <w:shd w:val="clear" w:color="auto" w:fill="auto"/>
            <w:noWrap/>
            <w:vAlign w:val="bottom"/>
            <w:hideMark/>
          </w:tcPr>
          <w:p w:rsidR="00E67941" w:rsidRPr="00732824" w:rsidRDefault="00E67941" w:rsidP="004F3E2D">
            <w:pPr>
              <w:spacing w:after="0" w:line="240" w:lineRule="auto"/>
              <w:jc w:val="center"/>
              <w:rPr>
                <w:rFonts w:ascii="Times New Roman" w:eastAsia="Times New Roman" w:hAnsi="Times New Roman" w:cs="Times New Roman"/>
                <w:b/>
                <w:bCs/>
                <w:color w:val="000000"/>
                <w:sz w:val="20"/>
                <w:szCs w:val="20"/>
              </w:rPr>
            </w:pPr>
            <w:r w:rsidRPr="00732824">
              <w:rPr>
                <w:rFonts w:ascii="Times New Roman" w:eastAsia="Times New Roman" w:hAnsi="Times New Roman" w:cs="Times New Roman"/>
                <w:b/>
                <w:bCs/>
                <w:color w:val="000000"/>
                <w:sz w:val="20"/>
                <w:szCs w:val="20"/>
              </w:rPr>
              <w:t>Region</w:t>
            </w:r>
          </w:p>
        </w:tc>
        <w:tc>
          <w:tcPr>
            <w:tcW w:w="2367" w:type="dxa"/>
            <w:tcBorders>
              <w:top w:val="nil"/>
              <w:left w:val="nil"/>
              <w:bottom w:val="single" w:sz="4" w:space="0" w:color="auto"/>
              <w:right w:val="nil"/>
            </w:tcBorders>
            <w:shd w:val="clear" w:color="auto" w:fill="auto"/>
            <w:noWrap/>
            <w:vAlign w:val="bottom"/>
            <w:hideMark/>
          </w:tcPr>
          <w:p w:rsidR="00E67941" w:rsidRPr="00732824" w:rsidRDefault="00E67941" w:rsidP="004F3E2D">
            <w:pPr>
              <w:spacing w:after="0" w:line="240" w:lineRule="auto"/>
              <w:jc w:val="center"/>
              <w:rPr>
                <w:rFonts w:ascii="Times New Roman" w:eastAsia="Times New Roman" w:hAnsi="Times New Roman" w:cs="Times New Roman"/>
                <w:b/>
                <w:bCs/>
                <w:color w:val="000000"/>
                <w:sz w:val="20"/>
                <w:szCs w:val="20"/>
              </w:rPr>
            </w:pPr>
            <w:r w:rsidRPr="00732824">
              <w:rPr>
                <w:rFonts w:ascii="Times New Roman" w:eastAsia="Times New Roman" w:hAnsi="Times New Roman" w:cs="Times New Roman"/>
                <w:b/>
                <w:bCs/>
                <w:color w:val="000000"/>
                <w:sz w:val="20"/>
                <w:szCs w:val="20"/>
              </w:rPr>
              <w:t>Yearly Yield Increase</w:t>
            </w:r>
          </w:p>
        </w:tc>
        <w:tc>
          <w:tcPr>
            <w:tcW w:w="656" w:type="dxa"/>
            <w:tcBorders>
              <w:top w:val="nil"/>
              <w:left w:val="nil"/>
              <w:bottom w:val="single" w:sz="4" w:space="0" w:color="auto"/>
              <w:right w:val="nil"/>
            </w:tcBorders>
            <w:shd w:val="clear" w:color="auto" w:fill="auto"/>
            <w:noWrap/>
            <w:vAlign w:val="bottom"/>
            <w:hideMark/>
          </w:tcPr>
          <w:p w:rsidR="00E67941" w:rsidRPr="00732824" w:rsidRDefault="00E67941" w:rsidP="004F3E2D">
            <w:pPr>
              <w:spacing w:after="0" w:line="240" w:lineRule="auto"/>
              <w:jc w:val="center"/>
              <w:rPr>
                <w:rFonts w:ascii="Times New Roman" w:eastAsia="Times New Roman" w:hAnsi="Times New Roman" w:cs="Times New Roman"/>
                <w:b/>
                <w:bCs/>
                <w:color w:val="000000"/>
                <w:sz w:val="20"/>
                <w:szCs w:val="20"/>
              </w:rPr>
            </w:pPr>
            <w:r w:rsidRPr="00732824">
              <w:rPr>
                <w:rFonts w:ascii="Times New Roman" w:eastAsia="Times New Roman" w:hAnsi="Times New Roman" w:cs="Times New Roman"/>
                <w:b/>
                <w:bCs/>
                <w:color w:val="000000"/>
                <w:sz w:val="20"/>
                <w:szCs w:val="20"/>
              </w:rPr>
              <w:t>2020</w:t>
            </w:r>
          </w:p>
        </w:tc>
        <w:tc>
          <w:tcPr>
            <w:tcW w:w="656" w:type="dxa"/>
            <w:tcBorders>
              <w:top w:val="nil"/>
              <w:left w:val="nil"/>
              <w:bottom w:val="single" w:sz="4" w:space="0" w:color="auto"/>
              <w:right w:val="nil"/>
            </w:tcBorders>
            <w:shd w:val="clear" w:color="auto" w:fill="auto"/>
            <w:noWrap/>
            <w:vAlign w:val="bottom"/>
            <w:hideMark/>
          </w:tcPr>
          <w:p w:rsidR="00E67941" w:rsidRPr="00732824" w:rsidRDefault="00E67941" w:rsidP="004F3E2D">
            <w:pPr>
              <w:spacing w:after="0" w:line="240" w:lineRule="auto"/>
              <w:jc w:val="center"/>
              <w:rPr>
                <w:rFonts w:ascii="Times New Roman" w:eastAsia="Times New Roman" w:hAnsi="Times New Roman" w:cs="Times New Roman"/>
                <w:b/>
                <w:bCs/>
                <w:color w:val="000000"/>
                <w:sz w:val="20"/>
                <w:szCs w:val="20"/>
              </w:rPr>
            </w:pPr>
            <w:r w:rsidRPr="00732824">
              <w:rPr>
                <w:rFonts w:ascii="Times New Roman" w:eastAsia="Times New Roman" w:hAnsi="Times New Roman" w:cs="Times New Roman"/>
                <w:b/>
                <w:bCs/>
                <w:color w:val="000000"/>
                <w:sz w:val="20"/>
                <w:szCs w:val="20"/>
              </w:rPr>
              <w:t>2030</w:t>
            </w:r>
          </w:p>
        </w:tc>
        <w:tc>
          <w:tcPr>
            <w:tcW w:w="656" w:type="dxa"/>
            <w:tcBorders>
              <w:top w:val="nil"/>
              <w:left w:val="nil"/>
              <w:bottom w:val="single" w:sz="4" w:space="0" w:color="auto"/>
              <w:right w:val="nil"/>
            </w:tcBorders>
            <w:shd w:val="clear" w:color="auto" w:fill="auto"/>
            <w:noWrap/>
            <w:vAlign w:val="bottom"/>
            <w:hideMark/>
          </w:tcPr>
          <w:p w:rsidR="00E67941" w:rsidRPr="00732824" w:rsidRDefault="00E67941" w:rsidP="004F3E2D">
            <w:pPr>
              <w:spacing w:after="0" w:line="240" w:lineRule="auto"/>
              <w:jc w:val="center"/>
              <w:rPr>
                <w:rFonts w:ascii="Times New Roman" w:eastAsia="Times New Roman" w:hAnsi="Times New Roman" w:cs="Times New Roman"/>
                <w:b/>
                <w:bCs/>
                <w:color w:val="000000"/>
                <w:sz w:val="20"/>
                <w:szCs w:val="20"/>
              </w:rPr>
            </w:pPr>
            <w:r w:rsidRPr="00732824">
              <w:rPr>
                <w:rFonts w:ascii="Times New Roman" w:eastAsia="Times New Roman" w:hAnsi="Times New Roman" w:cs="Times New Roman"/>
                <w:b/>
                <w:bCs/>
                <w:color w:val="000000"/>
                <w:sz w:val="20"/>
                <w:szCs w:val="20"/>
              </w:rPr>
              <w:t>2040</w:t>
            </w:r>
          </w:p>
        </w:tc>
        <w:tc>
          <w:tcPr>
            <w:tcW w:w="656" w:type="dxa"/>
            <w:tcBorders>
              <w:top w:val="nil"/>
              <w:left w:val="nil"/>
              <w:bottom w:val="single" w:sz="4" w:space="0" w:color="auto"/>
              <w:right w:val="nil"/>
            </w:tcBorders>
            <w:shd w:val="clear" w:color="auto" w:fill="auto"/>
            <w:noWrap/>
            <w:vAlign w:val="bottom"/>
            <w:hideMark/>
          </w:tcPr>
          <w:p w:rsidR="00E67941" w:rsidRPr="00732824" w:rsidRDefault="00E67941" w:rsidP="004F3E2D">
            <w:pPr>
              <w:spacing w:after="0" w:line="240" w:lineRule="auto"/>
              <w:jc w:val="center"/>
              <w:rPr>
                <w:rFonts w:ascii="Times New Roman" w:eastAsia="Times New Roman" w:hAnsi="Times New Roman" w:cs="Times New Roman"/>
                <w:b/>
                <w:bCs/>
                <w:color w:val="000000"/>
                <w:sz w:val="20"/>
                <w:szCs w:val="20"/>
              </w:rPr>
            </w:pPr>
            <w:r w:rsidRPr="00732824">
              <w:rPr>
                <w:rFonts w:ascii="Times New Roman" w:eastAsia="Times New Roman" w:hAnsi="Times New Roman" w:cs="Times New Roman"/>
                <w:b/>
                <w:bCs/>
                <w:color w:val="000000"/>
                <w:sz w:val="20"/>
                <w:szCs w:val="20"/>
              </w:rPr>
              <w:t>2050</w:t>
            </w:r>
          </w:p>
        </w:tc>
      </w:tr>
      <w:tr w:rsidR="00E67941" w:rsidRPr="00732824" w:rsidTr="004F3E2D">
        <w:trPr>
          <w:trHeight w:val="300"/>
          <w:jc w:val="center"/>
        </w:trPr>
        <w:tc>
          <w:tcPr>
            <w:tcW w:w="876" w:type="dxa"/>
            <w:tcBorders>
              <w:top w:val="nil"/>
              <w:left w:val="nil"/>
              <w:bottom w:val="nil"/>
              <w:right w:val="nil"/>
            </w:tcBorders>
            <w:shd w:val="clear" w:color="auto" w:fill="auto"/>
            <w:noWrap/>
            <w:vAlign w:val="bottom"/>
            <w:hideMark/>
          </w:tcPr>
          <w:p w:rsidR="00E67941" w:rsidRPr="00732824" w:rsidRDefault="00E67941" w:rsidP="004F3E2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USA</w:t>
            </w:r>
          </w:p>
        </w:tc>
        <w:tc>
          <w:tcPr>
            <w:tcW w:w="2367" w:type="dxa"/>
            <w:tcBorders>
              <w:top w:val="nil"/>
              <w:left w:val="nil"/>
              <w:bottom w:val="nil"/>
              <w:right w:val="nil"/>
            </w:tcBorders>
            <w:shd w:val="clear" w:color="auto" w:fill="auto"/>
            <w:noWrap/>
            <w:vAlign w:val="bottom"/>
            <w:hideMark/>
          </w:tcPr>
          <w:p w:rsidR="00E67941" w:rsidRPr="00732824" w:rsidRDefault="00E67941" w:rsidP="004F3E2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1% (Base)</w:t>
            </w:r>
          </w:p>
        </w:tc>
        <w:tc>
          <w:tcPr>
            <w:tcW w:w="656" w:type="dxa"/>
            <w:tcBorders>
              <w:top w:val="nil"/>
              <w:left w:val="nil"/>
              <w:bottom w:val="nil"/>
              <w:right w:val="nil"/>
            </w:tcBorders>
            <w:shd w:val="clear" w:color="auto" w:fill="auto"/>
            <w:noWrap/>
            <w:vAlign w:val="center"/>
            <w:hideMark/>
          </w:tcPr>
          <w:p w:rsidR="00E67941" w:rsidRPr="00732824" w:rsidRDefault="00E67941" w:rsidP="004F3E2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16</w:t>
            </w:r>
          </w:p>
        </w:tc>
        <w:tc>
          <w:tcPr>
            <w:tcW w:w="656" w:type="dxa"/>
            <w:tcBorders>
              <w:top w:val="nil"/>
              <w:left w:val="nil"/>
              <w:bottom w:val="nil"/>
              <w:right w:val="nil"/>
            </w:tcBorders>
            <w:shd w:val="clear" w:color="auto" w:fill="auto"/>
            <w:noWrap/>
            <w:vAlign w:val="center"/>
            <w:hideMark/>
          </w:tcPr>
          <w:p w:rsidR="00E67941" w:rsidRPr="00732824" w:rsidRDefault="00E67941" w:rsidP="004F3E2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17</w:t>
            </w:r>
          </w:p>
        </w:tc>
        <w:tc>
          <w:tcPr>
            <w:tcW w:w="656" w:type="dxa"/>
            <w:tcBorders>
              <w:top w:val="nil"/>
              <w:left w:val="nil"/>
              <w:bottom w:val="nil"/>
              <w:right w:val="nil"/>
            </w:tcBorders>
            <w:shd w:val="clear" w:color="auto" w:fill="auto"/>
            <w:noWrap/>
            <w:vAlign w:val="center"/>
            <w:hideMark/>
          </w:tcPr>
          <w:p w:rsidR="00E67941" w:rsidRPr="00732824" w:rsidRDefault="00E67941" w:rsidP="004F3E2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19</w:t>
            </w:r>
          </w:p>
        </w:tc>
        <w:tc>
          <w:tcPr>
            <w:tcW w:w="656" w:type="dxa"/>
            <w:tcBorders>
              <w:top w:val="nil"/>
              <w:left w:val="nil"/>
              <w:bottom w:val="nil"/>
              <w:right w:val="nil"/>
            </w:tcBorders>
            <w:shd w:val="clear" w:color="auto" w:fill="auto"/>
            <w:noWrap/>
            <w:vAlign w:val="center"/>
            <w:hideMark/>
          </w:tcPr>
          <w:p w:rsidR="00E67941" w:rsidRPr="00732824" w:rsidRDefault="00E67941" w:rsidP="004F3E2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21</w:t>
            </w:r>
          </w:p>
        </w:tc>
      </w:tr>
      <w:tr w:rsidR="00E67941" w:rsidRPr="00732824" w:rsidTr="004F3E2D">
        <w:trPr>
          <w:trHeight w:val="300"/>
          <w:jc w:val="center"/>
        </w:trPr>
        <w:tc>
          <w:tcPr>
            <w:tcW w:w="876" w:type="dxa"/>
            <w:tcBorders>
              <w:top w:val="nil"/>
              <w:left w:val="nil"/>
              <w:bottom w:val="single" w:sz="4" w:space="0" w:color="auto"/>
              <w:right w:val="nil"/>
            </w:tcBorders>
            <w:shd w:val="clear" w:color="auto" w:fill="auto"/>
            <w:noWrap/>
            <w:vAlign w:val="bottom"/>
            <w:hideMark/>
          </w:tcPr>
          <w:p w:rsidR="00E67941" w:rsidRPr="00732824" w:rsidRDefault="00E67941" w:rsidP="004F3E2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lastRenderedPageBreak/>
              <w:t>ROW</w:t>
            </w:r>
          </w:p>
        </w:tc>
        <w:tc>
          <w:tcPr>
            <w:tcW w:w="2367" w:type="dxa"/>
            <w:tcBorders>
              <w:top w:val="nil"/>
              <w:left w:val="nil"/>
              <w:bottom w:val="single" w:sz="4" w:space="0" w:color="auto"/>
              <w:right w:val="nil"/>
            </w:tcBorders>
            <w:shd w:val="clear" w:color="auto" w:fill="auto"/>
            <w:noWrap/>
            <w:vAlign w:val="bottom"/>
            <w:hideMark/>
          </w:tcPr>
          <w:p w:rsidR="00E67941" w:rsidRPr="00732824" w:rsidRDefault="00E67941" w:rsidP="004F3E2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1% (Base)</w:t>
            </w:r>
          </w:p>
        </w:tc>
        <w:tc>
          <w:tcPr>
            <w:tcW w:w="656" w:type="dxa"/>
            <w:tcBorders>
              <w:top w:val="nil"/>
              <w:left w:val="nil"/>
              <w:bottom w:val="single" w:sz="4" w:space="0" w:color="auto"/>
              <w:right w:val="nil"/>
            </w:tcBorders>
            <w:shd w:val="clear" w:color="auto" w:fill="auto"/>
            <w:noWrap/>
            <w:vAlign w:val="center"/>
            <w:hideMark/>
          </w:tcPr>
          <w:p w:rsidR="00E67941" w:rsidRPr="00732824" w:rsidRDefault="00E67941" w:rsidP="004F3E2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11</w:t>
            </w:r>
          </w:p>
        </w:tc>
        <w:tc>
          <w:tcPr>
            <w:tcW w:w="656" w:type="dxa"/>
            <w:tcBorders>
              <w:top w:val="nil"/>
              <w:left w:val="nil"/>
              <w:bottom w:val="single" w:sz="4" w:space="0" w:color="auto"/>
              <w:right w:val="nil"/>
            </w:tcBorders>
            <w:shd w:val="clear" w:color="auto" w:fill="auto"/>
            <w:noWrap/>
            <w:vAlign w:val="center"/>
            <w:hideMark/>
          </w:tcPr>
          <w:p w:rsidR="00E67941" w:rsidRPr="00732824" w:rsidRDefault="00E67941" w:rsidP="004F3E2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12</w:t>
            </w:r>
          </w:p>
        </w:tc>
        <w:tc>
          <w:tcPr>
            <w:tcW w:w="656" w:type="dxa"/>
            <w:tcBorders>
              <w:top w:val="nil"/>
              <w:left w:val="nil"/>
              <w:bottom w:val="single" w:sz="4" w:space="0" w:color="auto"/>
              <w:right w:val="nil"/>
            </w:tcBorders>
            <w:shd w:val="clear" w:color="auto" w:fill="auto"/>
            <w:noWrap/>
            <w:vAlign w:val="center"/>
            <w:hideMark/>
          </w:tcPr>
          <w:p w:rsidR="00E67941" w:rsidRPr="00732824" w:rsidRDefault="00E67941" w:rsidP="004F3E2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13</w:t>
            </w:r>
          </w:p>
        </w:tc>
        <w:tc>
          <w:tcPr>
            <w:tcW w:w="656" w:type="dxa"/>
            <w:tcBorders>
              <w:top w:val="nil"/>
              <w:left w:val="nil"/>
              <w:bottom w:val="single" w:sz="4" w:space="0" w:color="auto"/>
              <w:right w:val="nil"/>
            </w:tcBorders>
            <w:shd w:val="clear" w:color="auto" w:fill="auto"/>
            <w:noWrap/>
            <w:vAlign w:val="center"/>
            <w:hideMark/>
          </w:tcPr>
          <w:p w:rsidR="00E67941" w:rsidRPr="00732824" w:rsidRDefault="00E67941" w:rsidP="004F3E2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14</w:t>
            </w:r>
          </w:p>
        </w:tc>
      </w:tr>
    </w:tbl>
    <w:p w:rsidR="00E67941" w:rsidRDefault="00E67941" w:rsidP="00E67941">
      <w:pPr>
        <w:rPr>
          <w:rFonts w:ascii="Times New Roman" w:hAnsi="Times New Roman" w:cs="Times New Roman"/>
          <w:bCs/>
          <w:sz w:val="22"/>
          <w:szCs w:val="22"/>
        </w:rPr>
      </w:pPr>
    </w:p>
    <w:p w:rsidR="00E23EA5" w:rsidRDefault="00E23EA5" w:rsidP="00034169">
      <w:pPr>
        <w:spacing w:after="0"/>
        <w:rPr>
          <w:rFonts w:ascii="Times New Roman" w:hAnsi="Times New Roman" w:cs="Times New Roman"/>
          <w:bCs/>
          <w:sz w:val="22"/>
          <w:szCs w:val="22"/>
        </w:rPr>
      </w:pPr>
      <w:r w:rsidRPr="00231910">
        <w:rPr>
          <w:rFonts w:ascii="Times New Roman" w:hAnsi="Times New Roman" w:cs="Times New Roman"/>
          <w:bCs/>
          <w:sz w:val="22"/>
          <w:szCs w:val="22"/>
        </w:rPr>
        <w:t xml:space="preserve">The </w:t>
      </w:r>
      <w:r w:rsidR="00C501A3">
        <w:rPr>
          <w:rFonts w:ascii="Times New Roman" w:hAnsi="Times New Roman" w:cs="Times New Roman"/>
          <w:bCs/>
          <w:sz w:val="22"/>
          <w:szCs w:val="22"/>
        </w:rPr>
        <w:t xml:space="preserve">HB </w:t>
      </w:r>
      <w:r w:rsidR="00F5683B">
        <w:rPr>
          <w:rFonts w:ascii="Times New Roman" w:hAnsi="Times New Roman" w:cs="Times New Roman"/>
          <w:bCs/>
          <w:sz w:val="22"/>
          <w:szCs w:val="22"/>
        </w:rPr>
        <w:t>d</w:t>
      </w:r>
      <w:r w:rsidRPr="00231910">
        <w:rPr>
          <w:rFonts w:ascii="Times New Roman" w:hAnsi="Times New Roman" w:cs="Times New Roman"/>
          <w:bCs/>
          <w:sz w:val="22"/>
          <w:szCs w:val="22"/>
        </w:rPr>
        <w:t xml:space="preserve">emand level </w:t>
      </w:r>
      <w:r w:rsidR="00F5683B">
        <w:rPr>
          <w:rFonts w:ascii="Times New Roman" w:hAnsi="Times New Roman" w:cs="Times New Roman"/>
          <w:bCs/>
          <w:sz w:val="22"/>
          <w:szCs w:val="22"/>
        </w:rPr>
        <w:t>takes</w:t>
      </w:r>
      <w:r w:rsidR="00F5683B" w:rsidRPr="00231910">
        <w:rPr>
          <w:rFonts w:ascii="Times New Roman" w:hAnsi="Times New Roman" w:cs="Times New Roman"/>
          <w:bCs/>
          <w:sz w:val="22"/>
          <w:szCs w:val="22"/>
        </w:rPr>
        <w:t xml:space="preserve"> </w:t>
      </w:r>
      <w:r w:rsidRPr="00231910">
        <w:rPr>
          <w:rFonts w:ascii="Times New Roman" w:hAnsi="Times New Roman" w:cs="Times New Roman"/>
          <w:bCs/>
          <w:sz w:val="22"/>
          <w:szCs w:val="22"/>
        </w:rPr>
        <w:t xml:space="preserve">projections for world gasoline and diesel demand in 2050 and </w:t>
      </w:r>
      <w:r w:rsidR="00F5683B" w:rsidRPr="00231910">
        <w:rPr>
          <w:rFonts w:ascii="Times New Roman" w:hAnsi="Times New Roman" w:cs="Times New Roman"/>
          <w:bCs/>
          <w:sz w:val="22"/>
          <w:szCs w:val="22"/>
        </w:rPr>
        <w:t>assume</w:t>
      </w:r>
      <w:r w:rsidR="00F5683B">
        <w:rPr>
          <w:rFonts w:ascii="Times New Roman" w:hAnsi="Times New Roman" w:cs="Times New Roman"/>
          <w:bCs/>
          <w:sz w:val="22"/>
          <w:szCs w:val="22"/>
        </w:rPr>
        <w:t>s</w:t>
      </w:r>
      <w:r w:rsidR="00F5683B" w:rsidRPr="00231910">
        <w:rPr>
          <w:rFonts w:ascii="Times New Roman" w:hAnsi="Times New Roman" w:cs="Times New Roman"/>
          <w:bCs/>
          <w:sz w:val="22"/>
          <w:szCs w:val="22"/>
        </w:rPr>
        <w:t xml:space="preserve"> </w:t>
      </w:r>
      <w:r w:rsidRPr="00231910">
        <w:rPr>
          <w:rFonts w:ascii="Times New Roman" w:hAnsi="Times New Roman" w:cs="Times New Roman"/>
          <w:bCs/>
          <w:sz w:val="22"/>
          <w:szCs w:val="22"/>
        </w:rPr>
        <w:t xml:space="preserve">25% </w:t>
      </w:r>
      <w:r w:rsidR="00FD5A5E">
        <w:rPr>
          <w:rFonts w:ascii="Times New Roman" w:hAnsi="Times New Roman" w:cs="Times New Roman"/>
          <w:bCs/>
          <w:sz w:val="22"/>
          <w:szCs w:val="22"/>
        </w:rPr>
        <w:t>displacement of this demand by</w:t>
      </w:r>
      <w:r w:rsidRPr="00231910">
        <w:rPr>
          <w:rFonts w:ascii="Times New Roman" w:hAnsi="Times New Roman" w:cs="Times New Roman"/>
          <w:bCs/>
          <w:sz w:val="22"/>
          <w:szCs w:val="22"/>
        </w:rPr>
        <w:t xml:space="preserve"> </w:t>
      </w:r>
      <w:r w:rsidR="00FD5A5E">
        <w:rPr>
          <w:rFonts w:ascii="Times New Roman" w:hAnsi="Times New Roman" w:cs="Times New Roman"/>
          <w:bCs/>
          <w:sz w:val="22"/>
          <w:szCs w:val="22"/>
        </w:rPr>
        <w:t xml:space="preserve">biofuels. </w:t>
      </w:r>
      <w:r w:rsidR="00034169" w:rsidRPr="00231910">
        <w:rPr>
          <w:rFonts w:ascii="Times New Roman" w:hAnsi="Times New Roman" w:cs="Times New Roman"/>
          <w:bCs/>
          <w:sz w:val="22"/>
          <w:szCs w:val="22"/>
        </w:rPr>
        <w:t>US Energy Information Administration</w:t>
      </w:r>
      <w:r w:rsidR="00263953">
        <w:rPr>
          <w:rFonts w:ascii="Times New Roman" w:hAnsi="Times New Roman" w:cs="Times New Roman"/>
          <w:bCs/>
          <w:sz w:val="22"/>
          <w:szCs w:val="22"/>
        </w:rPr>
        <w:t xml:space="preserve"> (</w:t>
      </w:r>
      <w:r w:rsidR="00252E59">
        <w:rPr>
          <w:rFonts w:ascii="Times New Roman" w:hAnsi="Times New Roman" w:cs="Times New Roman"/>
          <w:bCs/>
          <w:sz w:val="22"/>
          <w:szCs w:val="22"/>
        </w:rPr>
        <w:t>EIA</w:t>
      </w:r>
      <w:r w:rsidR="00263953">
        <w:rPr>
          <w:rFonts w:ascii="Times New Roman" w:hAnsi="Times New Roman" w:cs="Times New Roman"/>
          <w:bCs/>
          <w:sz w:val="22"/>
          <w:szCs w:val="22"/>
        </w:rPr>
        <w:t>)</w:t>
      </w:r>
      <w:r w:rsidR="00034169" w:rsidRPr="00231910">
        <w:rPr>
          <w:rFonts w:ascii="Times New Roman" w:hAnsi="Times New Roman" w:cs="Times New Roman"/>
          <w:bCs/>
          <w:sz w:val="22"/>
          <w:szCs w:val="22"/>
        </w:rPr>
        <w:t xml:space="preserve"> historic data for gasoline and diesel production from 1990 to 2008</w:t>
      </w:r>
      <w:r w:rsidR="00034169">
        <w:rPr>
          <w:rFonts w:ascii="Times New Roman" w:hAnsi="Times New Roman" w:cs="Times New Roman"/>
          <w:bCs/>
          <w:sz w:val="22"/>
          <w:szCs w:val="22"/>
        </w:rPr>
        <w:t xml:space="preserve"> (IPAA 2012)</w:t>
      </w:r>
      <w:r w:rsidR="00034169" w:rsidRPr="00231910">
        <w:rPr>
          <w:rFonts w:ascii="Times New Roman" w:hAnsi="Times New Roman" w:cs="Times New Roman"/>
          <w:bCs/>
          <w:sz w:val="22"/>
          <w:szCs w:val="22"/>
        </w:rPr>
        <w:t xml:space="preserve"> </w:t>
      </w:r>
      <w:r w:rsidR="00034169">
        <w:rPr>
          <w:rFonts w:ascii="Times New Roman" w:hAnsi="Times New Roman" w:cs="Times New Roman"/>
          <w:bCs/>
          <w:sz w:val="22"/>
          <w:szCs w:val="22"/>
        </w:rPr>
        <w:t>is</w:t>
      </w:r>
      <w:r w:rsidR="00034169" w:rsidRPr="00231910">
        <w:rPr>
          <w:rFonts w:ascii="Times New Roman" w:hAnsi="Times New Roman" w:cs="Times New Roman"/>
          <w:bCs/>
          <w:sz w:val="22"/>
          <w:szCs w:val="22"/>
        </w:rPr>
        <w:t xml:space="preserve"> used to create an auto-regressive model, projecting world gasoline and diesel demand out to 2050. We assume world biofuel demand increase</w:t>
      </w:r>
      <w:r w:rsidR="00034169">
        <w:rPr>
          <w:rFonts w:ascii="Times New Roman" w:hAnsi="Times New Roman" w:cs="Times New Roman"/>
          <w:bCs/>
          <w:sz w:val="22"/>
          <w:szCs w:val="22"/>
        </w:rPr>
        <w:t>s</w:t>
      </w:r>
      <w:r w:rsidR="00034169" w:rsidRPr="00231910">
        <w:rPr>
          <w:rFonts w:ascii="Times New Roman" w:hAnsi="Times New Roman" w:cs="Times New Roman"/>
          <w:bCs/>
          <w:sz w:val="22"/>
          <w:szCs w:val="22"/>
        </w:rPr>
        <w:t xml:space="preserve"> linearly from 2010 EIA ethanol and renewable diesel production data to the projected 25% displacement in 2050</w:t>
      </w:r>
      <w:r w:rsidR="00AC2F14">
        <w:rPr>
          <w:rFonts w:ascii="Times New Roman" w:hAnsi="Times New Roman" w:cs="Times New Roman"/>
          <w:bCs/>
          <w:sz w:val="22"/>
          <w:szCs w:val="22"/>
        </w:rPr>
        <w:t>, which in addition to the</w:t>
      </w:r>
      <w:r w:rsidR="00034169">
        <w:rPr>
          <w:rFonts w:ascii="Times New Roman" w:hAnsi="Times New Roman" w:cs="Times New Roman"/>
          <w:bCs/>
          <w:sz w:val="22"/>
          <w:szCs w:val="22"/>
        </w:rPr>
        <w:t xml:space="preserve"> food crop-based biofuel demands in the low biofuel demand scenario.</w:t>
      </w:r>
      <w:r w:rsidR="00034169" w:rsidRPr="00231910">
        <w:rPr>
          <w:rFonts w:ascii="Times New Roman" w:hAnsi="Times New Roman" w:cs="Times New Roman"/>
          <w:bCs/>
          <w:sz w:val="22"/>
          <w:szCs w:val="22"/>
        </w:rPr>
        <w:t xml:space="preserve"> </w:t>
      </w:r>
      <w:r w:rsidR="00034169">
        <w:rPr>
          <w:rFonts w:ascii="Times New Roman" w:hAnsi="Times New Roman" w:cs="Times New Roman"/>
          <w:bCs/>
          <w:sz w:val="22"/>
          <w:szCs w:val="22"/>
        </w:rPr>
        <w:t>Additional biofuel demands are assumed to be met only by c</w:t>
      </w:r>
      <w:r w:rsidR="00651EF6">
        <w:rPr>
          <w:rFonts w:ascii="Times New Roman" w:hAnsi="Times New Roman" w:cs="Times New Roman"/>
          <w:bCs/>
          <w:sz w:val="22"/>
          <w:szCs w:val="22"/>
        </w:rPr>
        <w:t>ellulosic e</w:t>
      </w:r>
      <w:r w:rsidRPr="00231910">
        <w:rPr>
          <w:rFonts w:ascii="Times New Roman" w:hAnsi="Times New Roman" w:cs="Times New Roman"/>
          <w:bCs/>
          <w:sz w:val="22"/>
          <w:szCs w:val="22"/>
        </w:rPr>
        <w:t>thanol and renewable diesel</w:t>
      </w:r>
      <w:r w:rsidR="00034169">
        <w:rPr>
          <w:rFonts w:ascii="Times New Roman" w:hAnsi="Times New Roman" w:cs="Times New Roman"/>
          <w:bCs/>
          <w:sz w:val="22"/>
          <w:szCs w:val="22"/>
        </w:rPr>
        <w:t xml:space="preserve">. </w:t>
      </w:r>
      <w:r w:rsidR="00AC2F14">
        <w:rPr>
          <w:rFonts w:ascii="Times New Roman" w:hAnsi="Times New Roman" w:cs="Times New Roman"/>
          <w:bCs/>
          <w:sz w:val="22"/>
          <w:szCs w:val="22"/>
        </w:rPr>
        <w:t>World biofuel demand is allocated to</w:t>
      </w:r>
      <w:r w:rsidR="00AC2F14" w:rsidRPr="00231910">
        <w:rPr>
          <w:rFonts w:ascii="Times New Roman" w:hAnsi="Times New Roman" w:cs="Times New Roman"/>
          <w:bCs/>
          <w:sz w:val="22"/>
          <w:szCs w:val="22"/>
        </w:rPr>
        <w:t xml:space="preserve"> US and ROW regions </w:t>
      </w:r>
      <w:r w:rsidR="00AC2F14">
        <w:rPr>
          <w:rFonts w:ascii="Times New Roman" w:hAnsi="Times New Roman" w:cs="Times New Roman"/>
          <w:bCs/>
          <w:sz w:val="22"/>
          <w:szCs w:val="22"/>
        </w:rPr>
        <w:t>in proportion to</w:t>
      </w:r>
      <w:r w:rsidR="00AC2F14" w:rsidRPr="00231910">
        <w:rPr>
          <w:rFonts w:ascii="Times New Roman" w:hAnsi="Times New Roman" w:cs="Times New Roman"/>
          <w:bCs/>
          <w:sz w:val="22"/>
          <w:szCs w:val="22"/>
        </w:rPr>
        <w:t xml:space="preserve"> 2010 ratios. </w:t>
      </w:r>
      <w:r w:rsidR="00C647DE">
        <w:rPr>
          <w:rFonts w:ascii="Times New Roman" w:hAnsi="Times New Roman" w:cs="Times New Roman"/>
          <w:bCs/>
          <w:sz w:val="22"/>
          <w:szCs w:val="22"/>
        </w:rPr>
        <w:t xml:space="preserve">Resulting </w:t>
      </w:r>
      <w:r w:rsidR="00D85A9F">
        <w:rPr>
          <w:rFonts w:ascii="Times New Roman" w:hAnsi="Times New Roman" w:cs="Times New Roman"/>
          <w:bCs/>
          <w:sz w:val="22"/>
          <w:szCs w:val="22"/>
        </w:rPr>
        <w:t xml:space="preserve">energy </w:t>
      </w:r>
      <w:r w:rsidR="00C647DE">
        <w:rPr>
          <w:rFonts w:ascii="Times New Roman" w:hAnsi="Times New Roman" w:cs="Times New Roman"/>
          <w:bCs/>
          <w:sz w:val="22"/>
          <w:szCs w:val="22"/>
        </w:rPr>
        <w:t>demands for biofue</w:t>
      </w:r>
      <w:r w:rsidR="00D8346F">
        <w:rPr>
          <w:rFonts w:ascii="Times New Roman" w:hAnsi="Times New Roman" w:cs="Times New Roman"/>
          <w:bCs/>
          <w:sz w:val="22"/>
          <w:szCs w:val="22"/>
        </w:rPr>
        <w:t>ls from 1991-2050 are shown in t</w:t>
      </w:r>
      <w:r w:rsidR="00C647DE">
        <w:rPr>
          <w:rFonts w:ascii="Times New Roman" w:hAnsi="Times New Roman" w:cs="Times New Roman"/>
          <w:bCs/>
          <w:sz w:val="22"/>
          <w:szCs w:val="22"/>
        </w:rPr>
        <w:t>able S</w:t>
      </w:r>
      <w:r w:rsidR="00E67941">
        <w:rPr>
          <w:rFonts w:ascii="Times New Roman" w:hAnsi="Times New Roman" w:cs="Times New Roman"/>
          <w:bCs/>
          <w:sz w:val="22"/>
          <w:szCs w:val="22"/>
        </w:rPr>
        <w:t>8</w:t>
      </w:r>
      <w:r w:rsidR="00C647DE">
        <w:rPr>
          <w:rFonts w:ascii="Times New Roman" w:hAnsi="Times New Roman" w:cs="Times New Roman"/>
          <w:bCs/>
          <w:sz w:val="22"/>
          <w:szCs w:val="22"/>
        </w:rPr>
        <w:t>.</w:t>
      </w:r>
    </w:p>
    <w:p w:rsidR="00E67941" w:rsidRDefault="00E67941" w:rsidP="00C647DE">
      <w:pPr>
        <w:spacing w:after="0"/>
        <w:rPr>
          <w:rFonts w:ascii="Times New Roman" w:hAnsi="Times New Roman" w:cs="Times New Roman"/>
          <w:bCs/>
          <w:sz w:val="22"/>
          <w:szCs w:val="22"/>
        </w:rPr>
      </w:pPr>
    </w:p>
    <w:p w:rsidR="00DE7BE4" w:rsidRDefault="00C647DE" w:rsidP="00C647DE">
      <w:pPr>
        <w:spacing w:after="0"/>
        <w:rPr>
          <w:rFonts w:ascii="Times New Roman" w:hAnsi="Times New Roman" w:cs="Times New Roman"/>
          <w:bCs/>
          <w:sz w:val="22"/>
          <w:szCs w:val="22"/>
        </w:rPr>
      </w:pPr>
      <w:r>
        <w:rPr>
          <w:rFonts w:ascii="Times New Roman" w:hAnsi="Times New Roman" w:cs="Times New Roman"/>
          <w:bCs/>
          <w:sz w:val="22"/>
          <w:szCs w:val="22"/>
        </w:rPr>
        <w:t>Harvested area for cellulosic ethanol and</w:t>
      </w:r>
      <w:r w:rsidR="00A53780">
        <w:rPr>
          <w:rFonts w:ascii="Times New Roman" w:hAnsi="Times New Roman" w:cs="Times New Roman"/>
          <w:bCs/>
          <w:sz w:val="22"/>
          <w:szCs w:val="22"/>
        </w:rPr>
        <w:t xml:space="preserve"> renewable diesel </w:t>
      </w:r>
      <w:r w:rsidR="00D85A9F">
        <w:rPr>
          <w:rFonts w:ascii="Times New Roman" w:hAnsi="Times New Roman" w:cs="Times New Roman"/>
          <w:bCs/>
          <w:sz w:val="22"/>
          <w:szCs w:val="22"/>
        </w:rPr>
        <w:t xml:space="preserve">were </w:t>
      </w:r>
      <w:r w:rsidR="008A7304">
        <w:rPr>
          <w:rFonts w:ascii="Times New Roman" w:hAnsi="Times New Roman" w:cs="Times New Roman"/>
          <w:bCs/>
          <w:sz w:val="22"/>
          <w:szCs w:val="22"/>
        </w:rPr>
        <w:t xml:space="preserve">calculated and </w:t>
      </w:r>
      <w:r>
        <w:rPr>
          <w:rFonts w:ascii="Times New Roman" w:hAnsi="Times New Roman" w:cs="Times New Roman"/>
          <w:bCs/>
          <w:sz w:val="22"/>
          <w:szCs w:val="22"/>
        </w:rPr>
        <w:t>listed in table S9</w:t>
      </w:r>
      <w:r w:rsidR="008A7304">
        <w:rPr>
          <w:rFonts w:ascii="Times New Roman" w:hAnsi="Times New Roman" w:cs="Times New Roman"/>
          <w:bCs/>
          <w:sz w:val="22"/>
          <w:szCs w:val="22"/>
        </w:rPr>
        <w:t xml:space="preserve"> based on the cellulosic feedstock yields in </w:t>
      </w:r>
      <w:r w:rsidR="006B1657">
        <w:rPr>
          <w:rFonts w:ascii="Times New Roman" w:hAnsi="Times New Roman" w:cs="Times New Roman"/>
          <w:bCs/>
          <w:sz w:val="22"/>
          <w:szCs w:val="22"/>
        </w:rPr>
        <w:t xml:space="preserve">table </w:t>
      </w:r>
      <w:r w:rsidR="00E67941">
        <w:rPr>
          <w:rFonts w:ascii="Times New Roman" w:hAnsi="Times New Roman" w:cs="Times New Roman"/>
          <w:bCs/>
          <w:sz w:val="22"/>
          <w:szCs w:val="22"/>
        </w:rPr>
        <w:t>S9</w:t>
      </w:r>
      <w:r w:rsidR="008A7304">
        <w:rPr>
          <w:rFonts w:ascii="Times New Roman" w:hAnsi="Times New Roman" w:cs="Times New Roman"/>
          <w:bCs/>
          <w:sz w:val="22"/>
          <w:szCs w:val="22"/>
        </w:rPr>
        <w:t>, cellulosic ethanol conversion yields (NREL 2012), and renewable diesel conversion yields which are only slightly higher than biodiesel (NREL 2012)</w:t>
      </w:r>
      <w:r>
        <w:rPr>
          <w:rFonts w:ascii="Times New Roman" w:hAnsi="Times New Roman" w:cs="Times New Roman"/>
          <w:bCs/>
          <w:sz w:val="22"/>
          <w:szCs w:val="22"/>
        </w:rPr>
        <w:t>.</w:t>
      </w:r>
    </w:p>
    <w:p w:rsidR="00C647DE" w:rsidRDefault="00C647DE" w:rsidP="00C647DE">
      <w:pPr>
        <w:spacing w:after="0"/>
        <w:rPr>
          <w:rFonts w:ascii="Times New Roman" w:hAnsi="Times New Roman" w:cs="Times New Roman"/>
          <w:bCs/>
          <w:sz w:val="22"/>
          <w:szCs w:val="22"/>
        </w:rPr>
      </w:pPr>
    </w:p>
    <w:p w:rsidR="0010300D" w:rsidRDefault="00E67941" w:rsidP="0010300D">
      <w:pPr>
        <w:rPr>
          <w:rFonts w:ascii="Times New Roman" w:hAnsi="Times New Roman" w:cs="Times New Roman"/>
          <w:sz w:val="20"/>
          <w:szCs w:val="20"/>
        </w:rPr>
      </w:pPr>
      <w:r>
        <w:rPr>
          <w:rFonts w:ascii="Times New Roman" w:hAnsi="Times New Roman" w:cs="Times New Roman"/>
          <w:b/>
          <w:sz w:val="20"/>
          <w:szCs w:val="20"/>
        </w:rPr>
        <w:t>Table S8</w:t>
      </w:r>
      <w:r w:rsidR="00BC510A">
        <w:rPr>
          <w:rFonts w:ascii="Times New Roman" w:hAnsi="Times New Roman" w:cs="Times New Roman"/>
          <w:b/>
          <w:sz w:val="20"/>
          <w:szCs w:val="20"/>
        </w:rPr>
        <w:t>.</w:t>
      </w:r>
      <w:r w:rsidR="00BC510A" w:rsidRPr="009F6262">
        <w:rPr>
          <w:rFonts w:ascii="Times New Roman" w:hAnsi="Times New Roman" w:cs="Times New Roman"/>
          <w:b/>
          <w:sz w:val="20"/>
          <w:szCs w:val="20"/>
        </w:rPr>
        <w:t xml:space="preserve"> </w:t>
      </w:r>
      <w:r w:rsidR="00C647DE" w:rsidRPr="009F6262">
        <w:rPr>
          <w:rFonts w:ascii="Times New Roman" w:hAnsi="Times New Roman" w:cs="Times New Roman"/>
          <w:sz w:val="20"/>
          <w:szCs w:val="20"/>
        </w:rPr>
        <w:t>HB and HFB land demand from 1991-2050 in EJ/yr.</w:t>
      </w:r>
    </w:p>
    <w:tbl>
      <w:tblPr>
        <w:tblW w:w="8024" w:type="dxa"/>
        <w:jc w:val="center"/>
        <w:tblInd w:w="95" w:type="dxa"/>
        <w:tblLook w:val="04A0"/>
      </w:tblPr>
      <w:tblGrid>
        <w:gridCol w:w="972"/>
        <w:gridCol w:w="2740"/>
        <w:gridCol w:w="616"/>
        <w:gridCol w:w="616"/>
        <w:gridCol w:w="616"/>
        <w:gridCol w:w="616"/>
        <w:gridCol w:w="616"/>
        <w:gridCol w:w="616"/>
        <w:gridCol w:w="616"/>
      </w:tblGrid>
      <w:tr w:rsidR="003A69C7" w:rsidRPr="005912EA" w:rsidTr="00E67941">
        <w:trPr>
          <w:trHeight w:val="300"/>
          <w:jc w:val="center"/>
        </w:trPr>
        <w:tc>
          <w:tcPr>
            <w:tcW w:w="972" w:type="dxa"/>
            <w:tcBorders>
              <w:top w:val="nil"/>
              <w:left w:val="nil"/>
              <w:bottom w:val="single" w:sz="4" w:space="0" w:color="auto"/>
              <w:right w:val="nil"/>
            </w:tcBorders>
            <w:shd w:val="clear" w:color="auto" w:fill="auto"/>
            <w:noWrap/>
            <w:vAlign w:val="center"/>
            <w:hideMark/>
          </w:tcPr>
          <w:p w:rsidR="003A69C7" w:rsidRPr="005912EA" w:rsidRDefault="003A69C7" w:rsidP="004558FB">
            <w:pPr>
              <w:spacing w:after="0" w:line="240" w:lineRule="auto"/>
              <w:jc w:val="center"/>
              <w:rPr>
                <w:rFonts w:ascii="Times New Roman" w:eastAsia="Times New Roman" w:hAnsi="Times New Roman" w:cs="Times New Roman"/>
                <w:b/>
                <w:bCs/>
                <w:color w:val="000000"/>
                <w:sz w:val="20"/>
                <w:szCs w:val="20"/>
              </w:rPr>
            </w:pPr>
            <w:r w:rsidRPr="005912EA">
              <w:rPr>
                <w:rFonts w:ascii="Times New Roman" w:eastAsia="Times New Roman" w:hAnsi="Times New Roman" w:cs="Times New Roman"/>
                <w:b/>
                <w:bCs/>
                <w:color w:val="000000"/>
                <w:sz w:val="20"/>
                <w:szCs w:val="20"/>
              </w:rPr>
              <w:t>Location</w:t>
            </w:r>
          </w:p>
        </w:tc>
        <w:tc>
          <w:tcPr>
            <w:tcW w:w="2740" w:type="dxa"/>
            <w:tcBorders>
              <w:top w:val="nil"/>
              <w:left w:val="nil"/>
              <w:bottom w:val="single" w:sz="4" w:space="0" w:color="auto"/>
              <w:right w:val="nil"/>
            </w:tcBorders>
            <w:shd w:val="clear" w:color="auto" w:fill="auto"/>
            <w:noWrap/>
            <w:vAlign w:val="center"/>
            <w:hideMark/>
          </w:tcPr>
          <w:p w:rsidR="003A69C7" w:rsidRPr="005912EA" w:rsidRDefault="003A69C7" w:rsidP="004558FB">
            <w:pPr>
              <w:spacing w:after="0" w:line="240" w:lineRule="auto"/>
              <w:jc w:val="center"/>
              <w:rPr>
                <w:rFonts w:ascii="Times New Roman" w:eastAsia="Times New Roman" w:hAnsi="Times New Roman" w:cs="Times New Roman"/>
                <w:b/>
                <w:bCs/>
                <w:color w:val="000000"/>
                <w:sz w:val="20"/>
                <w:szCs w:val="20"/>
              </w:rPr>
            </w:pPr>
            <w:r w:rsidRPr="005912EA">
              <w:rPr>
                <w:rFonts w:ascii="Times New Roman" w:eastAsia="Times New Roman" w:hAnsi="Times New Roman" w:cs="Times New Roman"/>
                <w:b/>
                <w:bCs/>
                <w:color w:val="000000"/>
                <w:sz w:val="20"/>
                <w:szCs w:val="20"/>
              </w:rPr>
              <w:t>Commodity Type</w:t>
            </w:r>
          </w:p>
        </w:tc>
        <w:tc>
          <w:tcPr>
            <w:tcW w:w="616" w:type="dxa"/>
            <w:tcBorders>
              <w:top w:val="nil"/>
              <w:left w:val="nil"/>
              <w:bottom w:val="single" w:sz="4" w:space="0" w:color="auto"/>
              <w:right w:val="nil"/>
            </w:tcBorders>
            <w:shd w:val="clear" w:color="auto" w:fill="auto"/>
            <w:noWrap/>
            <w:vAlign w:val="center"/>
            <w:hideMark/>
          </w:tcPr>
          <w:p w:rsidR="003A69C7" w:rsidRPr="005912EA" w:rsidRDefault="003A69C7" w:rsidP="004558FB">
            <w:pPr>
              <w:spacing w:after="0" w:line="240" w:lineRule="auto"/>
              <w:jc w:val="center"/>
              <w:rPr>
                <w:rFonts w:ascii="Times New Roman" w:eastAsia="Times New Roman" w:hAnsi="Times New Roman" w:cs="Times New Roman"/>
                <w:b/>
                <w:bCs/>
                <w:color w:val="000000"/>
                <w:sz w:val="20"/>
                <w:szCs w:val="20"/>
              </w:rPr>
            </w:pPr>
            <w:r w:rsidRPr="005912EA">
              <w:rPr>
                <w:rFonts w:ascii="Times New Roman" w:eastAsia="Times New Roman" w:hAnsi="Times New Roman" w:cs="Times New Roman"/>
                <w:b/>
                <w:bCs/>
                <w:color w:val="000000"/>
                <w:sz w:val="20"/>
                <w:szCs w:val="20"/>
              </w:rPr>
              <w:t>1991</w:t>
            </w:r>
          </w:p>
        </w:tc>
        <w:tc>
          <w:tcPr>
            <w:tcW w:w="616" w:type="dxa"/>
            <w:tcBorders>
              <w:top w:val="nil"/>
              <w:left w:val="nil"/>
              <w:bottom w:val="single" w:sz="4" w:space="0" w:color="auto"/>
              <w:right w:val="nil"/>
            </w:tcBorders>
            <w:shd w:val="clear" w:color="auto" w:fill="auto"/>
            <w:noWrap/>
            <w:vAlign w:val="center"/>
            <w:hideMark/>
          </w:tcPr>
          <w:p w:rsidR="003A69C7" w:rsidRPr="005912EA" w:rsidRDefault="003A69C7" w:rsidP="004558FB">
            <w:pPr>
              <w:spacing w:after="0" w:line="240" w:lineRule="auto"/>
              <w:jc w:val="center"/>
              <w:rPr>
                <w:rFonts w:ascii="Times New Roman" w:eastAsia="Times New Roman" w:hAnsi="Times New Roman" w:cs="Times New Roman"/>
                <w:b/>
                <w:bCs/>
                <w:color w:val="000000"/>
                <w:sz w:val="20"/>
                <w:szCs w:val="20"/>
              </w:rPr>
            </w:pPr>
            <w:r w:rsidRPr="005912EA">
              <w:rPr>
                <w:rFonts w:ascii="Times New Roman" w:eastAsia="Times New Roman" w:hAnsi="Times New Roman" w:cs="Times New Roman"/>
                <w:b/>
                <w:bCs/>
                <w:color w:val="000000"/>
                <w:sz w:val="20"/>
                <w:szCs w:val="20"/>
              </w:rPr>
              <w:t>2000</w:t>
            </w:r>
          </w:p>
        </w:tc>
        <w:tc>
          <w:tcPr>
            <w:tcW w:w="616" w:type="dxa"/>
            <w:tcBorders>
              <w:top w:val="nil"/>
              <w:left w:val="nil"/>
              <w:bottom w:val="single" w:sz="4" w:space="0" w:color="auto"/>
              <w:right w:val="nil"/>
            </w:tcBorders>
            <w:shd w:val="clear" w:color="auto" w:fill="auto"/>
            <w:noWrap/>
            <w:vAlign w:val="center"/>
            <w:hideMark/>
          </w:tcPr>
          <w:p w:rsidR="003A69C7" w:rsidRPr="005912EA" w:rsidRDefault="003A69C7" w:rsidP="004558FB">
            <w:pPr>
              <w:spacing w:after="0" w:line="240" w:lineRule="auto"/>
              <w:jc w:val="center"/>
              <w:rPr>
                <w:rFonts w:ascii="Times New Roman" w:eastAsia="Times New Roman" w:hAnsi="Times New Roman" w:cs="Times New Roman"/>
                <w:b/>
                <w:bCs/>
                <w:color w:val="000000"/>
                <w:sz w:val="20"/>
                <w:szCs w:val="20"/>
              </w:rPr>
            </w:pPr>
            <w:r w:rsidRPr="005912EA">
              <w:rPr>
                <w:rFonts w:ascii="Times New Roman" w:eastAsia="Times New Roman" w:hAnsi="Times New Roman" w:cs="Times New Roman"/>
                <w:b/>
                <w:bCs/>
                <w:color w:val="000000"/>
                <w:sz w:val="20"/>
                <w:szCs w:val="20"/>
              </w:rPr>
              <w:t>2010</w:t>
            </w:r>
          </w:p>
        </w:tc>
        <w:tc>
          <w:tcPr>
            <w:tcW w:w="616" w:type="dxa"/>
            <w:tcBorders>
              <w:top w:val="nil"/>
              <w:left w:val="nil"/>
              <w:bottom w:val="single" w:sz="4" w:space="0" w:color="auto"/>
              <w:right w:val="nil"/>
            </w:tcBorders>
            <w:shd w:val="clear" w:color="auto" w:fill="auto"/>
            <w:noWrap/>
            <w:vAlign w:val="center"/>
            <w:hideMark/>
          </w:tcPr>
          <w:p w:rsidR="003A69C7" w:rsidRPr="005912EA" w:rsidRDefault="003A69C7" w:rsidP="004558FB">
            <w:pPr>
              <w:spacing w:after="0" w:line="240" w:lineRule="auto"/>
              <w:jc w:val="center"/>
              <w:rPr>
                <w:rFonts w:ascii="Times New Roman" w:eastAsia="Times New Roman" w:hAnsi="Times New Roman" w:cs="Times New Roman"/>
                <w:b/>
                <w:bCs/>
                <w:color w:val="000000"/>
                <w:sz w:val="20"/>
                <w:szCs w:val="20"/>
              </w:rPr>
            </w:pPr>
            <w:r w:rsidRPr="005912EA">
              <w:rPr>
                <w:rFonts w:ascii="Times New Roman" w:eastAsia="Times New Roman" w:hAnsi="Times New Roman" w:cs="Times New Roman"/>
                <w:b/>
                <w:bCs/>
                <w:color w:val="000000"/>
                <w:sz w:val="20"/>
                <w:szCs w:val="20"/>
              </w:rPr>
              <w:t>2020</w:t>
            </w:r>
          </w:p>
        </w:tc>
        <w:tc>
          <w:tcPr>
            <w:tcW w:w="616" w:type="dxa"/>
            <w:tcBorders>
              <w:top w:val="nil"/>
              <w:left w:val="nil"/>
              <w:bottom w:val="single" w:sz="4" w:space="0" w:color="auto"/>
              <w:right w:val="nil"/>
            </w:tcBorders>
            <w:shd w:val="clear" w:color="auto" w:fill="auto"/>
            <w:noWrap/>
            <w:vAlign w:val="center"/>
            <w:hideMark/>
          </w:tcPr>
          <w:p w:rsidR="003A69C7" w:rsidRPr="005912EA" w:rsidRDefault="003A69C7" w:rsidP="004558FB">
            <w:pPr>
              <w:spacing w:after="0" w:line="240" w:lineRule="auto"/>
              <w:jc w:val="center"/>
              <w:rPr>
                <w:rFonts w:ascii="Times New Roman" w:eastAsia="Times New Roman" w:hAnsi="Times New Roman" w:cs="Times New Roman"/>
                <w:b/>
                <w:bCs/>
                <w:color w:val="000000"/>
                <w:sz w:val="20"/>
                <w:szCs w:val="20"/>
              </w:rPr>
            </w:pPr>
            <w:r w:rsidRPr="005912EA">
              <w:rPr>
                <w:rFonts w:ascii="Times New Roman" w:eastAsia="Times New Roman" w:hAnsi="Times New Roman" w:cs="Times New Roman"/>
                <w:b/>
                <w:bCs/>
                <w:color w:val="000000"/>
                <w:sz w:val="20"/>
                <w:szCs w:val="20"/>
              </w:rPr>
              <w:t>2030</w:t>
            </w:r>
          </w:p>
        </w:tc>
        <w:tc>
          <w:tcPr>
            <w:tcW w:w="616" w:type="dxa"/>
            <w:tcBorders>
              <w:top w:val="nil"/>
              <w:left w:val="nil"/>
              <w:bottom w:val="single" w:sz="4" w:space="0" w:color="auto"/>
              <w:right w:val="nil"/>
            </w:tcBorders>
            <w:shd w:val="clear" w:color="auto" w:fill="auto"/>
            <w:noWrap/>
            <w:vAlign w:val="center"/>
            <w:hideMark/>
          </w:tcPr>
          <w:p w:rsidR="003A69C7" w:rsidRPr="005912EA" w:rsidRDefault="003A69C7" w:rsidP="004558FB">
            <w:pPr>
              <w:spacing w:after="0" w:line="240" w:lineRule="auto"/>
              <w:jc w:val="center"/>
              <w:rPr>
                <w:rFonts w:ascii="Times New Roman" w:eastAsia="Times New Roman" w:hAnsi="Times New Roman" w:cs="Times New Roman"/>
                <w:b/>
                <w:bCs/>
                <w:color w:val="000000"/>
                <w:sz w:val="20"/>
                <w:szCs w:val="20"/>
              </w:rPr>
            </w:pPr>
            <w:r w:rsidRPr="005912EA">
              <w:rPr>
                <w:rFonts w:ascii="Times New Roman" w:eastAsia="Times New Roman" w:hAnsi="Times New Roman" w:cs="Times New Roman"/>
                <w:b/>
                <w:bCs/>
                <w:color w:val="000000"/>
                <w:sz w:val="20"/>
                <w:szCs w:val="20"/>
              </w:rPr>
              <w:t>2040</w:t>
            </w:r>
          </w:p>
        </w:tc>
        <w:tc>
          <w:tcPr>
            <w:tcW w:w="616" w:type="dxa"/>
            <w:tcBorders>
              <w:top w:val="nil"/>
              <w:left w:val="nil"/>
              <w:bottom w:val="single" w:sz="4" w:space="0" w:color="auto"/>
              <w:right w:val="nil"/>
            </w:tcBorders>
            <w:shd w:val="clear" w:color="auto" w:fill="auto"/>
            <w:noWrap/>
            <w:vAlign w:val="center"/>
            <w:hideMark/>
          </w:tcPr>
          <w:p w:rsidR="003A69C7" w:rsidRPr="005912EA" w:rsidRDefault="003A69C7" w:rsidP="004558FB">
            <w:pPr>
              <w:spacing w:after="0" w:line="240" w:lineRule="auto"/>
              <w:jc w:val="center"/>
              <w:rPr>
                <w:rFonts w:ascii="Times New Roman" w:eastAsia="Times New Roman" w:hAnsi="Times New Roman" w:cs="Times New Roman"/>
                <w:b/>
                <w:bCs/>
                <w:color w:val="000000"/>
                <w:sz w:val="20"/>
                <w:szCs w:val="20"/>
              </w:rPr>
            </w:pPr>
            <w:r w:rsidRPr="005912EA">
              <w:rPr>
                <w:rFonts w:ascii="Times New Roman" w:eastAsia="Times New Roman" w:hAnsi="Times New Roman" w:cs="Times New Roman"/>
                <w:b/>
                <w:bCs/>
                <w:color w:val="000000"/>
                <w:sz w:val="20"/>
                <w:szCs w:val="20"/>
              </w:rPr>
              <w:t>2050</w:t>
            </w:r>
          </w:p>
        </w:tc>
      </w:tr>
      <w:tr w:rsidR="003A69C7" w:rsidRPr="005912EA" w:rsidTr="00E67941">
        <w:trPr>
          <w:trHeight w:val="300"/>
          <w:jc w:val="center"/>
        </w:trPr>
        <w:tc>
          <w:tcPr>
            <w:tcW w:w="972" w:type="dxa"/>
            <w:vMerge w:val="restart"/>
            <w:tcBorders>
              <w:top w:val="nil"/>
              <w:left w:val="nil"/>
              <w:bottom w:val="nil"/>
              <w:right w:val="nil"/>
            </w:tcBorders>
            <w:shd w:val="clear" w:color="auto" w:fill="auto"/>
            <w:noWrap/>
            <w:vAlign w:val="center"/>
            <w:hideMark/>
          </w:tcPr>
          <w:p w:rsidR="003A69C7" w:rsidRPr="005912EA" w:rsidRDefault="003A69C7" w:rsidP="004558FB">
            <w:pPr>
              <w:spacing w:after="0" w:line="240" w:lineRule="auto"/>
              <w:jc w:val="center"/>
              <w:rPr>
                <w:rFonts w:ascii="Times New Roman" w:eastAsia="Times New Roman" w:hAnsi="Times New Roman" w:cs="Times New Roman"/>
                <w:sz w:val="20"/>
                <w:szCs w:val="20"/>
              </w:rPr>
            </w:pPr>
            <w:r w:rsidRPr="005912EA">
              <w:rPr>
                <w:rFonts w:ascii="Times New Roman" w:eastAsia="Times New Roman" w:hAnsi="Times New Roman" w:cs="Times New Roman"/>
                <w:sz w:val="20"/>
                <w:szCs w:val="20"/>
              </w:rPr>
              <w:t>USA</w:t>
            </w:r>
          </w:p>
        </w:tc>
        <w:tc>
          <w:tcPr>
            <w:tcW w:w="2740"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ethanol</w:t>
            </w:r>
          </w:p>
        </w:tc>
        <w:tc>
          <w:tcPr>
            <w:tcW w:w="616"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0.02</w:t>
            </w:r>
          </w:p>
        </w:tc>
        <w:tc>
          <w:tcPr>
            <w:tcW w:w="616"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0.21</w:t>
            </w:r>
          </w:p>
        </w:tc>
        <w:tc>
          <w:tcPr>
            <w:tcW w:w="616"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1.4</w:t>
            </w:r>
          </w:p>
        </w:tc>
        <w:tc>
          <w:tcPr>
            <w:tcW w:w="616"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2.7</w:t>
            </w:r>
          </w:p>
        </w:tc>
        <w:tc>
          <w:tcPr>
            <w:tcW w:w="616"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6.1</w:t>
            </w:r>
          </w:p>
        </w:tc>
        <w:tc>
          <w:tcPr>
            <w:tcW w:w="616"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9</w:t>
            </w:r>
          </w:p>
        </w:tc>
        <w:tc>
          <w:tcPr>
            <w:tcW w:w="616"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13</w:t>
            </w:r>
          </w:p>
        </w:tc>
      </w:tr>
      <w:tr w:rsidR="003A69C7" w:rsidRPr="005912EA" w:rsidTr="00E67941">
        <w:trPr>
          <w:trHeight w:val="300"/>
          <w:jc w:val="center"/>
        </w:trPr>
        <w:tc>
          <w:tcPr>
            <w:tcW w:w="972" w:type="dxa"/>
            <w:vMerge/>
            <w:tcBorders>
              <w:top w:val="nil"/>
              <w:left w:val="nil"/>
              <w:bottom w:val="nil"/>
              <w:right w:val="nil"/>
            </w:tcBorders>
            <w:vAlign w:val="center"/>
            <w:hideMark/>
          </w:tcPr>
          <w:p w:rsidR="003A69C7" w:rsidRPr="005912EA" w:rsidRDefault="003A69C7" w:rsidP="004558FB">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biodiesel/renewable diesel</w:t>
            </w:r>
          </w:p>
        </w:tc>
        <w:tc>
          <w:tcPr>
            <w:tcW w:w="616"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0</w:t>
            </w:r>
          </w:p>
        </w:tc>
        <w:tc>
          <w:tcPr>
            <w:tcW w:w="616"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0</w:t>
            </w:r>
          </w:p>
        </w:tc>
        <w:tc>
          <w:tcPr>
            <w:tcW w:w="616"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0.10</w:t>
            </w:r>
          </w:p>
        </w:tc>
        <w:tc>
          <w:tcPr>
            <w:tcW w:w="616"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0.18</w:t>
            </w:r>
          </w:p>
        </w:tc>
        <w:tc>
          <w:tcPr>
            <w:tcW w:w="616"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0.60</w:t>
            </w:r>
          </w:p>
        </w:tc>
        <w:tc>
          <w:tcPr>
            <w:tcW w:w="616"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1.0</w:t>
            </w:r>
          </w:p>
        </w:tc>
        <w:tc>
          <w:tcPr>
            <w:tcW w:w="616"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1.4</w:t>
            </w:r>
          </w:p>
        </w:tc>
      </w:tr>
      <w:tr w:rsidR="003A69C7" w:rsidRPr="005912EA" w:rsidTr="00E67941">
        <w:trPr>
          <w:trHeight w:val="300"/>
          <w:jc w:val="center"/>
        </w:trPr>
        <w:tc>
          <w:tcPr>
            <w:tcW w:w="972" w:type="dxa"/>
            <w:vMerge w:val="restart"/>
            <w:tcBorders>
              <w:top w:val="nil"/>
              <w:left w:val="nil"/>
              <w:bottom w:val="single" w:sz="4" w:space="0" w:color="000000"/>
              <w:right w:val="nil"/>
            </w:tcBorders>
            <w:shd w:val="clear" w:color="auto" w:fill="auto"/>
            <w:noWrap/>
            <w:vAlign w:val="center"/>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ROW</w:t>
            </w:r>
          </w:p>
        </w:tc>
        <w:tc>
          <w:tcPr>
            <w:tcW w:w="2740"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ethanol</w:t>
            </w:r>
          </w:p>
        </w:tc>
        <w:tc>
          <w:tcPr>
            <w:tcW w:w="616"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0.04</w:t>
            </w:r>
          </w:p>
        </w:tc>
        <w:tc>
          <w:tcPr>
            <w:tcW w:w="616"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0.38</w:t>
            </w:r>
          </w:p>
        </w:tc>
        <w:tc>
          <w:tcPr>
            <w:tcW w:w="616"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1.7</w:t>
            </w:r>
          </w:p>
        </w:tc>
        <w:tc>
          <w:tcPr>
            <w:tcW w:w="616"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3.3</w:t>
            </w:r>
          </w:p>
        </w:tc>
        <w:tc>
          <w:tcPr>
            <w:tcW w:w="616"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5.4</w:t>
            </w:r>
          </w:p>
        </w:tc>
        <w:tc>
          <w:tcPr>
            <w:tcW w:w="616"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7.5</w:t>
            </w:r>
          </w:p>
        </w:tc>
        <w:tc>
          <w:tcPr>
            <w:tcW w:w="616" w:type="dxa"/>
            <w:tcBorders>
              <w:top w:val="nil"/>
              <w:left w:val="nil"/>
              <w:bottom w:val="nil"/>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9.6</w:t>
            </w:r>
          </w:p>
        </w:tc>
      </w:tr>
      <w:tr w:rsidR="003A69C7" w:rsidRPr="005912EA" w:rsidTr="00E67941">
        <w:trPr>
          <w:trHeight w:val="300"/>
          <w:jc w:val="center"/>
        </w:trPr>
        <w:tc>
          <w:tcPr>
            <w:tcW w:w="972" w:type="dxa"/>
            <w:vMerge/>
            <w:tcBorders>
              <w:top w:val="nil"/>
              <w:left w:val="nil"/>
              <w:bottom w:val="single" w:sz="4" w:space="0" w:color="000000"/>
              <w:right w:val="nil"/>
            </w:tcBorders>
            <w:vAlign w:val="center"/>
            <w:hideMark/>
          </w:tcPr>
          <w:p w:rsidR="003A69C7" w:rsidRPr="005912EA" w:rsidRDefault="003A69C7" w:rsidP="004558FB">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single" w:sz="4" w:space="0" w:color="auto"/>
              <w:right w:val="nil"/>
            </w:tcBorders>
            <w:shd w:val="clear" w:color="auto" w:fill="auto"/>
            <w:noWrap/>
            <w:vAlign w:val="bottom"/>
            <w:hideMark/>
          </w:tcPr>
          <w:p w:rsidR="003A69C7" w:rsidRPr="005912EA" w:rsidRDefault="003A69C7" w:rsidP="004558FB">
            <w:pPr>
              <w:spacing w:after="0" w:line="240" w:lineRule="auto"/>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biodiesel/renewable diesel</w:t>
            </w:r>
          </w:p>
        </w:tc>
        <w:tc>
          <w:tcPr>
            <w:tcW w:w="616" w:type="dxa"/>
            <w:tcBorders>
              <w:top w:val="nil"/>
              <w:left w:val="nil"/>
              <w:bottom w:val="single" w:sz="4" w:space="0" w:color="auto"/>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0.00</w:t>
            </w:r>
          </w:p>
        </w:tc>
        <w:tc>
          <w:tcPr>
            <w:tcW w:w="616" w:type="dxa"/>
            <w:tcBorders>
              <w:top w:val="nil"/>
              <w:left w:val="nil"/>
              <w:bottom w:val="single" w:sz="4" w:space="0" w:color="auto"/>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0.03</w:t>
            </w:r>
          </w:p>
        </w:tc>
        <w:tc>
          <w:tcPr>
            <w:tcW w:w="616" w:type="dxa"/>
            <w:tcBorders>
              <w:top w:val="nil"/>
              <w:left w:val="nil"/>
              <w:bottom w:val="single" w:sz="4" w:space="0" w:color="auto"/>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0.65</w:t>
            </w:r>
          </w:p>
        </w:tc>
        <w:tc>
          <w:tcPr>
            <w:tcW w:w="616" w:type="dxa"/>
            <w:tcBorders>
              <w:top w:val="nil"/>
              <w:left w:val="nil"/>
              <w:bottom w:val="single" w:sz="4" w:space="0" w:color="auto"/>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2.1</w:t>
            </w:r>
          </w:p>
        </w:tc>
        <w:tc>
          <w:tcPr>
            <w:tcW w:w="616" w:type="dxa"/>
            <w:tcBorders>
              <w:top w:val="nil"/>
              <w:left w:val="nil"/>
              <w:bottom w:val="single" w:sz="4" w:space="0" w:color="auto"/>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9</w:t>
            </w:r>
          </w:p>
        </w:tc>
        <w:tc>
          <w:tcPr>
            <w:tcW w:w="616" w:type="dxa"/>
            <w:tcBorders>
              <w:top w:val="nil"/>
              <w:left w:val="nil"/>
              <w:bottom w:val="single" w:sz="4" w:space="0" w:color="auto"/>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16</w:t>
            </w:r>
          </w:p>
        </w:tc>
        <w:tc>
          <w:tcPr>
            <w:tcW w:w="616" w:type="dxa"/>
            <w:tcBorders>
              <w:top w:val="nil"/>
              <w:left w:val="nil"/>
              <w:bottom w:val="single" w:sz="4" w:space="0" w:color="auto"/>
              <w:right w:val="nil"/>
            </w:tcBorders>
            <w:shd w:val="clear" w:color="auto" w:fill="auto"/>
            <w:noWrap/>
            <w:vAlign w:val="bottom"/>
            <w:hideMark/>
          </w:tcPr>
          <w:p w:rsidR="003A69C7" w:rsidRPr="005912EA" w:rsidRDefault="003A69C7" w:rsidP="004558FB">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23</w:t>
            </w:r>
          </w:p>
        </w:tc>
      </w:tr>
    </w:tbl>
    <w:p w:rsidR="003A69C7" w:rsidRDefault="003A69C7" w:rsidP="003A69C7">
      <w:pPr>
        <w:rPr>
          <w:rFonts w:ascii="Times New Roman" w:hAnsi="Times New Roman" w:cs="Times New Roman"/>
          <w:sz w:val="20"/>
          <w:szCs w:val="20"/>
        </w:rPr>
      </w:pPr>
    </w:p>
    <w:p w:rsidR="0010300D" w:rsidRDefault="00D22F20" w:rsidP="0010300D">
      <w:pPr>
        <w:rPr>
          <w:rFonts w:ascii="Times New Roman" w:hAnsi="Times New Roman" w:cs="Times New Roman"/>
          <w:sz w:val="20"/>
          <w:szCs w:val="20"/>
        </w:rPr>
      </w:pPr>
      <w:r w:rsidRPr="00D22F20">
        <w:rPr>
          <w:rFonts w:ascii="Times New Roman" w:hAnsi="Times New Roman" w:cs="Times New Roman"/>
          <w:b/>
          <w:sz w:val="20"/>
          <w:szCs w:val="20"/>
        </w:rPr>
        <w:t>Table S9</w:t>
      </w:r>
      <w:r w:rsidR="00BC510A">
        <w:rPr>
          <w:rFonts w:ascii="Times New Roman" w:hAnsi="Times New Roman" w:cs="Times New Roman"/>
          <w:b/>
          <w:sz w:val="20"/>
          <w:szCs w:val="20"/>
        </w:rPr>
        <w:t>.</w:t>
      </w:r>
      <w:r w:rsidR="00596499" w:rsidRPr="009F6262">
        <w:rPr>
          <w:rFonts w:ascii="Times New Roman" w:hAnsi="Times New Roman" w:cs="Times New Roman"/>
          <w:b/>
          <w:sz w:val="20"/>
          <w:szCs w:val="20"/>
        </w:rPr>
        <w:t xml:space="preserve"> </w:t>
      </w:r>
      <w:r w:rsidR="00596499" w:rsidRPr="009F6262">
        <w:rPr>
          <w:rFonts w:ascii="Times New Roman" w:hAnsi="Times New Roman" w:cs="Times New Roman"/>
          <w:sz w:val="20"/>
          <w:szCs w:val="20"/>
        </w:rPr>
        <w:t>HB and HFB land demand from 1991-2050 in million ha/yr.</w:t>
      </w:r>
    </w:p>
    <w:tbl>
      <w:tblPr>
        <w:tblW w:w="7260" w:type="dxa"/>
        <w:jc w:val="center"/>
        <w:tblInd w:w="95" w:type="dxa"/>
        <w:tblLook w:val="04A0"/>
      </w:tblPr>
      <w:tblGrid>
        <w:gridCol w:w="972"/>
        <w:gridCol w:w="2740"/>
        <w:gridCol w:w="616"/>
        <w:gridCol w:w="616"/>
        <w:gridCol w:w="616"/>
        <w:gridCol w:w="616"/>
        <w:gridCol w:w="616"/>
        <w:gridCol w:w="616"/>
        <w:gridCol w:w="616"/>
      </w:tblGrid>
      <w:tr w:rsidR="005912EA" w:rsidRPr="005912EA" w:rsidTr="005912EA">
        <w:trPr>
          <w:trHeight w:val="300"/>
          <w:jc w:val="center"/>
        </w:trPr>
        <w:tc>
          <w:tcPr>
            <w:tcW w:w="880" w:type="dxa"/>
            <w:tcBorders>
              <w:top w:val="nil"/>
              <w:left w:val="nil"/>
              <w:bottom w:val="single" w:sz="4" w:space="0" w:color="auto"/>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b/>
                <w:bCs/>
                <w:color w:val="000000"/>
                <w:sz w:val="20"/>
                <w:szCs w:val="20"/>
              </w:rPr>
            </w:pPr>
            <w:r w:rsidRPr="005912EA">
              <w:rPr>
                <w:rFonts w:ascii="Times New Roman" w:eastAsia="Times New Roman" w:hAnsi="Times New Roman" w:cs="Times New Roman"/>
                <w:b/>
                <w:bCs/>
                <w:color w:val="000000"/>
                <w:sz w:val="20"/>
                <w:szCs w:val="20"/>
              </w:rPr>
              <w:t>Location</w:t>
            </w:r>
          </w:p>
        </w:tc>
        <w:tc>
          <w:tcPr>
            <w:tcW w:w="2740" w:type="dxa"/>
            <w:tcBorders>
              <w:top w:val="nil"/>
              <w:left w:val="nil"/>
              <w:bottom w:val="single" w:sz="4" w:space="0" w:color="auto"/>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b/>
                <w:bCs/>
                <w:color w:val="000000"/>
                <w:sz w:val="20"/>
                <w:szCs w:val="20"/>
              </w:rPr>
            </w:pPr>
            <w:r w:rsidRPr="005912EA">
              <w:rPr>
                <w:rFonts w:ascii="Times New Roman" w:eastAsia="Times New Roman" w:hAnsi="Times New Roman" w:cs="Times New Roman"/>
                <w:b/>
                <w:bCs/>
                <w:color w:val="000000"/>
                <w:sz w:val="20"/>
                <w:szCs w:val="20"/>
              </w:rPr>
              <w:t>Commodity Type</w:t>
            </w:r>
          </w:p>
        </w:tc>
        <w:tc>
          <w:tcPr>
            <w:tcW w:w="520" w:type="dxa"/>
            <w:tcBorders>
              <w:top w:val="nil"/>
              <w:left w:val="nil"/>
              <w:bottom w:val="single" w:sz="4" w:space="0" w:color="auto"/>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b/>
                <w:bCs/>
                <w:color w:val="000000"/>
                <w:sz w:val="20"/>
                <w:szCs w:val="20"/>
              </w:rPr>
            </w:pPr>
            <w:r w:rsidRPr="005912EA">
              <w:rPr>
                <w:rFonts w:ascii="Times New Roman" w:eastAsia="Times New Roman" w:hAnsi="Times New Roman" w:cs="Times New Roman"/>
                <w:b/>
                <w:bCs/>
                <w:color w:val="000000"/>
                <w:sz w:val="20"/>
                <w:szCs w:val="20"/>
              </w:rPr>
              <w:t>1991</w:t>
            </w:r>
          </w:p>
        </w:tc>
        <w:tc>
          <w:tcPr>
            <w:tcW w:w="520" w:type="dxa"/>
            <w:tcBorders>
              <w:top w:val="nil"/>
              <w:left w:val="nil"/>
              <w:bottom w:val="single" w:sz="4" w:space="0" w:color="auto"/>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b/>
                <w:bCs/>
                <w:color w:val="000000"/>
                <w:sz w:val="20"/>
                <w:szCs w:val="20"/>
              </w:rPr>
            </w:pPr>
            <w:r w:rsidRPr="005912EA">
              <w:rPr>
                <w:rFonts w:ascii="Times New Roman" w:eastAsia="Times New Roman" w:hAnsi="Times New Roman" w:cs="Times New Roman"/>
                <w:b/>
                <w:bCs/>
                <w:color w:val="000000"/>
                <w:sz w:val="20"/>
                <w:szCs w:val="20"/>
              </w:rPr>
              <w:t>2000</w:t>
            </w:r>
          </w:p>
        </w:tc>
        <w:tc>
          <w:tcPr>
            <w:tcW w:w="520" w:type="dxa"/>
            <w:tcBorders>
              <w:top w:val="nil"/>
              <w:left w:val="nil"/>
              <w:bottom w:val="single" w:sz="4" w:space="0" w:color="auto"/>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b/>
                <w:bCs/>
                <w:color w:val="000000"/>
                <w:sz w:val="20"/>
                <w:szCs w:val="20"/>
              </w:rPr>
            </w:pPr>
            <w:r w:rsidRPr="005912EA">
              <w:rPr>
                <w:rFonts w:ascii="Times New Roman" w:eastAsia="Times New Roman" w:hAnsi="Times New Roman" w:cs="Times New Roman"/>
                <w:b/>
                <w:bCs/>
                <w:color w:val="000000"/>
                <w:sz w:val="20"/>
                <w:szCs w:val="20"/>
              </w:rPr>
              <w:t>2010</w:t>
            </w:r>
          </w:p>
        </w:tc>
        <w:tc>
          <w:tcPr>
            <w:tcW w:w="520" w:type="dxa"/>
            <w:tcBorders>
              <w:top w:val="nil"/>
              <w:left w:val="nil"/>
              <w:bottom w:val="single" w:sz="4" w:space="0" w:color="auto"/>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b/>
                <w:bCs/>
                <w:color w:val="000000"/>
                <w:sz w:val="20"/>
                <w:szCs w:val="20"/>
              </w:rPr>
            </w:pPr>
            <w:r w:rsidRPr="005912EA">
              <w:rPr>
                <w:rFonts w:ascii="Times New Roman" w:eastAsia="Times New Roman" w:hAnsi="Times New Roman" w:cs="Times New Roman"/>
                <w:b/>
                <w:bCs/>
                <w:color w:val="000000"/>
                <w:sz w:val="20"/>
                <w:szCs w:val="20"/>
              </w:rPr>
              <w:t>2020</w:t>
            </w:r>
          </w:p>
        </w:tc>
        <w:tc>
          <w:tcPr>
            <w:tcW w:w="520" w:type="dxa"/>
            <w:tcBorders>
              <w:top w:val="nil"/>
              <w:left w:val="nil"/>
              <w:bottom w:val="single" w:sz="4" w:space="0" w:color="auto"/>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b/>
                <w:bCs/>
                <w:color w:val="000000"/>
                <w:sz w:val="20"/>
                <w:szCs w:val="20"/>
              </w:rPr>
            </w:pPr>
            <w:r w:rsidRPr="005912EA">
              <w:rPr>
                <w:rFonts w:ascii="Times New Roman" w:eastAsia="Times New Roman" w:hAnsi="Times New Roman" w:cs="Times New Roman"/>
                <w:b/>
                <w:bCs/>
                <w:color w:val="000000"/>
                <w:sz w:val="20"/>
                <w:szCs w:val="20"/>
              </w:rPr>
              <w:t>2030</w:t>
            </w:r>
          </w:p>
        </w:tc>
        <w:tc>
          <w:tcPr>
            <w:tcW w:w="520" w:type="dxa"/>
            <w:tcBorders>
              <w:top w:val="nil"/>
              <w:left w:val="nil"/>
              <w:bottom w:val="single" w:sz="4" w:space="0" w:color="auto"/>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b/>
                <w:bCs/>
                <w:color w:val="000000"/>
                <w:sz w:val="20"/>
                <w:szCs w:val="20"/>
              </w:rPr>
            </w:pPr>
            <w:r w:rsidRPr="005912EA">
              <w:rPr>
                <w:rFonts w:ascii="Times New Roman" w:eastAsia="Times New Roman" w:hAnsi="Times New Roman" w:cs="Times New Roman"/>
                <w:b/>
                <w:bCs/>
                <w:color w:val="000000"/>
                <w:sz w:val="20"/>
                <w:szCs w:val="20"/>
              </w:rPr>
              <w:t>2040</w:t>
            </w:r>
          </w:p>
        </w:tc>
        <w:tc>
          <w:tcPr>
            <w:tcW w:w="520" w:type="dxa"/>
            <w:tcBorders>
              <w:top w:val="nil"/>
              <w:left w:val="nil"/>
              <w:bottom w:val="single" w:sz="4" w:space="0" w:color="auto"/>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b/>
                <w:bCs/>
                <w:color w:val="000000"/>
                <w:sz w:val="20"/>
                <w:szCs w:val="20"/>
              </w:rPr>
            </w:pPr>
            <w:r w:rsidRPr="005912EA">
              <w:rPr>
                <w:rFonts w:ascii="Times New Roman" w:eastAsia="Times New Roman" w:hAnsi="Times New Roman" w:cs="Times New Roman"/>
                <w:b/>
                <w:bCs/>
                <w:color w:val="000000"/>
                <w:sz w:val="20"/>
                <w:szCs w:val="20"/>
              </w:rPr>
              <w:t>2050</w:t>
            </w:r>
          </w:p>
        </w:tc>
      </w:tr>
      <w:tr w:rsidR="005912EA" w:rsidRPr="005912EA" w:rsidTr="005912EA">
        <w:trPr>
          <w:trHeight w:val="300"/>
          <w:jc w:val="center"/>
        </w:trPr>
        <w:tc>
          <w:tcPr>
            <w:tcW w:w="880" w:type="dxa"/>
            <w:vMerge w:val="restart"/>
            <w:tcBorders>
              <w:top w:val="nil"/>
              <w:left w:val="nil"/>
              <w:bottom w:val="nil"/>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sz w:val="20"/>
                <w:szCs w:val="20"/>
              </w:rPr>
            </w:pPr>
            <w:r w:rsidRPr="005912EA">
              <w:rPr>
                <w:rFonts w:ascii="Times New Roman" w:eastAsia="Times New Roman" w:hAnsi="Times New Roman" w:cs="Times New Roman"/>
                <w:sz w:val="20"/>
                <w:szCs w:val="20"/>
              </w:rPr>
              <w:t>USA</w:t>
            </w:r>
          </w:p>
        </w:tc>
        <w:tc>
          <w:tcPr>
            <w:tcW w:w="2740" w:type="dxa"/>
            <w:tcBorders>
              <w:top w:val="nil"/>
              <w:left w:val="nil"/>
              <w:bottom w:val="nil"/>
              <w:right w:val="nil"/>
            </w:tcBorders>
            <w:shd w:val="clear" w:color="auto" w:fill="auto"/>
            <w:noWrap/>
            <w:vAlign w:val="bottom"/>
            <w:hideMark/>
          </w:tcPr>
          <w:p w:rsidR="005912EA" w:rsidRPr="005912EA" w:rsidRDefault="005912EA" w:rsidP="005912EA">
            <w:pPr>
              <w:spacing w:after="0" w:line="240" w:lineRule="auto"/>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ethanol</w:t>
            </w:r>
          </w:p>
        </w:tc>
        <w:tc>
          <w:tcPr>
            <w:tcW w:w="520" w:type="dxa"/>
            <w:tcBorders>
              <w:top w:val="nil"/>
              <w:left w:val="nil"/>
              <w:bottom w:val="nil"/>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0.26</w:t>
            </w:r>
          </w:p>
        </w:tc>
        <w:tc>
          <w:tcPr>
            <w:tcW w:w="520" w:type="dxa"/>
            <w:tcBorders>
              <w:top w:val="nil"/>
              <w:left w:val="nil"/>
              <w:bottom w:val="nil"/>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2.3</w:t>
            </w:r>
          </w:p>
        </w:tc>
        <w:tc>
          <w:tcPr>
            <w:tcW w:w="520" w:type="dxa"/>
            <w:tcBorders>
              <w:top w:val="nil"/>
              <w:left w:val="nil"/>
              <w:bottom w:val="nil"/>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14</w:t>
            </w:r>
          </w:p>
        </w:tc>
        <w:tc>
          <w:tcPr>
            <w:tcW w:w="520" w:type="dxa"/>
            <w:tcBorders>
              <w:top w:val="nil"/>
              <w:left w:val="nil"/>
              <w:bottom w:val="nil"/>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24</w:t>
            </w:r>
          </w:p>
        </w:tc>
        <w:tc>
          <w:tcPr>
            <w:tcW w:w="520" w:type="dxa"/>
            <w:tcBorders>
              <w:top w:val="nil"/>
              <w:left w:val="nil"/>
              <w:bottom w:val="nil"/>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40</w:t>
            </w:r>
          </w:p>
        </w:tc>
        <w:tc>
          <w:tcPr>
            <w:tcW w:w="520" w:type="dxa"/>
            <w:tcBorders>
              <w:top w:val="nil"/>
              <w:left w:val="nil"/>
              <w:bottom w:val="nil"/>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53</w:t>
            </w:r>
          </w:p>
        </w:tc>
        <w:tc>
          <w:tcPr>
            <w:tcW w:w="520" w:type="dxa"/>
            <w:tcBorders>
              <w:top w:val="nil"/>
              <w:left w:val="nil"/>
              <w:bottom w:val="nil"/>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63</w:t>
            </w:r>
          </w:p>
        </w:tc>
      </w:tr>
      <w:tr w:rsidR="005912EA" w:rsidRPr="005912EA" w:rsidTr="005912EA">
        <w:trPr>
          <w:trHeight w:val="300"/>
          <w:jc w:val="center"/>
        </w:trPr>
        <w:tc>
          <w:tcPr>
            <w:tcW w:w="880" w:type="dxa"/>
            <w:vMerge/>
            <w:tcBorders>
              <w:top w:val="nil"/>
              <w:left w:val="nil"/>
              <w:bottom w:val="nil"/>
              <w:right w:val="nil"/>
            </w:tcBorders>
            <w:vAlign w:val="center"/>
            <w:hideMark/>
          </w:tcPr>
          <w:p w:rsidR="005912EA" w:rsidRPr="005912EA" w:rsidRDefault="005912EA" w:rsidP="005912EA">
            <w:pPr>
              <w:spacing w:after="0" w:line="240" w:lineRule="auto"/>
              <w:rPr>
                <w:rFonts w:ascii="Times New Roman" w:eastAsia="Times New Roman" w:hAnsi="Times New Roman" w:cs="Times New Roman"/>
                <w:sz w:val="20"/>
                <w:szCs w:val="20"/>
              </w:rPr>
            </w:pPr>
          </w:p>
        </w:tc>
        <w:tc>
          <w:tcPr>
            <w:tcW w:w="2740" w:type="dxa"/>
            <w:tcBorders>
              <w:top w:val="nil"/>
              <w:left w:val="nil"/>
              <w:bottom w:val="nil"/>
              <w:right w:val="nil"/>
            </w:tcBorders>
            <w:shd w:val="clear" w:color="auto" w:fill="auto"/>
            <w:noWrap/>
            <w:vAlign w:val="bottom"/>
            <w:hideMark/>
          </w:tcPr>
          <w:p w:rsidR="005912EA" w:rsidRPr="005912EA" w:rsidRDefault="005912EA" w:rsidP="005912EA">
            <w:pPr>
              <w:spacing w:after="0" w:line="240" w:lineRule="auto"/>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biodiesel/renewable diesel</w:t>
            </w:r>
          </w:p>
        </w:tc>
        <w:tc>
          <w:tcPr>
            <w:tcW w:w="520" w:type="dxa"/>
            <w:tcBorders>
              <w:top w:val="nil"/>
              <w:left w:val="nil"/>
              <w:bottom w:val="nil"/>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0</w:t>
            </w:r>
          </w:p>
        </w:tc>
        <w:tc>
          <w:tcPr>
            <w:tcW w:w="520" w:type="dxa"/>
            <w:tcBorders>
              <w:top w:val="nil"/>
              <w:left w:val="nil"/>
              <w:bottom w:val="nil"/>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0</w:t>
            </w:r>
          </w:p>
        </w:tc>
        <w:tc>
          <w:tcPr>
            <w:tcW w:w="520" w:type="dxa"/>
            <w:tcBorders>
              <w:top w:val="nil"/>
              <w:left w:val="nil"/>
              <w:bottom w:val="nil"/>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1.9</w:t>
            </w:r>
          </w:p>
        </w:tc>
        <w:tc>
          <w:tcPr>
            <w:tcW w:w="520" w:type="dxa"/>
            <w:tcBorders>
              <w:top w:val="nil"/>
              <w:left w:val="nil"/>
              <w:bottom w:val="nil"/>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3.4</w:t>
            </w:r>
          </w:p>
        </w:tc>
        <w:tc>
          <w:tcPr>
            <w:tcW w:w="520" w:type="dxa"/>
            <w:tcBorders>
              <w:top w:val="nil"/>
              <w:left w:val="nil"/>
              <w:bottom w:val="nil"/>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10</w:t>
            </w:r>
          </w:p>
        </w:tc>
        <w:tc>
          <w:tcPr>
            <w:tcW w:w="520" w:type="dxa"/>
            <w:tcBorders>
              <w:top w:val="nil"/>
              <w:left w:val="nil"/>
              <w:bottom w:val="nil"/>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16</w:t>
            </w:r>
          </w:p>
        </w:tc>
        <w:tc>
          <w:tcPr>
            <w:tcW w:w="520" w:type="dxa"/>
            <w:tcBorders>
              <w:top w:val="nil"/>
              <w:left w:val="nil"/>
              <w:bottom w:val="nil"/>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21</w:t>
            </w:r>
          </w:p>
        </w:tc>
      </w:tr>
      <w:tr w:rsidR="005912EA" w:rsidRPr="005912EA" w:rsidTr="005912EA">
        <w:trPr>
          <w:trHeight w:val="300"/>
          <w:jc w:val="center"/>
        </w:trPr>
        <w:tc>
          <w:tcPr>
            <w:tcW w:w="880" w:type="dxa"/>
            <w:vMerge w:val="restart"/>
            <w:tcBorders>
              <w:top w:val="nil"/>
              <w:left w:val="nil"/>
              <w:bottom w:val="single" w:sz="4" w:space="0" w:color="000000"/>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ROW</w:t>
            </w:r>
          </w:p>
        </w:tc>
        <w:tc>
          <w:tcPr>
            <w:tcW w:w="2740" w:type="dxa"/>
            <w:tcBorders>
              <w:top w:val="nil"/>
              <w:left w:val="nil"/>
              <w:bottom w:val="nil"/>
              <w:right w:val="nil"/>
            </w:tcBorders>
            <w:shd w:val="clear" w:color="auto" w:fill="auto"/>
            <w:noWrap/>
            <w:vAlign w:val="bottom"/>
            <w:hideMark/>
          </w:tcPr>
          <w:p w:rsidR="005912EA" w:rsidRPr="005912EA" w:rsidRDefault="005912EA" w:rsidP="005912EA">
            <w:pPr>
              <w:spacing w:after="0" w:line="240" w:lineRule="auto"/>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ethanol</w:t>
            </w:r>
          </w:p>
        </w:tc>
        <w:tc>
          <w:tcPr>
            <w:tcW w:w="520" w:type="dxa"/>
            <w:tcBorders>
              <w:top w:val="nil"/>
              <w:left w:val="nil"/>
              <w:bottom w:val="nil"/>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0.64</w:t>
            </w:r>
          </w:p>
        </w:tc>
        <w:tc>
          <w:tcPr>
            <w:tcW w:w="520" w:type="dxa"/>
            <w:tcBorders>
              <w:top w:val="nil"/>
              <w:left w:val="nil"/>
              <w:bottom w:val="nil"/>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5.7</w:t>
            </w:r>
          </w:p>
        </w:tc>
        <w:tc>
          <w:tcPr>
            <w:tcW w:w="520" w:type="dxa"/>
            <w:tcBorders>
              <w:top w:val="nil"/>
              <w:left w:val="nil"/>
              <w:bottom w:val="nil"/>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18</w:t>
            </w:r>
          </w:p>
        </w:tc>
        <w:tc>
          <w:tcPr>
            <w:tcW w:w="520" w:type="dxa"/>
            <w:tcBorders>
              <w:top w:val="nil"/>
              <w:left w:val="nil"/>
              <w:bottom w:val="nil"/>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38</w:t>
            </w:r>
          </w:p>
        </w:tc>
        <w:tc>
          <w:tcPr>
            <w:tcW w:w="520" w:type="dxa"/>
            <w:tcBorders>
              <w:top w:val="nil"/>
              <w:left w:val="nil"/>
              <w:bottom w:val="nil"/>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49</w:t>
            </w:r>
          </w:p>
        </w:tc>
        <w:tc>
          <w:tcPr>
            <w:tcW w:w="520" w:type="dxa"/>
            <w:tcBorders>
              <w:top w:val="nil"/>
              <w:left w:val="nil"/>
              <w:bottom w:val="nil"/>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58</w:t>
            </w:r>
          </w:p>
        </w:tc>
        <w:tc>
          <w:tcPr>
            <w:tcW w:w="520" w:type="dxa"/>
            <w:tcBorders>
              <w:top w:val="nil"/>
              <w:left w:val="nil"/>
              <w:bottom w:val="nil"/>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65</w:t>
            </w:r>
          </w:p>
        </w:tc>
      </w:tr>
      <w:tr w:rsidR="005912EA" w:rsidRPr="005912EA" w:rsidTr="005912EA">
        <w:trPr>
          <w:trHeight w:val="300"/>
          <w:jc w:val="center"/>
        </w:trPr>
        <w:tc>
          <w:tcPr>
            <w:tcW w:w="880" w:type="dxa"/>
            <w:vMerge/>
            <w:tcBorders>
              <w:top w:val="nil"/>
              <w:left w:val="nil"/>
              <w:bottom w:val="single" w:sz="4" w:space="0" w:color="000000"/>
              <w:right w:val="nil"/>
            </w:tcBorders>
            <w:vAlign w:val="center"/>
            <w:hideMark/>
          </w:tcPr>
          <w:p w:rsidR="005912EA" w:rsidRPr="005912EA" w:rsidRDefault="005912EA" w:rsidP="005912EA">
            <w:pPr>
              <w:spacing w:after="0" w:line="240" w:lineRule="auto"/>
              <w:rPr>
                <w:rFonts w:ascii="Times New Roman" w:eastAsia="Times New Roman" w:hAnsi="Times New Roman" w:cs="Times New Roman"/>
                <w:color w:val="000000"/>
                <w:sz w:val="20"/>
                <w:szCs w:val="20"/>
              </w:rPr>
            </w:pPr>
          </w:p>
        </w:tc>
        <w:tc>
          <w:tcPr>
            <w:tcW w:w="2740" w:type="dxa"/>
            <w:tcBorders>
              <w:top w:val="nil"/>
              <w:left w:val="nil"/>
              <w:bottom w:val="single" w:sz="4" w:space="0" w:color="auto"/>
              <w:right w:val="nil"/>
            </w:tcBorders>
            <w:shd w:val="clear" w:color="auto" w:fill="auto"/>
            <w:noWrap/>
            <w:vAlign w:val="bottom"/>
            <w:hideMark/>
          </w:tcPr>
          <w:p w:rsidR="005912EA" w:rsidRPr="005912EA" w:rsidRDefault="005912EA" w:rsidP="005912EA">
            <w:pPr>
              <w:spacing w:after="0" w:line="240" w:lineRule="auto"/>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biodiesel/renewable diesel</w:t>
            </w:r>
          </w:p>
        </w:tc>
        <w:tc>
          <w:tcPr>
            <w:tcW w:w="520" w:type="dxa"/>
            <w:tcBorders>
              <w:top w:val="nil"/>
              <w:left w:val="nil"/>
              <w:bottom w:val="single" w:sz="4" w:space="0" w:color="auto"/>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0.14</w:t>
            </w:r>
          </w:p>
        </w:tc>
        <w:tc>
          <w:tcPr>
            <w:tcW w:w="520" w:type="dxa"/>
            <w:tcBorders>
              <w:top w:val="nil"/>
              <w:left w:val="nil"/>
              <w:bottom w:val="single" w:sz="4" w:space="0" w:color="auto"/>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1.2</w:t>
            </w:r>
          </w:p>
        </w:tc>
        <w:tc>
          <w:tcPr>
            <w:tcW w:w="520" w:type="dxa"/>
            <w:tcBorders>
              <w:top w:val="nil"/>
              <w:left w:val="nil"/>
              <w:bottom w:val="single" w:sz="4" w:space="0" w:color="auto"/>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22</w:t>
            </w:r>
          </w:p>
        </w:tc>
        <w:tc>
          <w:tcPr>
            <w:tcW w:w="520" w:type="dxa"/>
            <w:tcBorders>
              <w:top w:val="nil"/>
              <w:left w:val="nil"/>
              <w:bottom w:val="single" w:sz="4" w:space="0" w:color="auto"/>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63</w:t>
            </w:r>
          </w:p>
        </w:tc>
        <w:tc>
          <w:tcPr>
            <w:tcW w:w="520" w:type="dxa"/>
            <w:tcBorders>
              <w:top w:val="nil"/>
              <w:left w:val="nil"/>
              <w:bottom w:val="single" w:sz="4" w:space="0" w:color="auto"/>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250</w:t>
            </w:r>
          </w:p>
        </w:tc>
        <w:tc>
          <w:tcPr>
            <w:tcW w:w="520" w:type="dxa"/>
            <w:tcBorders>
              <w:top w:val="nil"/>
              <w:left w:val="nil"/>
              <w:bottom w:val="single" w:sz="4" w:space="0" w:color="auto"/>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408</w:t>
            </w:r>
          </w:p>
        </w:tc>
        <w:tc>
          <w:tcPr>
            <w:tcW w:w="520" w:type="dxa"/>
            <w:tcBorders>
              <w:top w:val="nil"/>
              <w:left w:val="nil"/>
              <w:bottom w:val="single" w:sz="4" w:space="0" w:color="auto"/>
              <w:right w:val="nil"/>
            </w:tcBorders>
            <w:shd w:val="clear" w:color="auto" w:fill="auto"/>
            <w:noWrap/>
            <w:vAlign w:val="center"/>
            <w:hideMark/>
          </w:tcPr>
          <w:p w:rsidR="005912EA" w:rsidRPr="005912EA" w:rsidRDefault="005912EA" w:rsidP="005912EA">
            <w:pPr>
              <w:spacing w:after="0" w:line="240" w:lineRule="auto"/>
              <w:jc w:val="center"/>
              <w:rPr>
                <w:rFonts w:ascii="Times New Roman" w:eastAsia="Times New Roman" w:hAnsi="Times New Roman" w:cs="Times New Roman"/>
                <w:color w:val="000000"/>
                <w:sz w:val="20"/>
                <w:szCs w:val="20"/>
              </w:rPr>
            </w:pPr>
            <w:r w:rsidRPr="005912EA">
              <w:rPr>
                <w:rFonts w:ascii="Times New Roman" w:eastAsia="Times New Roman" w:hAnsi="Times New Roman" w:cs="Times New Roman"/>
                <w:color w:val="000000"/>
                <w:sz w:val="20"/>
                <w:szCs w:val="20"/>
              </w:rPr>
              <w:t>543</w:t>
            </w:r>
          </w:p>
        </w:tc>
      </w:tr>
    </w:tbl>
    <w:p w:rsidR="005912EA" w:rsidRDefault="005912EA" w:rsidP="0010300D">
      <w:pPr>
        <w:rPr>
          <w:rFonts w:ascii="Times New Roman" w:hAnsi="Times New Roman" w:cs="Times New Roman"/>
          <w:b/>
          <w:bCs/>
          <w:sz w:val="22"/>
          <w:szCs w:val="22"/>
        </w:rPr>
      </w:pPr>
    </w:p>
    <w:p w:rsidR="00C647DE" w:rsidRDefault="00C647DE" w:rsidP="0010300D">
      <w:pPr>
        <w:rPr>
          <w:rFonts w:ascii="Times New Roman" w:hAnsi="Times New Roman" w:cs="Times New Roman"/>
          <w:b/>
          <w:bCs/>
          <w:sz w:val="22"/>
          <w:szCs w:val="22"/>
        </w:rPr>
      </w:pPr>
      <w:r w:rsidRPr="00C647DE">
        <w:rPr>
          <w:rFonts w:ascii="Times New Roman" w:hAnsi="Times New Roman" w:cs="Times New Roman"/>
          <w:b/>
          <w:bCs/>
          <w:sz w:val="22"/>
          <w:szCs w:val="22"/>
        </w:rPr>
        <w:t>Alternative Cellulosic Yield Assumptions</w:t>
      </w:r>
    </w:p>
    <w:p w:rsidR="008E4190" w:rsidRDefault="00DE2A96" w:rsidP="00C647DE">
      <w:pPr>
        <w:spacing w:after="0"/>
        <w:rPr>
          <w:rFonts w:ascii="Times New Roman" w:hAnsi="Times New Roman" w:cs="Times New Roman"/>
          <w:bCs/>
          <w:sz w:val="22"/>
          <w:szCs w:val="22"/>
        </w:rPr>
      </w:pPr>
      <w:r>
        <w:rPr>
          <w:rFonts w:ascii="Times New Roman" w:hAnsi="Times New Roman" w:cs="Times New Roman"/>
          <w:bCs/>
          <w:sz w:val="22"/>
          <w:szCs w:val="22"/>
        </w:rPr>
        <w:t>A major limitation of our analysis is that w</w:t>
      </w:r>
      <w:r w:rsidR="00964229">
        <w:rPr>
          <w:rFonts w:ascii="Times New Roman" w:hAnsi="Times New Roman" w:cs="Times New Roman"/>
          <w:bCs/>
          <w:sz w:val="22"/>
          <w:szCs w:val="22"/>
        </w:rPr>
        <w:t xml:space="preserve">e </w:t>
      </w:r>
      <w:r w:rsidR="008E4190">
        <w:rPr>
          <w:rFonts w:ascii="Times New Roman" w:hAnsi="Times New Roman" w:cs="Times New Roman"/>
          <w:bCs/>
          <w:sz w:val="22"/>
          <w:szCs w:val="22"/>
        </w:rPr>
        <w:t xml:space="preserve">used aggregated average yields encompassing a wide regional variability and only examine one potential future </w:t>
      </w:r>
      <w:r>
        <w:rPr>
          <w:rFonts w:ascii="Times New Roman" w:hAnsi="Times New Roman" w:cs="Times New Roman"/>
          <w:bCs/>
          <w:sz w:val="22"/>
          <w:szCs w:val="22"/>
        </w:rPr>
        <w:t xml:space="preserve">for the yields </w:t>
      </w:r>
      <w:r w:rsidR="008E4190">
        <w:rPr>
          <w:rFonts w:ascii="Times New Roman" w:hAnsi="Times New Roman" w:cs="Times New Roman"/>
          <w:bCs/>
          <w:sz w:val="22"/>
          <w:szCs w:val="22"/>
        </w:rPr>
        <w:t>agricultural commodities</w:t>
      </w:r>
      <w:r>
        <w:rPr>
          <w:rFonts w:ascii="Times New Roman" w:hAnsi="Times New Roman" w:cs="Times New Roman"/>
          <w:bCs/>
          <w:sz w:val="22"/>
          <w:szCs w:val="22"/>
        </w:rPr>
        <w:t>.</w:t>
      </w:r>
      <w:r w:rsidR="00A70C91">
        <w:rPr>
          <w:rFonts w:ascii="Times New Roman" w:hAnsi="Times New Roman" w:cs="Times New Roman"/>
          <w:bCs/>
          <w:sz w:val="22"/>
          <w:szCs w:val="22"/>
        </w:rPr>
        <w:t xml:space="preserve"> </w:t>
      </w:r>
      <w:r w:rsidR="008E4190">
        <w:rPr>
          <w:rFonts w:ascii="Times New Roman" w:hAnsi="Times New Roman" w:cs="Times New Roman"/>
          <w:bCs/>
          <w:sz w:val="22"/>
          <w:szCs w:val="22"/>
        </w:rPr>
        <w:t>Potential f</w:t>
      </w:r>
      <w:r w:rsidR="00A70C91">
        <w:rPr>
          <w:rFonts w:ascii="Times New Roman" w:hAnsi="Times New Roman" w:cs="Times New Roman"/>
          <w:bCs/>
          <w:sz w:val="22"/>
          <w:szCs w:val="22"/>
        </w:rPr>
        <w:t xml:space="preserve">uture yields </w:t>
      </w:r>
      <w:r w:rsidR="008E4190">
        <w:rPr>
          <w:rFonts w:ascii="Times New Roman" w:hAnsi="Times New Roman" w:cs="Times New Roman"/>
          <w:bCs/>
          <w:sz w:val="22"/>
          <w:szCs w:val="22"/>
        </w:rPr>
        <w:t>are</w:t>
      </w:r>
      <w:r w:rsidR="00A70C91">
        <w:rPr>
          <w:rFonts w:ascii="Times New Roman" w:hAnsi="Times New Roman" w:cs="Times New Roman"/>
          <w:bCs/>
          <w:sz w:val="22"/>
          <w:szCs w:val="22"/>
        </w:rPr>
        <w:t xml:space="preserve"> uncertain </w:t>
      </w:r>
      <w:r w:rsidR="008E4190">
        <w:rPr>
          <w:rFonts w:ascii="Times New Roman" w:hAnsi="Times New Roman" w:cs="Times New Roman"/>
          <w:bCs/>
          <w:sz w:val="22"/>
          <w:szCs w:val="22"/>
        </w:rPr>
        <w:t xml:space="preserve">and likely more variable </w:t>
      </w:r>
      <w:r w:rsidR="0070400D">
        <w:rPr>
          <w:rFonts w:ascii="Times New Roman" w:hAnsi="Times New Roman" w:cs="Times New Roman"/>
          <w:bCs/>
          <w:sz w:val="22"/>
          <w:szCs w:val="22"/>
        </w:rPr>
        <w:t xml:space="preserve">than </w:t>
      </w:r>
      <w:r w:rsidR="008E4190">
        <w:rPr>
          <w:rFonts w:ascii="Times New Roman" w:hAnsi="Times New Roman" w:cs="Times New Roman"/>
          <w:bCs/>
          <w:sz w:val="22"/>
          <w:szCs w:val="22"/>
        </w:rPr>
        <w:t xml:space="preserve">implied in this analysis </w:t>
      </w:r>
      <w:r w:rsidR="00A70C91">
        <w:rPr>
          <w:rFonts w:ascii="Times New Roman" w:hAnsi="Times New Roman" w:cs="Times New Roman"/>
          <w:bCs/>
          <w:sz w:val="22"/>
          <w:szCs w:val="22"/>
        </w:rPr>
        <w:t>due to factors such as</w:t>
      </w:r>
      <w:r w:rsidR="008E4190">
        <w:rPr>
          <w:rFonts w:ascii="Times New Roman" w:hAnsi="Times New Roman" w:cs="Times New Roman"/>
          <w:bCs/>
          <w:sz w:val="22"/>
          <w:szCs w:val="22"/>
        </w:rPr>
        <w:t>:</w:t>
      </w:r>
    </w:p>
    <w:p w:rsidR="00347C61" w:rsidRDefault="00347C61" w:rsidP="00C647DE">
      <w:pPr>
        <w:spacing w:after="0"/>
        <w:rPr>
          <w:rFonts w:ascii="Times New Roman" w:hAnsi="Times New Roman" w:cs="Times New Roman"/>
          <w:bCs/>
          <w:sz w:val="22"/>
          <w:szCs w:val="22"/>
        </w:rPr>
      </w:pPr>
    </w:p>
    <w:p w:rsidR="004D78C7" w:rsidRDefault="008E4190">
      <w:pPr>
        <w:pStyle w:val="ListParagraph"/>
        <w:numPr>
          <w:ilvl w:val="0"/>
          <w:numId w:val="7"/>
        </w:numPr>
        <w:spacing w:after="0"/>
        <w:rPr>
          <w:rFonts w:ascii="Times New Roman" w:hAnsi="Times New Roman" w:cs="Times New Roman"/>
          <w:bCs/>
          <w:sz w:val="22"/>
          <w:szCs w:val="22"/>
        </w:rPr>
      </w:pPr>
      <w:r>
        <w:rPr>
          <w:rFonts w:ascii="Times New Roman" w:hAnsi="Times New Roman" w:cs="Times New Roman"/>
          <w:bCs/>
          <w:sz w:val="22"/>
          <w:szCs w:val="22"/>
        </w:rPr>
        <w:t>C</w:t>
      </w:r>
      <w:r w:rsidR="00D06A98" w:rsidRPr="00D06A98">
        <w:rPr>
          <w:rFonts w:ascii="Times New Roman" w:hAnsi="Times New Roman" w:cs="Times New Roman"/>
          <w:bCs/>
          <w:sz w:val="22"/>
          <w:szCs w:val="22"/>
        </w:rPr>
        <w:t>limate</w:t>
      </w:r>
      <w:r>
        <w:rPr>
          <w:rFonts w:ascii="Times New Roman" w:hAnsi="Times New Roman" w:cs="Times New Roman"/>
          <w:bCs/>
          <w:sz w:val="22"/>
          <w:szCs w:val="22"/>
        </w:rPr>
        <w:t xml:space="preserve"> change and related </w:t>
      </w:r>
      <w:r w:rsidR="00DE2A96">
        <w:rPr>
          <w:rFonts w:ascii="Times New Roman" w:hAnsi="Times New Roman" w:cs="Times New Roman"/>
          <w:bCs/>
          <w:sz w:val="22"/>
          <w:szCs w:val="22"/>
        </w:rPr>
        <w:t xml:space="preserve">extreme </w:t>
      </w:r>
      <w:r>
        <w:rPr>
          <w:rFonts w:ascii="Times New Roman" w:hAnsi="Times New Roman" w:cs="Times New Roman"/>
          <w:bCs/>
          <w:sz w:val="22"/>
          <w:szCs w:val="22"/>
        </w:rPr>
        <w:t>weather events</w:t>
      </w:r>
      <w:r w:rsidR="0070400D">
        <w:rPr>
          <w:rFonts w:ascii="Times New Roman" w:hAnsi="Times New Roman" w:cs="Times New Roman"/>
          <w:bCs/>
          <w:sz w:val="22"/>
          <w:szCs w:val="22"/>
        </w:rPr>
        <w:t>,</w:t>
      </w:r>
      <w:r>
        <w:rPr>
          <w:rFonts w:ascii="Times New Roman" w:hAnsi="Times New Roman" w:cs="Times New Roman"/>
          <w:bCs/>
          <w:sz w:val="22"/>
          <w:szCs w:val="22"/>
        </w:rPr>
        <w:t xml:space="preserve"> such as drought</w:t>
      </w:r>
      <w:r w:rsidR="0070400D">
        <w:rPr>
          <w:rFonts w:ascii="Times New Roman" w:hAnsi="Times New Roman" w:cs="Times New Roman"/>
          <w:bCs/>
          <w:sz w:val="22"/>
          <w:szCs w:val="22"/>
        </w:rPr>
        <w:t>.</w:t>
      </w:r>
    </w:p>
    <w:p w:rsidR="004D78C7" w:rsidRDefault="008E4190">
      <w:pPr>
        <w:pStyle w:val="ListParagraph"/>
        <w:numPr>
          <w:ilvl w:val="0"/>
          <w:numId w:val="7"/>
        </w:numPr>
        <w:spacing w:after="0"/>
        <w:rPr>
          <w:rFonts w:ascii="Times New Roman" w:hAnsi="Times New Roman" w:cs="Times New Roman"/>
          <w:bCs/>
          <w:sz w:val="22"/>
          <w:szCs w:val="22"/>
        </w:rPr>
      </w:pPr>
      <w:r>
        <w:rPr>
          <w:rFonts w:ascii="Times New Roman" w:hAnsi="Times New Roman" w:cs="Times New Roman"/>
          <w:bCs/>
          <w:sz w:val="22"/>
          <w:szCs w:val="22"/>
        </w:rPr>
        <w:t xml:space="preserve">Price responses in our </w:t>
      </w:r>
      <w:r w:rsidR="00D06A98" w:rsidRPr="00D06A98">
        <w:rPr>
          <w:rFonts w:ascii="Times New Roman" w:hAnsi="Times New Roman" w:cs="Times New Roman"/>
          <w:bCs/>
          <w:sz w:val="22"/>
          <w:szCs w:val="22"/>
        </w:rPr>
        <w:t>high demand</w:t>
      </w:r>
      <w:r>
        <w:rPr>
          <w:rFonts w:ascii="Times New Roman" w:hAnsi="Times New Roman" w:cs="Times New Roman"/>
          <w:bCs/>
          <w:sz w:val="22"/>
          <w:szCs w:val="22"/>
        </w:rPr>
        <w:t xml:space="preserve"> scenarios</w:t>
      </w:r>
      <w:r w:rsidR="00AC2F14">
        <w:rPr>
          <w:rFonts w:ascii="Times New Roman" w:hAnsi="Times New Roman" w:cs="Times New Roman"/>
          <w:bCs/>
          <w:sz w:val="22"/>
          <w:szCs w:val="22"/>
        </w:rPr>
        <w:t xml:space="preserve">, such as </w:t>
      </w:r>
      <w:r w:rsidR="00D06A98" w:rsidRPr="00D06A98">
        <w:rPr>
          <w:rFonts w:ascii="Times New Roman" w:hAnsi="Times New Roman" w:cs="Times New Roman"/>
          <w:bCs/>
          <w:sz w:val="22"/>
          <w:szCs w:val="22"/>
        </w:rPr>
        <w:t>intensification of the use of land or investment in agricul</w:t>
      </w:r>
      <w:r>
        <w:rPr>
          <w:rFonts w:ascii="Times New Roman" w:hAnsi="Times New Roman" w:cs="Times New Roman"/>
          <w:bCs/>
          <w:sz w:val="22"/>
          <w:szCs w:val="22"/>
        </w:rPr>
        <w:t>tural research and development</w:t>
      </w:r>
      <w:r w:rsidR="0070400D">
        <w:rPr>
          <w:rFonts w:ascii="Times New Roman" w:hAnsi="Times New Roman" w:cs="Times New Roman"/>
          <w:bCs/>
          <w:sz w:val="22"/>
          <w:szCs w:val="22"/>
        </w:rPr>
        <w:t>.</w:t>
      </w:r>
    </w:p>
    <w:p w:rsidR="004D78C7" w:rsidRDefault="008E4190">
      <w:pPr>
        <w:pStyle w:val="ListParagraph"/>
        <w:numPr>
          <w:ilvl w:val="0"/>
          <w:numId w:val="7"/>
        </w:numPr>
        <w:spacing w:after="0"/>
        <w:rPr>
          <w:rFonts w:ascii="Times New Roman" w:hAnsi="Times New Roman" w:cs="Times New Roman"/>
          <w:bCs/>
          <w:sz w:val="22"/>
          <w:szCs w:val="22"/>
        </w:rPr>
      </w:pPr>
      <w:r>
        <w:rPr>
          <w:rFonts w:ascii="Times New Roman" w:hAnsi="Times New Roman" w:cs="Times New Roman"/>
          <w:bCs/>
          <w:sz w:val="22"/>
          <w:szCs w:val="22"/>
        </w:rPr>
        <w:t xml:space="preserve">Alternative bioenergy technology and feedstock </w:t>
      </w:r>
      <w:r w:rsidR="005E22D1">
        <w:rPr>
          <w:rFonts w:ascii="Times New Roman" w:hAnsi="Times New Roman" w:cs="Times New Roman"/>
          <w:bCs/>
          <w:sz w:val="22"/>
          <w:szCs w:val="22"/>
        </w:rPr>
        <w:t>systems</w:t>
      </w:r>
      <w:r w:rsidR="00AC2F14">
        <w:rPr>
          <w:rFonts w:ascii="Times New Roman" w:hAnsi="Times New Roman" w:cs="Times New Roman"/>
          <w:bCs/>
          <w:sz w:val="22"/>
          <w:szCs w:val="22"/>
        </w:rPr>
        <w:t>,</w:t>
      </w:r>
      <w:r w:rsidR="005E22D1">
        <w:rPr>
          <w:rFonts w:ascii="Times New Roman" w:hAnsi="Times New Roman" w:cs="Times New Roman"/>
          <w:bCs/>
          <w:sz w:val="22"/>
          <w:szCs w:val="22"/>
        </w:rPr>
        <w:t xml:space="preserve"> </w:t>
      </w:r>
      <w:r w:rsidR="0070400D">
        <w:rPr>
          <w:rFonts w:ascii="Times New Roman" w:hAnsi="Times New Roman" w:cs="Times New Roman"/>
          <w:bCs/>
          <w:sz w:val="22"/>
          <w:szCs w:val="22"/>
        </w:rPr>
        <w:t xml:space="preserve">other than </w:t>
      </w:r>
      <w:r w:rsidR="00DE2A96">
        <w:rPr>
          <w:rFonts w:ascii="Times New Roman" w:hAnsi="Times New Roman" w:cs="Times New Roman"/>
          <w:bCs/>
          <w:sz w:val="22"/>
          <w:szCs w:val="22"/>
        </w:rPr>
        <w:t>those used in our projections</w:t>
      </w:r>
      <w:r w:rsidR="00347C61">
        <w:rPr>
          <w:rFonts w:ascii="Times New Roman" w:hAnsi="Times New Roman" w:cs="Times New Roman"/>
          <w:bCs/>
          <w:sz w:val="22"/>
          <w:szCs w:val="22"/>
        </w:rPr>
        <w:t>.</w:t>
      </w:r>
    </w:p>
    <w:p w:rsidR="00347C61" w:rsidRDefault="00347C61" w:rsidP="00347C61">
      <w:pPr>
        <w:pStyle w:val="ListParagraph"/>
        <w:spacing w:after="0"/>
        <w:rPr>
          <w:rFonts w:ascii="Times New Roman" w:hAnsi="Times New Roman" w:cs="Times New Roman"/>
          <w:bCs/>
          <w:sz w:val="22"/>
          <w:szCs w:val="22"/>
        </w:rPr>
      </w:pPr>
    </w:p>
    <w:p w:rsidR="004D78C7" w:rsidRDefault="005E22D1">
      <w:pPr>
        <w:pStyle w:val="ListParagraph"/>
        <w:spacing w:after="0"/>
        <w:ind w:left="0"/>
        <w:rPr>
          <w:rFonts w:ascii="Times New Roman" w:hAnsi="Times New Roman" w:cs="Times New Roman"/>
          <w:bCs/>
          <w:sz w:val="22"/>
          <w:szCs w:val="22"/>
        </w:rPr>
      </w:pPr>
      <w:r>
        <w:rPr>
          <w:rFonts w:ascii="Times New Roman" w:hAnsi="Times New Roman" w:cs="Times New Roman"/>
          <w:bCs/>
          <w:sz w:val="22"/>
          <w:szCs w:val="22"/>
        </w:rPr>
        <w:t xml:space="preserve">Consideration of alternative future yields </w:t>
      </w:r>
      <w:r w:rsidR="008E4190">
        <w:rPr>
          <w:rFonts w:ascii="Times New Roman" w:hAnsi="Times New Roman" w:cs="Times New Roman"/>
          <w:bCs/>
          <w:sz w:val="22"/>
          <w:szCs w:val="22"/>
        </w:rPr>
        <w:t>would</w:t>
      </w:r>
      <w:r>
        <w:rPr>
          <w:rFonts w:ascii="Times New Roman" w:hAnsi="Times New Roman" w:cs="Times New Roman"/>
          <w:bCs/>
          <w:sz w:val="22"/>
          <w:szCs w:val="22"/>
        </w:rPr>
        <w:t xml:space="preserve"> likely not have a major impact on the underlying</w:t>
      </w:r>
      <w:r w:rsidR="00D06A98" w:rsidRPr="00D06A98">
        <w:rPr>
          <w:rFonts w:ascii="Times New Roman" w:hAnsi="Times New Roman" w:cs="Times New Roman"/>
          <w:bCs/>
          <w:sz w:val="22"/>
          <w:szCs w:val="22"/>
        </w:rPr>
        <w:t xml:space="preserve"> dynamics evaluated in our results</w:t>
      </w:r>
      <w:r>
        <w:rPr>
          <w:rFonts w:ascii="Times New Roman" w:hAnsi="Times New Roman" w:cs="Times New Roman"/>
          <w:bCs/>
          <w:sz w:val="22"/>
          <w:szCs w:val="22"/>
        </w:rPr>
        <w:t>. Ho</w:t>
      </w:r>
      <w:r w:rsidR="00DE2A96">
        <w:rPr>
          <w:rFonts w:ascii="Times New Roman" w:hAnsi="Times New Roman" w:cs="Times New Roman"/>
          <w:bCs/>
          <w:sz w:val="22"/>
          <w:szCs w:val="22"/>
        </w:rPr>
        <w:t xml:space="preserve">wever, to better understand </w:t>
      </w:r>
      <w:r>
        <w:rPr>
          <w:rFonts w:ascii="Times New Roman" w:hAnsi="Times New Roman" w:cs="Times New Roman"/>
          <w:bCs/>
          <w:sz w:val="22"/>
          <w:szCs w:val="22"/>
        </w:rPr>
        <w:t xml:space="preserve">LUC </w:t>
      </w:r>
      <w:r w:rsidR="0070400D">
        <w:rPr>
          <w:rFonts w:ascii="Times New Roman" w:hAnsi="Times New Roman" w:cs="Times New Roman"/>
          <w:bCs/>
          <w:sz w:val="22"/>
          <w:szCs w:val="22"/>
        </w:rPr>
        <w:t xml:space="preserve">drivers, </w:t>
      </w:r>
      <w:r>
        <w:rPr>
          <w:rFonts w:ascii="Times New Roman" w:hAnsi="Times New Roman" w:cs="Times New Roman"/>
          <w:bCs/>
          <w:sz w:val="22"/>
          <w:szCs w:val="22"/>
        </w:rPr>
        <w:t>i</w:t>
      </w:r>
      <w:r w:rsidR="00D06A98" w:rsidRPr="00D06A98">
        <w:rPr>
          <w:rFonts w:ascii="Times New Roman" w:hAnsi="Times New Roman" w:cs="Times New Roman"/>
          <w:bCs/>
          <w:sz w:val="22"/>
          <w:szCs w:val="22"/>
        </w:rPr>
        <w:t>t is important to</w:t>
      </w:r>
      <w:r>
        <w:rPr>
          <w:rFonts w:ascii="Times New Roman" w:hAnsi="Times New Roman" w:cs="Times New Roman"/>
          <w:bCs/>
          <w:sz w:val="22"/>
          <w:szCs w:val="22"/>
        </w:rPr>
        <w:t xml:space="preserve"> at least</w:t>
      </w:r>
      <w:r w:rsidR="00D06A98" w:rsidRPr="00D06A98">
        <w:rPr>
          <w:rFonts w:ascii="Times New Roman" w:hAnsi="Times New Roman" w:cs="Times New Roman"/>
          <w:bCs/>
          <w:sz w:val="22"/>
          <w:szCs w:val="22"/>
        </w:rPr>
        <w:t xml:space="preserve"> understand th</w:t>
      </w:r>
      <w:r>
        <w:rPr>
          <w:rFonts w:ascii="Times New Roman" w:hAnsi="Times New Roman" w:cs="Times New Roman"/>
          <w:bCs/>
          <w:sz w:val="22"/>
          <w:szCs w:val="22"/>
        </w:rPr>
        <w:t>e potential magnitude of</w:t>
      </w:r>
      <w:r w:rsidR="00D06A98" w:rsidRPr="00D06A98">
        <w:rPr>
          <w:rFonts w:ascii="Times New Roman" w:hAnsi="Times New Roman" w:cs="Times New Roman"/>
          <w:bCs/>
          <w:sz w:val="22"/>
          <w:szCs w:val="22"/>
        </w:rPr>
        <w:t xml:space="preserve"> </w:t>
      </w:r>
      <w:r>
        <w:rPr>
          <w:rFonts w:ascii="Times New Roman" w:hAnsi="Times New Roman" w:cs="Times New Roman"/>
          <w:bCs/>
          <w:sz w:val="22"/>
          <w:szCs w:val="22"/>
        </w:rPr>
        <w:t xml:space="preserve">the effects of </w:t>
      </w:r>
      <w:r w:rsidR="00D06A98" w:rsidRPr="00D06A98">
        <w:rPr>
          <w:rFonts w:ascii="Times New Roman" w:hAnsi="Times New Roman" w:cs="Times New Roman"/>
          <w:bCs/>
          <w:sz w:val="22"/>
          <w:szCs w:val="22"/>
        </w:rPr>
        <w:t xml:space="preserve">alternative average yields </w:t>
      </w:r>
      <w:r>
        <w:rPr>
          <w:rFonts w:ascii="Times New Roman" w:hAnsi="Times New Roman" w:cs="Times New Roman"/>
          <w:bCs/>
          <w:sz w:val="22"/>
          <w:szCs w:val="22"/>
        </w:rPr>
        <w:t>on future food and fuel conditions</w:t>
      </w:r>
      <w:r w:rsidR="00D06A98" w:rsidRPr="00D06A98">
        <w:rPr>
          <w:rFonts w:ascii="Times New Roman" w:hAnsi="Times New Roman" w:cs="Times New Roman"/>
          <w:bCs/>
          <w:sz w:val="22"/>
          <w:szCs w:val="22"/>
        </w:rPr>
        <w:t xml:space="preserve">. </w:t>
      </w:r>
      <w:r>
        <w:rPr>
          <w:rFonts w:ascii="Times New Roman" w:hAnsi="Times New Roman" w:cs="Times New Roman"/>
          <w:bCs/>
          <w:sz w:val="22"/>
          <w:szCs w:val="22"/>
        </w:rPr>
        <w:t>The exploration of adding sophisticate</w:t>
      </w:r>
      <w:r w:rsidR="0070400D">
        <w:rPr>
          <w:rFonts w:ascii="Times New Roman" w:hAnsi="Times New Roman" w:cs="Times New Roman"/>
          <w:bCs/>
          <w:sz w:val="22"/>
          <w:szCs w:val="22"/>
        </w:rPr>
        <w:t>d</w:t>
      </w:r>
      <w:r>
        <w:rPr>
          <w:rFonts w:ascii="Times New Roman" w:hAnsi="Times New Roman" w:cs="Times New Roman"/>
          <w:bCs/>
          <w:sz w:val="22"/>
          <w:szCs w:val="22"/>
        </w:rPr>
        <w:t xml:space="preserve"> model structure</w:t>
      </w:r>
      <w:r w:rsidR="0070400D">
        <w:rPr>
          <w:rFonts w:ascii="Times New Roman" w:hAnsi="Times New Roman" w:cs="Times New Roman"/>
          <w:bCs/>
          <w:sz w:val="22"/>
          <w:szCs w:val="22"/>
        </w:rPr>
        <w:t>,</w:t>
      </w:r>
      <w:r>
        <w:rPr>
          <w:rFonts w:ascii="Times New Roman" w:hAnsi="Times New Roman" w:cs="Times New Roman"/>
          <w:bCs/>
          <w:sz w:val="22"/>
          <w:szCs w:val="22"/>
        </w:rPr>
        <w:t xml:space="preserve"> </w:t>
      </w:r>
      <w:r w:rsidR="00DE2A96">
        <w:rPr>
          <w:rFonts w:ascii="Times New Roman" w:hAnsi="Times New Roman" w:cs="Times New Roman"/>
          <w:bCs/>
          <w:sz w:val="22"/>
          <w:szCs w:val="22"/>
        </w:rPr>
        <w:t>allowing intensification of yields within</w:t>
      </w:r>
      <w:r>
        <w:rPr>
          <w:rFonts w:ascii="Times New Roman" w:hAnsi="Times New Roman" w:cs="Times New Roman"/>
          <w:bCs/>
          <w:sz w:val="22"/>
          <w:szCs w:val="22"/>
        </w:rPr>
        <w:t xml:space="preserve"> the model</w:t>
      </w:r>
      <w:r w:rsidR="0070400D">
        <w:rPr>
          <w:rFonts w:ascii="Times New Roman" w:hAnsi="Times New Roman" w:cs="Times New Roman"/>
          <w:bCs/>
          <w:sz w:val="22"/>
          <w:szCs w:val="22"/>
        </w:rPr>
        <w:t>,</w:t>
      </w:r>
      <w:r>
        <w:rPr>
          <w:rFonts w:ascii="Times New Roman" w:hAnsi="Times New Roman" w:cs="Times New Roman"/>
          <w:bCs/>
          <w:sz w:val="22"/>
          <w:szCs w:val="22"/>
        </w:rPr>
        <w:t xml:space="preserve"> </w:t>
      </w:r>
      <w:r w:rsidR="00DE2A96">
        <w:rPr>
          <w:rFonts w:ascii="Times New Roman" w:hAnsi="Times New Roman" w:cs="Times New Roman"/>
          <w:bCs/>
          <w:sz w:val="22"/>
          <w:szCs w:val="22"/>
        </w:rPr>
        <w:t>is beyond the scope of this analysis, but is a</w:t>
      </w:r>
      <w:r>
        <w:rPr>
          <w:rFonts w:ascii="Times New Roman" w:hAnsi="Times New Roman" w:cs="Times New Roman"/>
          <w:bCs/>
          <w:sz w:val="22"/>
          <w:szCs w:val="22"/>
        </w:rPr>
        <w:t xml:space="preserve"> potential </w:t>
      </w:r>
      <w:r w:rsidR="00DE2A96">
        <w:rPr>
          <w:rFonts w:ascii="Times New Roman" w:hAnsi="Times New Roman" w:cs="Times New Roman"/>
          <w:bCs/>
          <w:sz w:val="22"/>
          <w:szCs w:val="22"/>
        </w:rPr>
        <w:t>future option for the</w:t>
      </w:r>
      <w:r>
        <w:rPr>
          <w:rFonts w:ascii="Times New Roman" w:hAnsi="Times New Roman" w:cs="Times New Roman"/>
          <w:bCs/>
          <w:sz w:val="22"/>
          <w:szCs w:val="22"/>
        </w:rPr>
        <w:t xml:space="preserve"> </w:t>
      </w:r>
      <w:proofErr w:type="spellStart"/>
      <w:r>
        <w:rPr>
          <w:rFonts w:ascii="Times New Roman" w:hAnsi="Times New Roman" w:cs="Times New Roman"/>
          <w:bCs/>
          <w:sz w:val="22"/>
          <w:szCs w:val="22"/>
        </w:rPr>
        <w:t>BioLUC</w:t>
      </w:r>
      <w:proofErr w:type="spellEnd"/>
      <w:r>
        <w:rPr>
          <w:rFonts w:ascii="Times New Roman" w:hAnsi="Times New Roman" w:cs="Times New Roman"/>
          <w:bCs/>
          <w:sz w:val="22"/>
          <w:szCs w:val="22"/>
        </w:rPr>
        <w:t xml:space="preserve"> model.</w:t>
      </w:r>
    </w:p>
    <w:p w:rsidR="00A70C91" w:rsidRDefault="00A70C91" w:rsidP="00C647DE">
      <w:pPr>
        <w:spacing w:after="0"/>
        <w:rPr>
          <w:rFonts w:ascii="Times New Roman" w:hAnsi="Times New Roman" w:cs="Times New Roman"/>
          <w:bCs/>
          <w:sz w:val="22"/>
          <w:szCs w:val="22"/>
        </w:rPr>
      </w:pPr>
    </w:p>
    <w:p w:rsidR="004D78C7" w:rsidRDefault="005E22D1">
      <w:pPr>
        <w:spacing w:after="0"/>
        <w:rPr>
          <w:rFonts w:ascii="Times New Roman" w:hAnsi="Times New Roman" w:cs="Times New Roman"/>
          <w:bCs/>
          <w:sz w:val="22"/>
          <w:szCs w:val="22"/>
        </w:rPr>
      </w:pPr>
      <w:r>
        <w:rPr>
          <w:rFonts w:ascii="Times New Roman" w:hAnsi="Times New Roman" w:cs="Times New Roman"/>
          <w:bCs/>
          <w:sz w:val="22"/>
          <w:szCs w:val="22"/>
        </w:rPr>
        <w:t>W</w:t>
      </w:r>
      <w:r w:rsidR="00A70C91">
        <w:rPr>
          <w:rFonts w:ascii="Times New Roman" w:hAnsi="Times New Roman" w:cs="Times New Roman"/>
          <w:bCs/>
          <w:sz w:val="22"/>
          <w:szCs w:val="22"/>
        </w:rPr>
        <w:t xml:space="preserve">e calculated </w:t>
      </w:r>
      <w:r>
        <w:rPr>
          <w:rFonts w:ascii="Times New Roman" w:hAnsi="Times New Roman" w:cs="Times New Roman"/>
          <w:bCs/>
          <w:sz w:val="22"/>
          <w:szCs w:val="22"/>
        </w:rPr>
        <w:t xml:space="preserve">alternative cellulosic biofuel </w:t>
      </w:r>
      <w:r w:rsidR="00D07B16">
        <w:rPr>
          <w:rFonts w:ascii="Times New Roman" w:hAnsi="Times New Roman" w:cs="Times New Roman"/>
          <w:bCs/>
          <w:sz w:val="22"/>
          <w:szCs w:val="22"/>
        </w:rPr>
        <w:t>land requirements based on higher and lower</w:t>
      </w:r>
      <w:r>
        <w:rPr>
          <w:rFonts w:ascii="Times New Roman" w:hAnsi="Times New Roman" w:cs="Times New Roman"/>
          <w:bCs/>
          <w:sz w:val="22"/>
          <w:szCs w:val="22"/>
        </w:rPr>
        <w:t xml:space="preserve"> assumption</w:t>
      </w:r>
      <w:r w:rsidR="00D07B16">
        <w:rPr>
          <w:rFonts w:ascii="Times New Roman" w:hAnsi="Times New Roman" w:cs="Times New Roman"/>
          <w:bCs/>
          <w:sz w:val="22"/>
          <w:szCs w:val="22"/>
        </w:rPr>
        <w:t>s</w:t>
      </w:r>
      <w:r>
        <w:rPr>
          <w:rFonts w:ascii="Times New Roman" w:hAnsi="Times New Roman" w:cs="Times New Roman"/>
          <w:bCs/>
          <w:sz w:val="22"/>
          <w:szCs w:val="22"/>
        </w:rPr>
        <w:t xml:space="preserve"> about improvements in yield overtime. </w:t>
      </w:r>
      <w:r w:rsidR="00D07B16">
        <w:rPr>
          <w:rFonts w:ascii="Times New Roman" w:hAnsi="Times New Roman" w:cs="Times New Roman"/>
          <w:bCs/>
          <w:sz w:val="22"/>
          <w:szCs w:val="22"/>
        </w:rPr>
        <w:t>A</w:t>
      </w:r>
      <w:r w:rsidR="00A70C91">
        <w:rPr>
          <w:rFonts w:ascii="Times New Roman" w:hAnsi="Times New Roman" w:cs="Times New Roman"/>
          <w:bCs/>
          <w:sz w:val="22"/>
          <w:szCs w:val="22"/>
        </w:rPr>
        <w:t xml:space="preserve"> 1.5% and 0.5</w:t>
      </w:r>
      <w:r w:rsidR="00D07B16">
        <w:rPr>
          <w:rFonts w:ascii="Times New Roman" w:hAnsi="Times New Roman" w:cs="Times New Roman"/>
          <w:bCs/>
          <w:sz w:val="22"/>
          <w:szCs w:val="22"/>
        </w:rPr>
        <w:t xml:space="preserve">% growth in </w:t>
      </w:r>
      <w:r w:rsidR="00DE2A96">
        <w:rPr>
          <w:rFonts w:ascii="Times New Roman" w:hAnsi="Times New Roman" w:cs="Times New Roman"/>
          <w:bCs/>
          <w:sz w:val="22"/>
          <w:szCs w:val="22"/>
        </w:rPr>
        <w:t xml:space="preserve">average </w:t>
      </w:r>
      <w:r w:rsidR="00A70C91">
        <w:rPr>
          <w:rFonts w:ascii="Times New Roman" w:hAnsi="Times New Roman" w:cs="Times New Roman"/>
          <w:bCs/>
          <w:sz w:val="22"/>
          <w:szCs w:val="22"/>
        </w:rPr>
        <w:t xml:space="preserve">yield per year </w:t>
      </w:r>
      <w:r w:rsidR="00D07B16">
        <w:rPr>
          <w:rFonts w:ascii="Times New Roman" w:hAnsi="Times New Roman" w:cs="Times New Roman"/>
          <w:bCs/>
          <w:sz w:val="22"/>
          <w:szCs w:val="22"/>
        </w:rPr>
        <w:t xml:space="preserve">for cellulosic feedstocks was used for high and low </w:t>
      </w:r>
      <w:r w:rsidR="00A70C91">
        <w:rPr>
          <w:rFonts w:ascii="Times New Roman" w:hAnsi="Times New Roman" w:cs="Times New Roman"/>
          <w:bCs/>
          <w:sz w:val="22"/>
          <w:szCs w:val="22"/>
        </w:rPr>
        <w:t xml:space="preserve">cases, </w:t>
      </w:r>
      <w:r w:rsidR="008E4190">
        <w:rPr>
          <w:rFonts w:ascii="Times New Roman" w:hAnsi="Times New Roman" w:cs="Times New Roman"/>
          <w:bCs/>
          <w:sz w:val="22"/>
          <w:szCs w:val="22"/>
        </w:rPr>
        <w:t>respectively</w:t>
      </w:r>
      <w:r w:rsidR="00D07B16">
        <w:rPr>
          <w:rFonts w:ascii="Times New Roman" w:hAnsi="Times New Roman" w:cs="Times New Roman"/>
          <w:bCs/>
          <w:sz w:val="22"/>
          <w:szCs w:val="22"/>
        </w:rPr>
        <w:t>, as shown in</w:t>
      </w:r>
      <w:r w:rsidR="00A70C91">
        <w:rPr>
          <w:rFonts w:ascii="Times New Roman" w:hAnsi="Times New Roman" w:cs="Times New Roman"/>
          <w:bCs/>
          <w:sz w:val="22"/>
          <w:szCs w:val="22"/>
        </w:rPr>
        <w:t xml:space="preserve"> </w:t>
      </w:r>
      <w:r w:rsidR="00144F43">
        <w:rPr>
          <w:rFonts w:ascii="Times New Roman" w:hAnsi="Times New Roman" w:cs="Times New Roman"/>
          <w:bCs/>
          <w:sz w:val="22"/>
          <w:szCs w:val="22"/>
        </w:rPr>
        <w:t xml:space="preserve">table </w:t>
      </w:r>
      <w:r w:rsidR="00A70C91">
        <w:rPr>
          <w:rFonts w:ascii="Times New Roman" w:hAnsi="Times New Roman" w:cs="Times New Roman"/>
          <w:bCs/>
          <w:sz w:val="22"/>
          <w:szCs w:val="22"/>
        </w:rPr>
        <w:t>S10. Using these alternative yield scenarios</w:t>
      </w:r>
      <w:r w:rsidR="00144F43">
        <w:rPr>
          <w:rFonts w:ascii="Times New Roman" w:hAnsi="Times New Roman" w:cs="Times New Roman"/>
          <w:bCs/>
          <w:sz w:val="22"/>
          <w:szCs w:val="22"/>
        </w:rPr>
        <w:t>,</w:t>
      </w:r>
      <w:r w:rsidR="00A70C91">
        <w:rPr>
          <w:rFonts w:ascii="Times New Roman" w:hAnsi="Times New Roman" w:cs="Times New Roman"/>
          <w:bCs/>
          <w:sz w:val="22"/>
          <w:szCs w:val="22"/>
        </w:rPr>
        <w:t xml:space="preserve"> l</w:t>
      </w:r>
      <w:r w:rsidR="00C647DE" w:rsidRPr="00C647DE">
        <w:rPr>
          <w:rFonts w:ascii="Times New Roman" w:hAnsi="Times New Roman" w:cs="Times New Roman"/>
          <w:bCs/>
          <w:sz w:val="22"/>
          <w:szCs w:val="22"/>
        </w:rPr>
        <w:t xml:space="preserve">and demand </w:t>
      </w:r>
      <w:r w:rsidR="00A70C91">
        <w:rPr>
          <w:rFonts w:ascii="Times New Roman" w:hAnsi="Times New Roman" w:cs="Times New Roman"/>
          <w:bCs/>
          <w:sz w:val="22"/>
          <w:szCs w:val="22"/>
        </w:rPr>
        <w:t xml:space="preserve">for </w:t>
      </w:r>
      <w:r w:rsidR="00D07B16">
        <w:rPr>
          <w:rFonts w:ascii="Times New Roman" w:hAnsi="Times New Roman" w:cs="Times New Roman"/>
          <w:bCs/>
          <w:sz w:val="22"/>
          <w:szCs w:val="22"/>
        </w:rPr>
        <w:t xml:space="preserve">overall </w:t>
      </w:r>
      <w:r w:rsidR="00A70C91">
        <w:rPr>
          <w:rFonts w:ascii="Times New Roman" w:hAnsi="Times New Roman" w:cs="Times New Roman"/>
          <w:bCs/>
          <w:sz w:val="22"/>
          <w:szCs w:val="22"/>
        </w:rPr>
        <w:t xml:space="preserve">biofuel production </w:t>
      </w:r>
      <w:r w:rsidR="00C647DE" w:rsidRPr="00C647DE">
        <w:rPr>
          <w:rFonts w:ascii="Times New Roman" w:hAnsi="Times New Roman" w:cs="Times New Roman"/>
          <w:bCs/>
          <w:sz w:val="22"/>
          <w:szCs w:val="22"/>
        </w:rPr>
        <w:t>was recalculated</w:t>
      </w:r>
      <w:r w:rsidR="00243CD3">
        <w:rPr>
          <w:rFonts w:ascii="Times New Roman" w:hAnsi="Times New Roman" w:cs="Times New Roman"/>
          <w:bCs/>
          <w:sz w:val="22"/>
          <w:szCs w:val="22"/>
        </w:rPr>
        <w:t xml:space="preserve"> and</w:t>
      </w:r>
      <w:r w:rsidR="00144F43">
        <w:rPr>
          <w:rFonts w:ascii="Times New Roman" w:hAnsi="Times New Roman" w:cs="Times New Roman"/>
          <w:bCs/>
          <w:sz w:val="22"/>
          <w:szCs w:val="22"/>
        </w:rPr>
        <w:t xml:space="preserve"> is</w:t>
      </w:r>
      <w:r w:rsidR="00243CD3">
        <w:rPr>
          <w:rFonts w:ascii="Times New Roman" w:hAnsi="Times New Roman" w:cs="Times New Roman"/>
          <w:bCs/>
          <w:sz w:val="22"/>
          <w:szCs w:val="22"/>
        </w:rPr>
        <w:t xml:space="preserve"> shown in </w:t>
      </w:r>
      <w:r w:rsidR="00144F43">
        <w:rPr>
          <w:rFonts w:ascii="Times New Roman" w:hAnsi="Times New Roman" w:cs="Times New Roman"/>
          <w:bCs/>
          <w:sz w:val="22"/>
          <w:szCs w:val="22"/>
        </w:rPr>
        <w:t xml:space="preserve">table </w:t>
      </w:r>
      <w:r w:rsidR="00243CD3">
        <w:rPr>
          <w:rFonts w:ascii="Times New Roman" w:hAnsi="Times New Roman" w:cs="Times New Roman"/>
          <w:bCs/>
          <w:sz w:val="22"/>
          <w:szCs w:val="22"/>
        </w:rPr>
        <w:t>S11</w:t>
      </w:r>
      <w:r w:rsidR="00D07B16">
        <w:rPr>
          <w:rFonts w:ascii="Times New Roman" w:hAnsi="Times New Roman" w:cs="Times New Roman"/>
          <w:bCs/>
          <w:sz w:val="22"/>
          <w:szCs w:val="22"/>
        </w:rPr>
        <w:t>. T</w:t>
      </w:r>
      <w:r w:rsidR="0014311E">
        <w:rPr>
          <w:rFonts w:ascii="Times New Roman" w:hAnsi="Times New Roman" w:cs="Times New Roman"/>
          <w:bCs/>
          <w:sz w:val="22"/>
          <w:szCs w:val="22"/>
        </w:rPr>
        <w:t xml:space="preserve">he difference in </w:t>
      </w:r>
      <w:r w:rsidR="00DE2A96">
        <w:rPr>
          <w:rFonts w:ascii="Times New Roman" w:hAnsi="Times New Roman" w:cs="Times New Roman"/>
          <w:bCs/>
          <w:sz w:val="22"/>
          <w:szCs w:val="22"/>
        </w:rPr>
        <w:t xml:space="preserve">global </w:t>
      </w:r>
      <w:r w:rsidR="0014311E">
        <w:rPr>
          <w:rFonts w:ascii="Times New Roman" w:hAnsi="Times New Roman" w:cs="Times New Roman"/>
          <w:bCs/>
          <w:sz w:val="22"/>
          <w:szCs w:val="22"/>
        </w:rPr>
        <w:t xml:space="preserve">yearly land demand </w:t>
      </w:r>
      <w:r w:rsidR="00D07B16">
        <w:rPr>
          <w:rFonts w:ascii="Times New Roman" w:hAnsi="Times New Roman" w:cs="Times New Roman"/>
          <w:bCs/>
          <w:sz w:val="22"/>
          <w:szCs w:val="22"/>
        </w:rPr>
        <w:t>is about +/- 12.5</w:t>
      </w:r>
      <w:r w:rsidR="0014311E">
        <w:rPr>
          <w:rFonts w:ascii="Times New Roman" w:hAnsi="Times New Roman" w:cs="Times New Roman"/>
          <w:bCs/>
          <w:sz w:val="22"/>
          <w:szCs w:val="22"/>
        </w:rPr>
        <w:t xml:space="preserve"> million ha</w:t>
      </w:r>
      <w:r w:rsidR="00A63478">
        <w:rPr>
          <w:rFonts w:ascii="Times New Roman" w:hAnsi="Times New Roman" w:cs="Times New Roman"/>
          <w:bCs/>
          <w:sz w:val="22"/>
          <w:szCs w:val="22"/>
        </w:rPr>
        <w:t xml:space="preserve"> per year</w:t>
      </w:r>
      <w:r w:rsidR="0014311E">
        <w:rPr>
          <w:rFonts w:ascii="Times New Roman" w:hAnsi="Times New Roman" w:cs="Times New Roman"/>
          <w:bCs/>
          <w:sz w:val="22"/>
          <w:szCs w:val="22"/>
        </w:rPr>
        <w:t xml:space="preserve"> by 2050</w:t>
      </w:r>
      <w:r w:rsidR="00A63478">
        <w:rPr>
          <w:rFonts w:ascii="Times New Roman" w:hAnsi="Times New Roman" w:cs="Times New Roman"/>
          <w:bCs/>
          <w:sz w:val="22"/>
          <w:szCs w:val="22"/>
        </w:rPr>
        <w:t xml:space="preserve"> when high and low yield scenarios are compared to the “base case”. The “base case” </w:t>
      </w:r>
      <w:r w:rsidR="00144F43">
        <w:rPr>
          <w:rFonts w:ascii="Times New Roman" w:hAnsi="Times New Roman" w:cs="Times New Roman"/>
          <w:bCs/>
          <w:sz w:val="22"/>
          <w:szCs w:val="22"/>
        </w:rPr>
        <w:t xml:space="preserve">represents </w:t>
      </w:r>
      <w:r w:rsidR="00A63478">
        <w:rPr>
          <w:rFonts w:ascii="Times New Roman" w:hAnsi="Times New Roman" w:cs="Times New Roman"/>
          <w:bCs/>
          <w:sz w:val="22"/>
          <w:szCs w:val="22"/>
        </w:rPr>
        <w:t>only a 1% increase in average yield per year of cellulosic feedstocks</w:t>
      </w:r>
      <w:r w:rsidR="00144F43">
        <w:rPr>
          <w:rFonts w:ascii="Times New Roman" w:hAnsi="Times New Roman" w:cs="Times New Roman"/>
          <w:bCs/>
          <w:sz w:val="22"/>
          <w:szCs w:val="22"/>
        </w:rPr>
        <w:t>.</w:t>
      </w:r>
    </w:p>
    <w:p w:rsidR="004D78C7" w:rsidRDefault="004D78C7">
      <w:pPr>
        <w:spacing w:after="0"/>
        <w:rPr>
          <w:rFonts w:ascii="Times New Roman" w:hAnsi="Times New Roman" w:cs="Times New Roman"/>
          <w:bCs/>
          <w:sz w:val="22"/>
          <w:szCs w:val="22"/>
        </w:rPr>
      </w:pPr>
    </w:p>
    <w:p w:rsidR="004D78C7" w:rsidRDefault="00A63478">
      <w:pPr>
        <w:spacing w:after="0"/>
        <w:rPr>
          <w:rFonts w:ascii="Times New Roman" w:hAnsi="Times New Roman" w:cs="Times New Roman"/>
          <w:bCs/>
          <w:sz w:val="22"/>
          <w:szCs w:val="22"/>
        </w:rPr>
      </w:pPr>
      <w:r>
        <w:rPr>
          <w:rFonts w:ascii="Times New Roman" w:hAnsi="Times New Roman" w:cs="Times New Roman"/>
          <w:bCs/>
          <w:sz w:val="22"/>
          <w:szCs w:val="22"/>
        </w:rPr>
        <w:t>The difference between</w:t>
      </w:r>
      <w:r w:rsidR="00D07B16">
        <w:rPr>
          <w:rFonts w:ascii="Times New Roman" w:hAnsi="Times New Roman" w:cs="Times New Roman"/>
          <w:bCs/>
          <w:sz w:val="22"/>
          <w:szCs w:val="22"/>
        </w:rPr>
        <w:t xml:space="preserve"> land required in the high and low alternative scenarios and the base case was calculated in terms of potential additional food demands that could or could not be met</w:t>
      </w:r>
      <w:r>
        <w:rPr>
          <w:rFonts w:ascii="Times New Roman" w:hAnsi="Times New Roman" w:cs="Times New Roman"/>
          <w:bCs/>
          <w:sz w:val="22"/>
          <w:szCs w:val="22"/>
        </w:rPr>
        <w:t xml:space="preserve"> to more clearly illustrate the practical impacts of different future yields</w:t>
      </w:r>
      <w:r w:rsidR="00D07B16">
        <w:rPr>
          <w:rFonts w:ascii="Times New Roman" w:hAnsi="Times New Roman" w:cs="Times New Roman"/>
          <w:bCs/>
          <w:sz w:val="22"/>
          <w:szCs w:val="22"/>
        </w:rPr>
        <w:t xml:space="preserve">. </w:t>
      </w:r>
      <w:r w:rsidR="0014311E">
        <w:rPr>
          <w:rFonts w:ascii="Times New Roman" w:hAnsi="Times New Roman" w:cs="Times New Roman"/>
          <w:bCs/>
          <w:sz w:val="22"/>
          <w:szCs w:val="22"/>
        </w:rPr>
        <w:t xml:space="preserve">The results </w:t>
      </w:r>
      <w:r>
        <w:rPr>
          <w:rFonts w:ascii="Times New Roman" w:hAnsi="Times New Roman" w:cs="Times New Roman"/>
          <w:bCs/>
          <w:sz w:val="22"/>
          <w:szCs w:val="22"/>
        </w:rPr>
        <w:t xml:space="preserve">of these calculations </w:t>
      </w:r>
      <w:r w:rsidR="0014311E">
        <w:rPr>
          <w:rFonts w:ascii="Times New Roman" w:hAnsi="Times New Roman" w:cs="Times New Roman"/>
          <w:bCs/>
          <w:sz w:val="22"/>
          <w:szCs w:val="22"/>
        </w:rPr>
        <w:t xml:space="preserve">are shown in </w:t>
      </w:r>
      <w:r w:rsidR="00144F43">
        <w:rPr>
          <w:rFonts w:ascii="Times New Roman" w:hAnsi="Times New Roman" w:cs="Times New Roman"/>
          <w:bCs/>
          <w:sz w:val="22"/>
          <w:szCs w:val="22"/>
        </w:rPr>
        <w:t xml:space="preserve">table </w:t>
      </w:r>
      <w:r w:rsidR="0014311E">
        <w:rPr>
          <w:rFonts w:ascii="Times New Roman" w:hAnsi="Times New Roman" w:cs="Times New Roman"/>
          <w:bCs/>
          <w:sz w:val="22"/>
          <w:szCs w:val="22"/>
        </w:rPr>
        <w:t>S12</w:t>
      </w:r>
      <w:r>
        <w:rPr>
          <w:rFonts w:ascii="Times New Roman" w:hAnsi="Times New Roman" w:cs="Times New Roman"/>
          <w:bCs/>
          <w:sz w:val="22"/>
          <w:szCs w:val="22"/>
        </w:rPr>
        <w:t xml:space="preserve"> in the form of the number of people per year whose demand, as projected by </w:t>
      </w:r>
      <w:proofErr w:type="spellStart"/>
      <w:r>
        <w:rPr>
          <w:rFonts w:ascii="Times New Roman" w:hAnsi="Times New Roman" w:cs="Times New Roman"/>
          <w:bCs/>
          <w:sz w:val="22"/>
          <w:szCs w:val="22"/>
        </w:rPr>
        <w:t>Alexandratos</w:t>
      </w:r>
      <w:proofErr w:type="spellEnd"/>
      <w:r>
        <w:rPr>
          <w:rFonts w:ascii="Times New Roman" w:hAnsi="Times New Roman" w:cs="Times New Roman"/>
          <w:bCs/>
          <w:sz w:val="22"/>
          <w:szCs w:val="22"/>
        </w:rPr>
        <w:t xml:space="preserve"> and </w:t>
      </w:r>
      <w:proofErr w:type="spellStart"/>
      <w:r>
        <w:rPr>
          <w:rFonts w:ascii="Times New Roman" w:hAnsi="Times New Roman" w:cs="Times New Roman"/>
          <w:bCs/>
          <w:sz w:val="22"/>
          <w:szCs w:val="22"/>
        </w:rPr>
        <w:t>Bruinsma</w:t>
      </w:r>
      <w:proofErr w:type="spellEnd"/>
      <w:r>
        <w:rPr>
          <w:rFonts w:ascii="Times New Roman" w:hAnsi="Times New Roman" w:cs="Times New Roman"/>
          <w:bCs/>
          <w:sz w:val="22"/>
          <w:szCs w:val="22"/>
        </w:rPr>
        <w:t xml:space="preserve"> (2012), is met</w:t>
      </w:r>
      <w:r w:rsidR="00D07B16">
        <w:rPr>
          <w:rFonts w:ascii="Times New Roman" w:hAnsi="Times New Roman" w:cs="Times New Roman"/>
          <w:bCs/>
          <w:sz w:val="22"/>
          <w:szCs w:val="22"/>
        </w:rPr>
        <w:t xml:space="preserve">. </w:t>
      </w:r>
      <w:r w:rsidR="00AC2F14">
        <w:rPr>
          <w:rFonts w:ascii="Times New Roman" w:hAnsi="Times New Roman" w:cs="Times New Roman"/>
          <w:bCs/>
          <w:sz w:val="22"/>
          <w:szCs w:val="22"/>
        </w:rPr>
        <w:t xml:space="preserve">Results indicate that shifting yields of a biofuel stream of about 15 EJ/year by half a percent could use an amount of land equivalent to that needed to meet projected wheat demand of 0.4-0.5 billion people for 2050 (i.e., see Table S3 for wheat demand). </w:t>
      </w:r>
      <w:r w:rsidR="00964229">
        <w:rPr>
          <w:rFonts w:ascii="Times New Roman" w:hAnsi="Times New Roman" w:cs="Times New Roman"/>
          <w:bCs/>
          <w:sz w:val="22"/>
          <w:szCs w:val="22"/>
        </w:rPr>
        <w:t xml:space="preserve">Future yield assumptions are an important driver of </w:t>
      </w:r>
      <w:r w:rsidR="007F7A83">
        <w:rPr>
          <w:rFonts w:ascii="Times New Roman" w:hAnsi="Times New Roman" w:cs="Times New Roman"/>
          <w:bCs/>
          <w:sz w:val="22"/>
          <w:szCs w:val="22"/>
        </w:rPr>
        <w:t xml:space="preserve">the magnitude </w:t>
      </w:r>
      <w:r w:rsidR="00AB5265">
        <w:rPr>
          <w:rFonts w:ascii="Times New Roman" w:hAnsi="Times New Roman" w:cs="Times New Roman"/>
          <w:bCs/>
          <w:sz w:val="22"/>
          <w:szCs w:val="22"/>
        </w:rPr>
        <w:t>of the land in use by</w:t>
      </w:r>
      <w:r w:rsidR="007F7A83">
        <w:rPr>
          <w:rFonts w:ascii="Times New Roman" w:hAnsi="Times New Roman" w:cs="Times New Roman"/>
          <w:bCs/>
          <w:sz w:val="22"/>
          <w:szCs w:val="22"/>
        </w:rPr>
        <w:t xml:space="preserve"> biofuels and other </w:t>
      </w:r>
      <w:r w:rsidR="00AB5265">
        <w:rPr>
          <w:rFonts w:ascii="Times New Roman" w:hAnsi="Times New Roman" w:cs="Times New Roman"/>
          <w:bCs/>
          <w:sz w:val="22"/>
          <w:szCs w:val="22"/>
        </w:rPr>
        <w:t xml:space="preserve">agricultural </w:t>
      </w:r>
      <w:r w:rsidR="007F7A83">
        <w:rPr>
          <w:rFonts w:ascii="Times New Roman" w:hAnsi="Times New Roman" w:cs="Times New Roman"/>
          <w:bCs/>
          <w:sz w:val="22"/>
          <w:szCs w:val="22"/>
        </w:rPr>
        <w:t>commodities</w:t>
      </w:r>
      <w:r w:rsidR="00AB5265">
        <w:rPr>
          <w:rFonts w:ascii="Times New Roman" w:hAnsi="Times New Roman" w:cs="Times New Roman"/>
          <w:bCs/>
          <w:sz w:val="22"/>
          <w:szCs w:val="22"/>
        </w:rPr>
        <w:t xml:space="preserve"> for human uses</w:t>
      </w:r>
      <w:r>
        <w:rPr>
          <w:rFonts w:ascii="Times New Roman" w:hAnsi="Times New Roman" w:cs="Times New Roman"/>
          <w:bCs/>
          <w:sz w:val="22"/>
          <w:szCs w:val="22"/>
        </w:rPr>
        <w:t>.</w:t>
      </w:r>
    </w:p>
    <w:p w:rsidR="004D78C7" w:rsidRDefault="004D78C7">
      <w:pPr>
        <w:spacing w:after="0"/>
        <w:rPr>
          <w:rFonts w:ascii="Times New Roman" w:hAnsi="Times New Roman" w:cs="Times New Roman"/>
          <w:bCs/>
          <w:sz w:val="22"/>
          <w:szCs w:val="22"/>
        </w:rPr>
      </w:pPr>
    </w:p>
    <w:p w:rsidR="0068582A" w:rsidRPr="00347C61" w:rsidRDefault="00243CD3" w:rsidP="0068582A">
      <w:pPr>
        <w:rPr>
          <w:rFonts w:ascii="Times New Roman" w:hAnsi="Times New Roman" w:cs="Times New Roman"/>
          <w:sz w:val="20"/>
          <w:szCs w:val="20"/>
        </w:rPr>
      </w:pPr>
      <w:r w:rsidRPr="00347C61">
        <w:rPr>
          <w:rFonts w:ascii="Times New Roman" w:hAnsi="Times New Roman" w:cs="Times New Roman"/>
          <w:b/>
          <w:sz w:val="20"/>
          <w:szCs w:val="20"/>
        </w:rPr>
        <w:t>Table S</w:t>
      </w:r>
      <w:r w:rsidR="002448E5" w:rsidRPr="00347C61">
        <w:rPr>
          <w:rFonts w:ascii="Times New Roman" w:hAnsi="Times New Roman" w:cs="Times New Roman"/>
          <w:b/>
          <w:sz w:val="20"/>
          <w:szCs w:val="20"/>
        </w:rPr>
        <w:t>10</w:t>
      </w:r>
      <w:r w:rsidR="00347C61">
        <w:rPr>
          <w:rFonts w:ascii="Times New Roman" w:hAnsi="Times New Roman" w:cs="Times New Roman"/>
          <w:b/>
          <w:sz w:val="20"/>
          <w:szCs w:val="20"/>
        </w:rPr>
        <w:t>.</w:t>
      </w:r>
      <w:r w:rsidR="00D22F20" w:rsidRPr="00D22F20">
        <w:rPr>
          <w:rFonts w:ascii="Times New Roman" w:hAnsi="Times New Roman" w:cs="Times New Roman"/>
          <w:b/>
          <w:sz w:val="20"/>
          <w:szCs w:val="20"/>
        </w:rPr>
        <w:t xml:space="preserve"> </w:t>
      </w:r>
      <w:r w:rsidR="00D22F20" w:rsidRPr="00D22F20">
        <w:rPr>
          <w:rFonts w:ascii="Times New Roman" w:hAnsi="Times New Roman" w:cs="Times New Roman"/>
          <w:sz w:val="20"/>
          <w:szCs w:val="20"/>
        </w:rPr>
        <w:t>High and low</w:t>
      </w:r>
      <w:r w:rsidR="00D22F20" w:rsidRPr="00D22F20">
        <w:rPr>
          <w:rFonts w:ascii="Times New Roman" w:hAnsi="Times New Roman" w:cs="Times New Roman"/>
          <w:b/>
          <w:sz w:val="20"/>
          <w:szCs w:val="20"/>
        </w:rPr>
        <w:t xml:space="preserve"> </w:t>
      </w:r>
      <w:r w:rsidR="00D22F20" w:rsidRPr="00D22F20">
        <w:rPr>
          <w:rFonts w:ascii="Times New Roman" w:hAnsi="Times New Roman" w:cs="Times New Roman"/>
          <w:sz w:val="20"/>
          <w:szCs w:val="20"/>
        </w:rPr>
        <w:t>cellulosic feedstock yields assumptions from 2020-2050 in Mg/harvest ha</w:t>
      </w:r>
      <w:r w:rsidR="00AC2F14">
        <w:rPr>
          <w:rFonts w:ascii="Times New Roman" w:hAnsi="Times New Roman" w:cs="Times New Roman"/>
          <w:sz w:val="20"/>
          <w:szCs w:val="20"/>
        </w:rPr>
        <w:t>-</w:t>
      </w:r>
      <w:r w:rsidR="00D22F20" w:rsidRPr="00D22F20">
        <w:rPr>
          <w:rFonts w:ascii="Times New Roman" w:hAnsi="Times New Roman" w:cs="Times New Roman"/>
          <w:sz w:val="20"/>
          <w:szCs w:val="20"/>
        </w:rPr>
        <w:t xml:space="preserve">yr. The high and low yield assumptions </w:t>
      </w:r>
      <w:r w:rsidR="00AC2F14">
        <w:rPr>
          <w:rFonts w:ascii="Times New Roman" w:hAnsi="Times New Roman" w:cs="Times New Roman"/>
          <w:sz w:val="20"/>
          <w:szCs w:val="20"/>
        </w:rPr>
        <w:t>are</w:t>
      </w:r>
      <w:r w:rsidR="00AC2F14" w:rsidRPr="00D22F20">
        <w:rPr>
          <w:rFonts w:ascii="Times New Roman" w:hAnsi="Times New Roman" w:cs="Times New Roman"/>
          <w:sz w:val="20"/>
          <w:szCs w:val="20"/>
        </w:rPr>
        <w:t xml:space="preserve"> </w:t>
      </w:r>
      <w:r w:rsidR="00D22F20" w:rsidRPr="00D22F20">
        <w:rPr>
          <w:rFonts w:ascii="Times New Roman" w:hAnsi="Times New Roman" w:cs="Times New Roman"/>
          <w:sz w:val="20"/>
          <w:szCs w:val="20"/>
        </w:rPr>
        <w:t>1.5% and 0.5% yearly growth rates, respectively.</w:t>
      </w:r>
    </w:p>
    <w:tbl>
      <w:tblPr>
        <w:tblW w:w="5867" w:type="dxa"/>
        <w:jc w:val="center"/>
        <w:tblInd w:w="108" w:type="dxa"/>
        <w:tblLook w:val="04A0"/>
      </w:tblPr>
      <w:tblGrid>
        <w:gridCol w:w="876"/>
        <w:gridCol w:w="2367"/>
        <w:gridCol w:w="656"/>
        <w:gridCol w:w="656"/>
        <w:gridCol w:w="656"/>
        <w:gridCol w:w="656"/>
      </w:tblGrid>
      <w:tr w:rsidR="0010300D" w:rsidRPr="00347C61" w:rsidTr="0010300D">
        <w:trPr>
          <w:trHeight w:val="300"/>
          <w:jc w:val="center"/>
        </w:trPr>
        <w:tc>
          <w:tcPr>
            <w:tcW w:w="876" w:type="dxa"/>
            <w:tcBorders>
              <w:top w:val="nil"/>
              <w:left w:val="nil"/>
              <w:bottom w:val="single" w:sz="4" w:space="0" w:color="auto"/>
              <w:right w:val="nil"/>
            </w:tcBorders>
            <w:shd w:val="clear" w:color="auto" w:fill="auto"/>
            <w:noWrap/>
            <w:vAlign w:val="bottom"/>
            <w:hideMark/>
          </w:tcPr>
          <w:p w:rsidR="0010300D" w:rsidRPr="00347C61" w:rsidRDefault="00D22F20" w:rsidP="0010300D">
            <w:pPr>
              <w:spacing w:after="0" w:line="240" w:lineRule="auto"/>
              <w:rPr>
                <w:rFonts w:ascii="Times New Roman" w:eastAsia="Times New Roman" w:hAnsi="Times New Roman" w:cs="Times New Roman"/>
                <w:b/>
                <w:bCs/>
                <w:color w:val="000000"/>
                <w:sz w:val="20"/>
                <w:szCs w:val="20"/>
              </w:rPr>
            </w:pPr>
            <w:r w:rsidRPr="00D22F20">
              <w:rPr>
                <w:rFonts w:ascii="Times New Roman" w:eastAsia="Times New Roman" w:hAnsi="Times New Roman" w:cs="Times New Roman"/>
                <w:b/>
                <w:bCs/>
                <w:color w:val="000000"/>
                <w:sz w:val="20"/>
                <w:szCs w:val="20"/>
              </w:rPr>
              <w:t>Region</w:t>
            </w:r>
          </w:p>
        </w:tc>
        <w:tc>
          <w:tcPr>
            <w:tcW w:w="2367" w:type="dxa"/>
            <w:tcBorders>
              <w:top w:val="nil"/>
              <w:left w:val="nil"/>
              <w:bottom w:val="single" w:sz="4" w:space="0" w:color="auto"/>
              <w:right w:val="nil"/>
            </w:tcBorders>
            <w:shd w:val="clear" w:color="auto" w:fill="auto"/>
            <w:noWrap/>
            <w:vAlign w:val="bottom"/>
            <w:hideMark/>
          </w:tcPr>
          <w:p w:rsidR="0010300D" w:rsidRPr="00347C61" w:rsidRDefault="00D22F20" w:rsidP="0010300D">
            <w:pPr>
              <w:spacing w:after="0" w:line="240" w:lineRule="auto"/>
              <w:rPr>
                <w:rFonts w:ascii="Times New Roman" w:eastAsia="Times New Roman" w:hAnsi="Times New Roman" w:cs="Times New Roman"/>
                <w:b/>
                <w:bCs/>
                <w:color w:val="000000"/>
                <w:sz w:val="20"/>
                <w:szCs w:val="20"/>
              </w:rPr>
            </w:pPr>
            <w:r w:rsidRPr="00D22F20">
              <w:rPr>
                <w:rFonts w:ascii="Times New Roman" w:eastAsia="Times New Roman" w:hAnsi="Times New Roman" w:cs="Times New Roman"/>
                <w:b/>
                <w:bCs/>
                <w:color w:val="000000"/>
                <w:sz w:val="20"/>
                <w:szCs w:val="20"/>
              </w:rPr>
              <w:t>Yearly Yield Increase</w:t>
            </w:r>
          </w:p>
        </w:tc>
        <w:tc>
          <w:tcPr>
            <w:tcW w:w="656" w:type="dxa"/>
            <w:tcBorders>
              <w:top w:val="nil"/>
              <w:left w:val="nil"/>
              <w:bottom w:val="single" w:sz="4" w:space="0" w:color="auto"/>
              <w:right w:val="nil"/>
            </w:tcBorders>
            <w:shd w:val="clear" w:color="auto" w:fill="auto"/>
            <w:noWrap/>
            <w:vAlign w:val="bottom"/>
            <w:hideMark/>
          </w:tcPr>
          <w:p w:rsidR="0010300D" w:rsidRPr="00347C61" w:rsidRDefault="00D22F20" w:rsidP="0010300D">
            <w:pPr>
              <w:spacing w:after="0" w:line="240" w:lineRule="auto"/>
              <w:jc w:val="right"/>
              <w:rPr>
                <w:rFonts w:ascii="Times New Roman" w:eastAsia="Times New Roman" w:hAnsi="Times New Roman" w:cs="Times New Roman"/>
                <w:b/>
                <w:bCs/>
                <w:color w:val="000000"/>
                <w:sz w:val="20"/>
                <w:szCs w:val="20"/>
              </w:rPr>
            </w:pPr>
            <w:r w:rsidRPr="00D22F20">
              <w:rPr>
                <w:rFonts w:ascii="Times New Roman" w:eastAsia="Times New Roman" w:hAnsi="Times New Roman" w:cs="Times New Roman"/>
                <w:b/>
                <w:bCs/>
                <w:color w:val="000000"/>
                <w:sz w:val="20"/>
                <w:szCs w:val="20"/>
              </w:rPr>
              <w:t>2020</w:t>
            </w:r>
          </w:p>
        </w:tc>
        <w:tc>
          <w:tcPr>
            <w:tcW w:w="656" w:type="dxa"/>
            <w:tcBorders>
              <w:top w:val="nil"/>
              <w:left w:val="nil"/>
              <w:bottom w:val="single" w:sz="4" w:space="0" w:color="auto"/>
              <w:right w:val="nil"/>
            </w:tcBorders>
            <w:shd w:val="clear" w:color="auto" w:fill="auto"/>
            <w:noWrap/>
            <w:vAlign w:val="bottom"/>
            <w:hideMark/>
          </w:tcPr>
          <w:p w:rsidR="0010300D" w:rsidRPr="00347C61" w:rsidRDefault="00D22F20" w:rsidP="0010300D">
            <w:pPr>
              <w:spacing w:after="0" w:line="240" w:lineRule="auto"/>
              <w:jc w:val="right"/>
              <w:rPr>
                <w:rFonts w:ascii="Times New Roman" w:eastAsia="Times New Roman" w:hAnsi="Times New Roman" w:cs="Times New Roman"/>
                <w:b/>
                <w:bCs/>
                <w:color w:val="000000"/>
                <w:sz w:val="20"/>
                <w:szCs w:val="20"/>
              </w:rPr>
            </w:pPr>
            <w:r w:rsidRPr="00D22F20">
              <w:rPr>
                <w:rFonts w:ascii="Times New Roman" w:eastAsia="Times New Roman" w:hAnsi="Times New Roman" w:cs="Times New Roman"/>
                <w:b/>
                <w:bCs/>
                <w:color w:val="000000"/>
                <w:sz w:val="20"/>
                <w:szCs w:val="20"/>
              </w:rPr>
              <w:t>2030</w:t>
            </w:r>
          </w:p>
        </w:tc>
        <w:tc>
          <w:tcPr>
            <w:tcW w:w="656" w:type="dxa"/>
            <w:tcBorders>
              <w:top w:val="nil"/>
              <w:left w:val="nil"/>
              <w:bottom w:val="single" w:sz="4" w:space="0" w:color="auto"/>
              <w:right w:val="nil"/>
            </w:tcBorders>
            <w:shd w:val="clear" w:color="auto" w:fill="auto"/>
            <w:noWrap/>
            <w:vAlign w:val="bottom"/>
            <w:hideMark/>
          </w:tcPr>
          <w:p w:rsidR="0010300D" w:rsidRPr="00347C61" w:rsidRDefault="00D22F20" w:rsidP="0010300D">
            <w:pPr>
              <w:spacing w:after="0" w:line="240" w:lineRule="auto"/>
              <w:jc w:val="right"/>
              <w:rPr>
                <w:rFonts w:ascii="Times New Roman" w:eastAsia="Times New Roman" w:hAnsi="Times New Roman" w:cs="Times New Roman"/>
                <w:b/>
                <w:bCs/>
                <w:color w:val="000000"/>
                <w:sz w:val="20"/>
                <w:szCs w:val="20"/>
              </w:rPr>
            </w:pPr>
            <w:r w:rsidRPr="00D22F20">
              <w:rPr>
                <w:rFonts w:ascii="Times New Roman" w:eastAsia="Times New Roman" w:hAnsi="Times New Roman" w:cs="Times New Roman"/>
                <w:b/>
                <w:bCs/>
                <w:color w:val="000000"/>
                <w:sz w:val="20"/>
                <w:szCs w:val="20"/>
              </w:rPr>
              <w:t>2040</w:t>
            </w:r>
          </w:p>
        </w:tc>
        <w:tc>
          <w:tcPr>
            <w:tcW w:w="656" w:type="dxa"/>
            <w:tcBorders>
              <w:top w:val="nil"/>
              <w:left w:val="nil"/>
              <w:bottom w:val="single" w:sz="4" w:space="0" w:color="auto"/>
              <w:right w:val="nil"/>
            </w:tcBorders>
            <w:shd w:val="clear" w:color="auto" w:fill="auto"/>
            <w:noWrap/>
            <w:vAlign w:val="bottom"/>
            <w:hideMark/>
          </w:tcPr>
          <w:p w:rsidR="0010300D" w:rsidRPr="00347C61" w:rsidRDefault="00D22F20" w:rsidP="0010300D">
            <w:pPr>
              <w:spacing w:after="0" w:line="240" w:lineRule="auto"/>
              <w:jc w:val="right"/>
              <w:rPr>
                <w:rFonts w:ascii="Times New Roman" w:eastAsia="Times New Roman" w:hAnsi="Times New Roman" w:cs="Times New Roman"/>
                <w:b/>
                <w:bCs/>
                <w:color w:val="000000"/>
                <w:sz w:val="20"/>
                <w:szCs w:val="20"/>
              </w:rPr>
            </w:pPr>
            <w:r w:rsidRPr="00D22F20">
              <w:rPr>
                <w:rFonts w:ascii="Times New Roman" w:eastAsia="Times New Roman" w:hAnsi="Times New Roman" w:cs="Times New Roman"/>
                <w:b/>
                <w:bCs/>
                <w:color w:val="000000"/>
                <w:sz w:val="20"/>
                <w:szCs w:val="20"/>
              </w:rPr>
              <w:t>2050</w:t>
            </w:r>
          </w:p>
        </w:tc>
      </w:tr>
      <w:tr w:rsidR="0010300D" w:rsidRPr="00347C61" w:rsidTr="0010300D">
        <w:trPr>
          <w:trHeight w:val="300"/>
          <w:jc w:val="center"/>
        </w:trPr>
        <w:tc>
          <w:tcPr>
            <w:tcW w:w="876" w:type="dxa"/>
            <w:tcBorders>
              <w:top w:val="nil"/>
              <w:left w:val="nil"/>
              <w:bottom w:val="nil"/>
              <w:right w:val="nil"/>
            </w:tcBorders>
            <w:shd w:val="clear" w:color="auto" w:fill="auto"/>
            <w:noWrap/>
            <w:vAlign w:val="bottom"/>
            <w:hideMark/>
          </w:tcPr>
          <w:p w:rsidR="0010300D" w:rsidRPr="00347C61" w:rsidRDefault="00D22F20" w:rsidP="0010300D">
            <w:pPr>
              <w:keepNext/>
              <w:keepLines/>
              <w:spacing w:after="0" w:line="240" w:lineRule="auto"/>
              <w:jc w:val="center"/>
              <w:outlineLvl w:val="0"/>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USA</w:t>
            </w:r>
          </w:p>
        </w:tc>
        <w:tc>
          <w:tcPr>
            <w:tcW w:w="2367" w:type="dxa"/>
            <w:tcBorders>
              <w:top w:val="nil"/>
              <w:left w:val="nil"/>
              <w:bottom w:val="nil"/>
              <w:right w:val="nil"/>
            </w:tcBorders>
            <w:shd w:val="clear" w:color="auto" w:fill="auto"/>
            <w:noWrap/>
            <w:vAlign w:val="bottom"/>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1.5% (High)</w:t>
            </w:r>
          </w:p>
        </w:tc>
        <w:tc>
          <w:tcPr>
            <w:tcW w:w="656" w:type="dxa"/>
            <w:tcBorders>
              <w:top w:val="nil"/>
              <w:left w:val="nil"/>
              <w:bottom w:val="nil"/>
              <w:right w:val="nil"/>
            </w:tcBorders>
            <w:shd w:val="clear" w:color="auto" w:fill="auto"/>
            <w:noWrap/>
            <w:vAlign w:val="bottom"/>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16</w:t>
            </w:r>
          </w:p>
        </w:tc>
        <w:tc>
          <w:tcPr>
            <w:tcW w:w="656" w:type="dxa"/>
            <w:tcBorders>
              <w:top w:val="nil"/>
              <w:left w:val="nil"/>
              <w:bottom w:val="nil"/>
              <w:right w:val="nil"/>
            </w:tcBorders>
            <w:shd w:val="clear" w:color="auto" w:fill="auto"/>
            <w:noWrap/>
            <w:vAlign w:val="bottom"/>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19</w:t>
            </w:r>
          </w:p>
        </w:tc>
        <w:tc>
          <w:tcPr>
            <w:tcW w:w="656" w:type="dxa"/>
            <w:tcBorders>
              <w:top w:val="nil"/>
              <w:left w:val="nil"/>
              <w:bottom w:val="nil"/>
              <w:right w:val="nil"/>
            </w:tcBorders>
            <w:shd w:val="clear" w:color="auto" w:fill="auto"/>
            <w:noWrap/>
            <w:vAlign w:val="bottom"/>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22</w:t>
            </w:r>
          </w:p>
        </w:tc>
        <w:tc>
          <w:tcPr>
            <w:tcW w:w="656" w:type="dxa"/>
            <w:tcBorders>
              <w:top w:val="nil"/>
              <w:left w:val="nil"/>
              <w:bottom w:val="nil"/>
              <w:right w:val="nil"/>
            </w:tcBorders>
            <w:shd w:val="clear" w:color="auto" w:fill="auto"/>
            <w:noWrap/>
            <w:vAlign w:val="bottom"/>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25</w:t>
            </w:r>
          </w:p>
        </w:tc>
      </w:tr>
      <w:tr w:rsidR="0010300D" w:rsidRPr="00347C61" w:rsidTr="0010300D">
        <w:trPr>
          <w:trHeight w:val="300"/>
          <w:jc w:val="center"/>
        </w:trPr>
        <w:tc>
          <w:tcPr>
            <w:tcW w:w="876" w:type="dxa"/>
            <w:tcBorders>
              <w:top w:val="nil"/>
              <w:left w:val="nil"/>
              <w:bottom w:val="single" w:sz="4" w:space="0" w:color="auto"/>
              <w:right w:val="nil"/>
            </w:tcBorders>
            <w:shd w:val="clear" w:color="auto" w:fill="auto"/>
            <w:noWrap/>
            <w:vAlign w:val="bottom"/>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ROW</w:t>
            </w:r>
          </w:p>
        </w:tc>
        <w:tc>
          <w:tcPr>
            <w:tcW w:w="2367" w:type="dxa"/>
            <w:tcBorders>
              <w:top w:val="nil"/>
              <w:left w:val="nil"/>
              <w:bottom w:val="single" w:sz="4" w:space="0" w:color="auto"/>
              <w:right w:val="nil"/>
            </w:tcBorders>
            <w:shd w:val="clear" w:color="auto" w:fill="auto"/>
            <w:noWrap/>
            <w:vAlign w:val="bottom"/>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1.5% (High)</w:t>
            </w:r>
          </w:p>
        </w:tc>
        <w:tc>
          <w:tcPr>
            <w:tcW w:w="656" w:type="dxa"/>
            <w:tcBorders>
              <w:top w:val="nil"/>
              <w:left w:val="nil"/>
              <w:bottom w:val="single" w:sz="4" w:space="0" w:color="auto"/>
              <w:right w:val="nil"/>
            </w:tcBorders>
            <w:shd w:val="clear" w:color="auto" w:fill="auto"/>
            <w:noWrap/>
            <w:vAlign w:val="bottom"/>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11</w:t>
            </w:r>
          </w:p>
        </w:tc>
        <w:tc>
          <w:tcPr>
            <w:tcW w:w="656" w:type="dxa"/>
            <w:tcBorders>
              <w:top w:val="nil"/>
              <w:left w:val="nil"/>
              <w:bottom w:val="single" w:sz="4" w:space="0" w:color="auto"/>
              <w:right w:val="nil"/>
            </w:tcBorders>
            <w:shd w:val="clear" w:color="auto" w:fill="auto"/>
            <w:noWrap/>
            <w:vAlign w:val="bottom"/>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13</w:t>
            </w:r>
          </w:p>
        </w:tc>
        <w:tc>
          <w:tcPr>
            <w:tcW w:w="656" w:type="dxa"/>
            <w:tcBorders>
              <w:top w:val="nil"/>
              <w:left w:val="nil"/>
              <w:bottom w:val="single" w:sz="4" w:space="0" w:color="auto"/>
              <w:right w:val="nil"/>
            </w:tcBorders>
            <w:shd w:val="clear" w:color="auto" w:fill="auto"/>
            <w:noWrap/>
            <w:vAlign w:val="bottom"/>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15</w:t>
            </w:r>
          </w:p>
        </w:tc>
        <w:tc>
          <w:tcPr>
            <w:tcW w:w="656" w:type="dxa"/>
            <w:tcBorders>
              <w:top w:val="nil"/>
              <w:left w:val="nil"/>
              <w:bottom w:val="single" w:sz="4" w:space="0" w:color="auto"/>
              <w:right w:val="nil"/>
            </w:tcBorders>
            <w:shd w:val="clear" w:color="auto" w:fill="auto"/>
            <w:noWrap/>
            <w:vAlign w:val="bottom"/>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17</w:t>
            </w:r>
          </w:p>
        </w:tc>
      </w:tr>
      <w:tr w:rsidR="0010300D" w:rsidRPr="00732824" w:rsidTr="0010300D">
        <w:trPr>
          <w:trHeight w:val="300"/>
          <w:jc w:val="center"/>
        </w:trPr>
        <w:tc>
          <w:tcPr>
            <w:tcW w:w="876" w:type="dxa"/>
            <w:tcBorders>
              <w:top w:val="nil"/>
              <w:left w:val="nil"/>
              <w:bottom w:val="nil"/>
              <w:right w:val="nil"/>
            </w:tcBorders>
            <w:shd w:val="clear" w:color="auto" w:fill="auto"/>
            <w:noWrap/>
            <w:vAlign w:val="bottom"/>
            <w:hideMark/>
          </w:tcPr>
          <w:p w:rsidR="0010300D" w:rsidRPr="00732824"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USA</w:t>
            </w:r>
          </w:p>
        </w:tc>
        <w:tc>
          <w:tcPr>
            <w:tcW w:w="2367" w:type="dxa"/>
            <w:tcBorders>
              <w:top w:val="nil"/>
              <w:left w:val="nil"/>
              <w:bottom w:val="nil"/>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0.5% (Low)</w:t>
            </w:r>
          </w:p>
        </w:tc>
        <w:tc>
          <w:tcPr>
            <w:tcW w:w="656" w:type="dxa"/>
            <w:tcBorders>
              <w:top w:val="nil"/>
              <w:left w:val="nil"/>
              <w:bottom w:val="nil"/>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15</w:t>
            </w:r>
          </w:p>
        </w:tc>
        <w:tc>
          <w:tcPr>
            <w:tcW w:w="656" w:type="dxa"/>
            <w:tcBorders>
              <w:top w:val="nil"/>
              <w:left w:val="nil"/>
              <w:bottom w:val="nil"/>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16</w:t>
            </w:r>
          </w:p>
        </w:tc>
        <w:tc>
          <w:tcPr>
            <w:tcW w:w="656" w:type="dxa"/>
            <w:tcBorders>
              <w:top w:val="nil"/>
              <w:left w:val="nil"/>
              <w:bottom w:val="nil"/>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17</w:t>
            </w:r>
          </w:p>
        </w:tc>
        <w:tc>
          <w:tcPr>
            <w:tcW w:w="656" w:type="dxa"/>
            <w:tcBorders>
              <w:top w:val="nil"/>
              <w:left w:val="nil"/>
              <w:bottom w:val="nil"/>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18</w:t>
            </w:r>
          </w:p>
        </w:tc>
      </w:tr>
      <w:tr w:rsidR="0010300D" w:rsidRPr="00732824" w:rsidTr="0010300D">
        <w:trPr>
          <w:trHeight w:val="300"/>
          <w:jc w:val="center"/>
        </w:trPr>
        <w:tc>
          <w:tcPr>
            <w:tcW w:w="876" w:type="dxa"/>
            <w:tcBorders>
              <w:top w:val="nil"/>
              <w:left w:val="nil"/>
              <w:bottom w:val="single" w:sz="4" w:space="0" w:color="auto"/>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ROW</w:t>
            </w:r>
          </w:p>
        </w:tc>
        <w:tc>
          <w:tcPr>
            <w:tcW w:w="2367" w:type="dxa"/>
            <w:tcBorders>
              <w:top w:val="nil"/>
              <w:left w:val="nil"/>
              <w:bottom w:val="single" w:sz="4" w:space="0" w:color="auto"/>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0.5% (Low)</w:t>
            </w:r>
          </w:p>
        </w:tc>
        <w:tc>
          <w:tcPr>
            <w:tcW w:w="656" w:type="dxa"/>
            <w:tcBorders>
              <w:top w:val="nil"/>
              <w:left w:val="nil"/>
              <w:bottom w:val="single" w:sz="4" w:space="0" w:color="auto"/>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10</w:t>
            </w:r>
          </w:p>
        </w:tc>
        <w:tc>
          <w:tcPr>
            <w:tcW w:w="656" w:type="dxa"/>
            <w:tcBorders>
              <w:top w:val="nil"/>
              <w:left w:val="nil"/>
              <w:bottom w:val="single" w:sz="4" w:space="0" w:color="auto"/>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11</w:t>
            </w:r>
          </w:p>
        </w:tc>
        <w:tc>
          <w:tcPr>
            <w:tcW w:w="656" w:type="dxa"/>
            <w:tcBorders>
              <w:top w:val="nil"/>
              <w:left w:val="nil"/>
              <w:bottom w:val="single" w:sz="4" w:space="0" w:color="auto"/>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11</w:t>
            </w:r>
          </w:p>
        </w:tc>
        <w:tc>
          <w:tcPr>
            <w:tcW w:w="656" w:type="dxa"/>
            <w:tcBorders>
              <w:top w:val="nil"/>
              <w:left w:val="nil"/>
              <w:bottom w:val="single" w:sz="4" w:space="0" w:color="auto"/>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12</w:t>
            </w:r>
          </w:p>
        </w:tc>
      </w:tr>
    </w:tbl>
    <w:p w:rsidR="0010300D" w:rsidRDefault="0010300D" w:rsidP="0010300D">
      <w:pPr>
        <w:rPr>
          <w:rFonts w:ascii="Times New Roman" w:hAnsi="Times New Roman" w:cs="Times New Roman"/>
          <w:b/>
        </w:rPr>
      </w:pPr>
    </w:p>
    <w:p w:rsidR="004D78C7" w:rsidRPr="00347C61" w:rsidRDefault="00243CD3" w:rsidP="0010300D">
      <w:pPr>
        <w:rPr>
          <w:rFonts w:ascii="Times New Roman" w:hAnsi="Times New Roman" w:cs="Times New Roman"/>
          <w:b/>
          <w:sz w:val="20"/>
          <w:szCs w:val="20"/>
        </w:rPr>
      </w:pPr>
      <w:r w:rsidRPr="00347C61">
        <w:rPr>
          <w:rFonts w:ascii="Times New Roman" w:hAnsi="Times New Roman" w:cs="Times New Roman"/>
          <w:b/>
          <w:sz w:val="20"/>
          <w:szCs w:val="20"/>
        </w:rPr>
        <w:t>Table S</w:t>
      </w:r>
      <w:r w:rsidR="002448E5" w:rsidRPr="00347C61">
        <w:rPr>
          <w:rFonts w:ascii="Times New Roman" w:hAnsi="Times New Roman" w:cs="Times New Roman"/>
          <w:b/>
          <w:sz w:val="20"/>
          <w:szCs w:val="20"/>
        </w:rPr>
        <w:t>11</w:t>
      </w:r>
      <w:r w:rsidR="00347C61">
        <w:rPr>
          <w:rFonts w:ascii="Times New Roman" w:hAnsi="Times New Roman" w:cs="Times New Roman"/>
          <w:b/>
          <w:sz w:val="20"/>
          <w:szCs w:val="20"/>
        </w:rPr>
        <w:t>.</w:t>
      </w:r>
      <w:r w:rsidR="00D22F20" w:rsidRPr="00D22F20">
        <w:rPr>
          <w:rFonts w:ascii="Times New Roman" w:hAnsi="Times New Roman" w:cs="Times New Roman"/>
          <w:b/>
          <w:sz w:val="20"/>
          <w:szCs w:val="20"/>
        </w:rPr>
        <w:t xml:space="preserve"> </w:t>
      </w:r>
      <w:proofErr w:type="gramStart"/>
      <w:r w:rsidR="00D22F20" w:rsidRPr="00D22F20">
        <w:rPr>
          <w:rFonts w:ascii="Times New Roman" w:hAnsi="Times New Roman" w:cs="Times New Roman"/>
          <w:sz w:val="20"/>
          <w:szCs w:val="20"/>
        </w:rPr>
        <w:t>Land demand from 2020-2050 in million ha/yr using baseline, high, and low cellulosic feedstock yield assumptions.</w:t>
      </w:r>
      <w:proofErr w:type="gramEnd"/>
      <w:r w:rsidR="00D22F20" w:rsidRPr="00D22F20">
        <w:rPr>
          <w:rFonts w:ascii="Times New Roman" w:hAnsi="Times New Roman" w:cs="Times New Roman"/>
          <w:b/>
          <w:sz w:val="20"/>
          <w:szCs w:val="20"/>
        </w:rPr>
        <w:t xml:space="preserve"> </w:t>
      </w:r>
    </w:p>
    <w:tbl>
      <w:tblPr>
        <w:tblW w:w="6880" w:type="dxa"/>
        <w:jc w:val="center"/>
        <w:tblInd w:w="95" w:type="dxa"/>
        <w:tblLook w:val="04A0"/>
      </w:tblPr>
      <w:tblGrid>
        <w:gridCol w:w="960"/>
        <w:gridCol w:w="2080"/>
        <w:gridCol w:w="960"/>
        <w:gridCol w:w="960"/>
        <w:gridCol w:w="960"/>
        <w:gridCol w:w="960"/>
      </w:tblGrid>
      <w:tr w:rsidR="0010300D" w:rsidRPr="00347C61" w:rsidTr="0010300D">
        <w:trPr>
          <w:trHeight w:val="300"/>
          <w:jc w:val="center"/>
        </w:trPr>
        <w:tc>
          <w:tcPr>
            <w:tcW w:w="960" w:type="dxa"/>
            <w:tcBorders>
              <w:top w:val="nil"/>
              <w:left w:val="nil"/>
              <w:bottom w:val="nil"/>
              <w:right w:val="nil"/>
            </w:tcBorders>
            <w:shd w:val="clear" w:color="auto" w:fill="auto"/>
            <w:noWrap/>
            <w:vAlign w:val="center"/>
            <w:hideMark/>
          </w:tcPr>
          <w:p w:rsidR="0010300D" w:rsidRPr="00347C61" w:rsidRDefault="00D22F20" w:rsidP="0010300D">
            <w:pPr>
              <w:keepNext/>
              <w:keepLines/>
              <w:spacing w:after="0" w:line="240" w:lineRule="auto"/>
              <w:jc w:val="center"/>
              <w:outlineLvl w:val="0"/>
              <w:rPr>
                <w:rFonts w:ascii="Times New Roman" w:eastAsia="Times New Roman" w:hAnsi="Times New Roman" w:cs="Times New Roman"/>
                <w:b/>
                <w:bCs/>
                <w:color w:val="000000"/>
                <w:sz w:val="20"/>
                <w:szCs w:val="20"/>
              </w:rPr>
            </w:pPr>
            <w:r w:rsidRPr="00D22F20">
              <w:rPr>
                <w:rFonts w:ascii="Times New Roman" w:eastAsia="Times New Roman" w:hAnsi="Times New Roman" w:cs="Times New Roman"/>
                <w:b/>
                <w:bCs/>
                <w:color w:val="000000"/>
                <w:sz w:val="20"/>
                <w:szCs w:val="20"/>
              </w:rPr>
              <w:t>Region</w:t>
            </w:r>
          </w:p>
        </w:tc>
        <w:tc>
          <w:tcPr>
            <w:tcW w:w="2080" w:type="dxa"/>
            <w:tcBorders>
              <w:top w:val="nil"/>
              <w:left w:val="nil"/>
              <w:bottom w:val="nil"/>
              <w:right w:val="nil"/>
            </w:tcBorders>
            <w:shd w:val="clear" w:color="auto" w:fill="auto"/>
            <w:noWrap/>
            <w:vAlign w:val="center"/>
            <w:hideMark/>
          </w:tcPr>
          <w:p w:rsidR="0010300D" w:rsidRPr="00347C61" w:rsidRDefault="00D22F20" w:rsidP="0010300D">
            <w:pPr>
              <w:keepNext/>
              <w:keepLines/>
              <w:spacing w:after="0" w:line="240" w:lineRule="auto"/>
              <w:jc w:val="center"/>
              <w:outlineLvl w:val="0"/>
              <w:rPr>
                <w:rFonts w:ascii="Times New Roman" w:eastAsia="Times New Roman" w:hAnsi="Times New Roman" w:cs="Times New Roman"/>
                <w:b/>
                <w:bCs/>
                <w:color w:val="000000"/>
                <w:sz w:val="20"/>
                <w:szCs w:val="20"/>
              </w:rPr>
            </w:pPr>
            <w:r w:rsidRPr="00D22F20">
              <w:rPr>
                <w:rFonts w:ascii="Times New Roman" w:eastAsia="Times New Roman" w:hAnsi="Times New Roman" w:cs="Times New Roman"/>
                <w:b/>
                <w:bCs/>
                <w:color w:val="000000"/>
                <w:sz w:val="20"/>
                <w:szCs w:val="20"/>
              </w:rPr>
              <w:t>Yearly Yield Increase</w:t>
            </w:r>
          </w:p>
        </w:tc>
        <w:tc>
          <w:tcPr>
            <w:tcW w:w="960" w:type="dxa"/>
            <w:tcBorders>
              <w:top w:val="nil"/>
              <w:left w:val="nil"/>
              <w:bottom w:val="nil"/>
              <w:right w:val="nil"/>
            </w:tcBorders>
            <w:shd w:val="clear" w:color="auto" w:fill="auto"/>
            <w:noWrap/>
            <w:vAlign w:val="center"/>
            <w:hideMark/>
          </w:tcPr>
          <w:p w:rsidR="0010300D" w:rsidRPr="00347C61" w:rsidRDefault="00D22F20" w:rsidP="0010300D">
            <w:pPr>
              <w:keepNext/>
              <w:keepLines/>
              <w:spacing w:after="0" w:line="240" w:lineRule="auto"/>
              <w:jc w:val="center"/>
              <w:outlineLvl w:val="0"/>
              <w:rPr>
                <w:rFonts w:ascii="Times New Roman" w:eastAsia="Times New Roman" w:hAnsi="Times New Roman" w:cs="Times New Roman"/>
                <w:b/>
                <w:bCs/>
                <w:color w:val="000000"/>
                <w:sz w:val="20"/>
                <w:szCs w:val="20"/>
              </w:rPr>
            </w:pPr>
            <w:r w:rsidRPr="00D22F20">
              <w:rPr>
                <w:rFonts w:ascii="Times New Roman" w:eastAsia="Times New Roman" w:hAnsi="Times New Roman" w:cs="Times New Roman"/>
                <w:b/>
                <w:bCs/>
                <w:color w:val="000000"/>
                <w:sz w:val="20"/>
                <w:szCs w:val="20"/>
              </w:rPr>
              <w:t>2020</w:t>
            </w:r>
          </w:p>
        </w:tc>
        <w:tc>
          <w:tcPr>
            <w:tcW w:w="960" w:type="dxa"/>
            <w:tcBorders>
              <w:top w:val="nil"/>
              <w:left w:val="nil"/>
              <w:bottom w:val="nil"/>
              <w:right w:val="nil"/>
            </w:tcBorders>
            <w:shd w:val="clear" w:color="auto" w:fill="auto"/>
            <w:noWrap/>
            <w:vAlign w:val="center"/>
            <w:hideMark/>
          </w:tcPr>
          <w:p w:rsidR="0010300D" w:rsidRPr="00347C61" w:rsidRDefault="00D22F20" w:rsidP="0010300D">
            <w:pPr>
              <w:keepNext/>
              <w:keepLines/>
              <w:spacing w:after="0" w:line="240" w:lineRule="auto"/>
              <w:jc w:val="center"/>
              <w:outlineLvl w:val="0"/>
              <w:rPr>
                <w:rFonts w:ascii="Times New Roman" w:eastAsia="Times New Roman" w:hAnsi="Times New Roman" w:cs="Times New Roman"/>
                <w:b/>
                <w:bCs/>
                <w:color w:val="000000"/>
                <w:sz w:val="20"/>
                <w:szCs w:val="20"/>
              </w:rPr>
            </w:pPr>
            <w:r w:rsidRPr="00D22F20">
              <w:rPr>
                <w:rFonts w:ascii="Times New Roman" w:eastAsia="Times New Roman" w:hAnsi="Times New Roman" w:cs="Times New Roman"/>
                <w:b/>
                <w:bCs/>
                <w:color w:val="000000"/>
                <w:sz w:val="20"/>
                <w:szCs w:val="20"/>
              </w:rPr>
              <w:t>2030</w:t>
            </w:r>
          </w:p>
        </w:tc>
        <w:tc>
          <w:tcPr>
            <w:tcW w:w="960" w:type="dxa"/>
            <w:tcBorders>
              <w:top w:val="nil"/>
              <w:left w:val="nil"/>
              <w:bottom w:val="nil"/>
              <w:right w:val="nil"/>
            </w:tcBorders>
            <w:shd w:val="clear" w:color="auto" w:fill="auto"/>
            <w:noWrap/>
            <w:vAlign w:val="center"/>
            <w:hideMark/>
          </w:tcPr>
          <w:p w:rsidR="0010300D" w:rsidRPr="00347C61" w:rsidRDefault="00D22F20" w:rsidP="0010300D">
            <w:pPr>
              <w:keepNext/>
              <w:keepLines/>
              <w:spacing w:after="0" w:line="240" w:lineRule="auto"/>
              <w:jc w:val="center"/>
              <w:outlineLvl w:val="0"/>
              <w:rPr>
                <w:rFonts w:ascii="Times New Roman" w:eastAsia="Times New Roman" w:hAnsi="Times New Roman" w:cs="Times New Roman"/>
                <w:b/>
                <w:bCs/>
                <w:color w:val="000000"/>
                <w:sz w:val="20"/>
                <w:szCs w:val="20"/>
              </w:rPr>
            </w:pPr>
            <w:r w:rsidRPr="00D22F20">
              <w:rPr>
                <w:rFonts w:ascii="Times New Roman" w:eastAsia="Times New Roman" w:hAnsi="Times New Roman" w:cs="Times New Roman"/>
                <w:b/>
                <w:bCs/>
                <w:color w:val="000000"/>
                <w:sz w:val="20"/>
                <w:szCs w:val="20"/>
              </w:rPr>
              <w:t>2040</w:t>
            </w:r>
          </w:p>
        </w:tc>
        <w:tc>
          <w:tcPr>
            <w:tcW w:w="960" w:type="dxa"/>
            <w:tcBorders>
              <w:top w:val="nil"/>
              <w:left w:val="nil"/>
              <w:bottom w:val="nil"/>
              <w:right w:val="nil"/>
            </w:tcBorders>
            <w:shd w:val="clear" w:color="auto" w:fill="auto"/>
            <w:noWrap/>
            <w:vAlign w:val="center"/>
            <w:hideMark/>
          </w:tcPr>
          <w:p w:rsidR="0010300D" w:rsidRPr="00347C61" w:rsidRDefault="00D22F20" w:rsidP="0010300D">
            <w:pPr>
              <w:keepNext/>
              <w:keepLines/>
              <w:spacing w:after="0" w:line="240" w:lineRule="auto"/>
              <w:jc w:val="center"/>
              <w:outlineLvl w:val="0"/>
              <w:rPr>
                <w:rFonts w:ascii="Times New Roman" w:eastAsia="Times New Roman" w:hAnsi="Times New Roman" w:cs="Times New Roman"/>
                <w:b/>
                <w:bCs/>
                <w:color w:val="000000"/>
                <w:sz w:val="20"/>
                <w:szCs w:val="20"/>
              </w:rPr>
            </w:pPr>
            <w:r w:rsidRPr="00D22F20">
              <w:rPr>
                <w:rFonts w:ascii="Times New Roman" w:eastAsia="Times New Roman" w:hAnsi="Times New Roman" w:cs="Times New Roman"/>
                <w:b/>
                <w:bCs/>
                <w:color w:val="000000"/>
                <w:sz w:val="20"/>
                <w:szCs w:val="20"/>
              </w:rPr>
              <w:t>2050</w:t>
            </w:r>
          </w:p>
        </w:tc>
      </w:tr>
      <w:tr w:rsidR="0010300D" w:rsidRPr="00732824" w:rsidTr="0010300D">
        <w:trPr>
          <w:trHeight w:val="300"/>
          <w:jc w:val="center"/>
        </w:trPr>
        <w:tc>
          <w:tcPr>
            <w:tcW w:w="960" w:type="dxa"/>
            <w:tcBorders>
              <w:top w:val="single" w:sz="4" w:space="0" w:color="auto"/>
              <w:left w:val="nil"/>
              <w:bottom w:val="nil"/>
              <w:right w:val="nil"/>
            </w:tcBorders>
            <w:shd w:val="clear" w:color="auto" w:fill="auto"/>
            <w:noWrap/>
            <w:vAlign w:val="bottom"/>
            <w:hideMark/>
          </w:tcPr>
          <w:p w:rsidR="0010300D" w:rsidRPr="00732824"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USA</w:t>
            </w:r>
          </w:p>
        </w:tc>
        <w:tc>
          <w:tcPr>
            <w:tcW w:w="2080" w:type="dxa"/>
            <w:tcBorders>
              <w:top w:val="single" w:sz="4" w:space="0" w:color="auto"/>
              <w:left w:val="nil"/>
              <w:bottom w:val="nil"/>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1% (Base)</w:t>
            </w:r>
          </w:p>
        </w:tc>
        <w:tc>
          <w:tcPr>
            <w:tcW w:w="960" w:type="dxa"/>
            <w:tcBorders>
              <w:top w:val="single" w:sz="4" w:space="0" w:color="auto"/>
              <w:left w:val="nil"/>
              <w:bottom w:val="nil"/>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50</w:t>
            </w:r>
          </w:p>
        </w:tc>
        <w:tc>
          <w:tcPr>
            <w:tcW w:w="960" w:type="dxa"/>
            <w:tcBorders>
              <w:top w:val="single" w:sz="4" w:space="0" w:color="auto"/>
              <w:left w:val="nil"/>
              <w:bottom w:val="nil"/>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67</w:t>
            </w:r>
          </w:p>
        </w:tc>
        <w:tc>
          <w:tcPr>
            <w:tcW w:w="960" w:type="dxa"/>
            <w:tcBorders>
              <w:top w:val="single" w:sz="4" w:space="0" w:color="auto"/>
              <w:left w:val="nil"/>
              <w:bottom w:val="nil"/>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81</w:t>
            </w:r>
          </w:p>
        </w:tc>
        <w:tc>
          <w:tcPr>
            <w:tcW w:w="960" w:type="dxa"/>
            <w:tcBorders>
              <w:top w:val="single" w:sz="4" w:space="0" w:color="auto"/>
              <w:left w:val="nil"/>
              <w:bottom w:val="nil"/>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93</w:t>
            </w:r>
          </w:p>
        </w:tc>
      </w:tr>
      <w:tr w:rsidR="0010300D" w:rsidRPr="00732824" w:rsidTr="0010300D">
        <w:trPr>
          <w:trHeight w:val="300"/>
          <w:jc w:val="center"/>
        </w:trPr>
        <w:tc>
          <w:tcPr>
            <w:tcW w:w="960" w:type="dxa"/>
            <w:tcBorders>
              <w:top w:val="nil"/>
              <w:left w:val="nil"/>
              <w:bottom w:val="single" w:sz="4" w:space="0" w:color="auto"/>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ROW</w:t>
            </w:r>
          </w:p>
        </w:tc>
        <w:tc>
          <w:tcPr>
            <w:tcW w:w="2080" w:type="dxa"/>
            <w:tcBorders>
              <w:top w:val="nil"/>
              <w:left w:val="nil"/>
              <w:bottom w:val="single" w:sz="4" w:space="0" w:color="auto"/>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1% (Base)</w:t>
            </w:r>
          </w:p>
        </w:tc>
        <w:tc>
          <w:tcPr>
            <w:tcW w:w="960" w:type="dxa"/>
            <w:tcBorders>
              <w:top w:val="nil"/>
              <w:left w:val="nil"/>
              <w:bottom w:val="single" w:sz="4" w:space="0" w:color="auto"/>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222</w:t>
            </w:r>
          </w:p>
        </w:tc>
        <w:tc>
          <w:tcPr>
            <w:tcW w:w="960" w:type="dxa"/>
            <w:tcBorders>
              <w:top w:val="nil"/>
              <w:left w:val="nil"/>
              <w:bottom w:val="single" w:sz="4" w:space="0" w:color="auto"/>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371</w:t>
            </w:r>
          </w:p>
        </w:tc>
        <w:tc>
          <w:tcPr>
            <w:tcW w:w="960" w:type="dxa"/>
            <w:tcBorders>
              <w:top w:val="nil"/>
              <w:left w:val="nil"/>
              <w:bottom w:val="single" w:sz="4" w:space="0" w:color="auto"/>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496</w:t>
            </w:r>
          </w:p>
        </w:tc>
        <w:tc>
          <w:tcPr>
            <w:tcW w:w="960" w:type="dxa"/>
            <w:tcBorders>
              <w:top w:val="nil"/>
              <w:left w:val="nil"/>
              <w:bottom w:val="single" w:sz="4" w:space="0" w:color="auto"/>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604</w:t>
            </w:r>
          </w:p>
        </w:tc>
      </w:tr>
      <w:tr w:rsidR="0010300D" w:rsidRPr="00347C61" w:rsidTr="0010300D">
        <w:trPr>
          <w:trHeight w:val="300"/>
          <w:jc w:val="center"/>
        </w:trPr>
        <w:tc>
          <w:tcPr>
            <w:tcW w:w="960" w:type="dxa"/>
            <w:tcBorders>
              <w:top w:val="nil"/>
              <w:left w:val="nil"/>
              <w:bottom w:val="nil"/>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USA</w:t>
            </w:r>
          </w:p>
        </w:tc>
        <w:tc>
          <w:tcPr>
            <w:tcW w:w="2080" w:type="dxa"/>
            <w:tcBorders>
              <w:top w:val="nil"/>
              <w:left w:val="nil"/>
              <w:bottom w:val="nil"/>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1.5% (High)</w:t>
            </w:r>
          </w:p>
        </w:tc>
        <w:tc>
          <w:tcPr>
            <w:tcW w:w="960" w:type="dxa"/>
            <w:tcBorders>
              <w:top w:val="nil"/>
              <w:left w:val="nil"/>
              <w:bottom w:val="nil"/>
              <w:right w:val="nil"/>
            </w:tcBorders>
            <w:shd w:val="clear" w:color="auto" w:fill="auto"/>
            <w:noWrap/>
            <w:vAlign w:val="center"/>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50</w:t>
            </w:r>
          </w:p>
        </w:tc>
        <w:tc>
          <w:tcPr>
            <w:tcW w:w="960" w:type="dxa"/>
            <w:tcBorders>
              <w:top w:val="nil"/>
              <w:left w:val="nil"/>
              <w:bottom w:val="nil"/>
              <w:right w:val="nil"/>
            </w:tcBorders>
            <w:shd w:val="clear" w:color="auto" w:fill="auto"/>
            <w:noWrap/>
            <w:vAlign w:val="center"/>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66</w:t>
            </w:r>
          </w:p>
        </w:tc>
        <w:tc>
          <w:tcPr>
            <w:tcW w:w="960" w:type="dxa"/>
            <w:tcBorders>
              <w:top w:val="nil"/>
              <w:left w:val="nil"/>
              <w:bottom w:val="nil"/>
              <w:right w:val="nil"/>
            </w:tcBorders>
            <w:shd w:val="clear" w:color="auto" w:fill="auto"/>
            <w:noWrap/>
            <w:vAlign w:val="center"/>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78</w:t>
            </w:r>
          </w:p>
        </w:tc>
        <w:tc>
          <w:tcPr>
            <w:tcW w:w="960" w:type="dxa"/>
            <w:tcBorders>
              <w:top w:val="nil"/>
              <w:left w:val="nil"/>
              <w:bottom w:val="nil"/>
              <w:right w:val="nil"/>
            </w:tcBorders>
            <w:shd w:val="clear" w:color="auto" w:fill="auto"/>
            <w:noWrap/>
            <w:vAlign w:val="center"/>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87</w:t>
            </w:r>
          </w:p>
        </w:tc>
      </w:tr>
      <w:tr w:rsidR="0010300D" w:rsidRPr="00347C61" w:rsidTr="0010300D">
        <w:trPr>
          <w:trHeight w:val="300"/>
          <w:jc w:val="center"/>
        </w:trPr>
        <w:tc>
          <w:tcPr>
            <w:tcW w:w="960" w:type="dxa"/>
            <w:tcBorders>
              <w:top w:val="nil"/>
              <w:left w:val="nil"/>
              <w:bottom w:val="single" w:sz="4" w:space="0" w:color="auto"/>
              <w:right w:val="nil"/>
            </w:tcBorders>
            <w:shd w:val="clear" w:color="auto" w:fill="auto"/>
            <w:noWrap/>
            <w:vAlign w:val="bottom"/>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ROW</w:t>
            </w:r>
          </w:p>
        </w:tc>
        <w:tc>
          <w:tcPr>
            <w:tcW w:w="2080" w:type="dxa"/>
            <w:tcBorders>
              <w:top w:val="nil"/>
              <w:left w:val="nil"/>
              <w:bottom w:val="single" w:sz="4" w:space="0" w:color="auto"/>
              <w:right w:val="nil"/>
            </w:tcBorders>
            <w:shd w:val="clear" w:color="auto" w:fill="auto"/>
            <w:noWrap/>
            <w:vAlign w:val="bottom"/>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1.5% (High)</w:t>
            </w:r>
          </w:p>
        </w:tc>
        <w:tc>
          <w:tcPr>
            <w:tcW w:w="960" w:type="dxa"/>
            <w:tcBorders>
              <w:top w:val="nil"/>
              <w:left w:val="nil"/>
              <w:bottom w:val="single" w:sz="4" w:space="0" w:color="auto"/>
              <w:right w:val="nil"/>
            </w:tcBorders>
            <w:shd w:val="clear" w:color="auto" w:fill="auto"/>
            <w:noWrap/>
            <w:vAlign w:val="center"/>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222</w:t>
            </w:r>
          </w:p>
        </w:tc>
        <w:tc>
          <w:tcPr>
            <w:tcW w:w="960" w:type="dxa"/>
            <w:tcBorders>
              <w:top w:val="nil"/>
              <w:left w:val="nil"/>
              <w:bottom w:val="single" w:sz="4" w:space="0" w:color="auto"/>
              <w:right w:val="nil"/>
            </w:tcBorders>
            <w:shd w:val="clear" w:color="auto" w:fill="auto"/>
            <w:noWrap/>
            <w:vAlign w:val="center"/>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370</w:t>
            </w:r>
          </w:p>
        </w:tc>
        <w:tc>
          <w:tcPr>
            <w:tcW w:w="960" w:type="dxa"/>
            <w:tcBorders>
              <w:top w:val="nil"/>
              <w:left w:val="nil"/>
              <w:bottom w:val="single" w:sz="4" w:space="0" w:color="auto"/>
              <w:right w:val="nil"/>
            </w:tcBorders>
            <w:shd w:val="clear" w:color="auto" w:fill="auto"/>
            <w:noWrap/>
            <w:vAlign w:val="center"/>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493</w:t>
            </w:r>
          </w:p>
        </w:tc>
        <w:tc>
          <w:tcPr>
            <w:tcW w:w="960" w:type="dxa"/>
            <w:tcBorders>
              <w:top w:val="nil"/>
              <w:left w:val="nil"/>
              <w:bottom w:val="single" w:sz="4" w:space="0" w:color="auto"/>
              <w:right w:val="nil"/>
            </w:tcBorders>
            <w:shd w:val="clear" w:color="auto" w:fill="auto"/>
            <w:noWrap/>
            <w:vAlign w:val="center"/>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598</w:t>
            </w:r>
          </w:p>
        </w:tc>
      </w:tr>
      <w:tr w:rsidR="0010300D" w:rsidRPr="00732824" w:rsidTr="0010300D">
        <w:trPr>
          <w:trHeight w:val="300"/>
          <w:jc w:val="center"/>
        </w:trPr>
        <w:tc>
          <w:tcPr>
            <w:tcW w:w="960" w:type="dxa"/>
            <w:tcBorders>
              <w:top w:val="nil"/>
              <w:left w:val="nil"/>
              <w:bottom w:val="nil"/>
              <w:right w:val="nil"/>
            </w:tcBorders>
            <w:shd w:val="clear" w:color="auto" w:fill="auto"/>
            <w:noWrap/>
            <w:vAlign w:val="bottom"/>
            <w:hideMark/>
          </w:tcPr>
          <w:p w:rsidR="0010300D" w:rsidRPr="00732824"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USA</w:t>
            </w:r>
          </w:p>
        </w:tc>
        <w:tc>
          <w:tcPr>
            <w:tcW w:w="2080" w:type="dxa"/>
            <w:tcBorders>
              <w:top w:val="nil"/>
              <w:left w:val="nil"/>
              <w:bottom w:val="nil"/>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0.5% (Low)</w:t>
            </w:r>
          </w:p>
        </w:tc>
        <w:tc>
          <w:tcPr>
            <w:tcW w:w="960" w:type="dxa"/>
            <w:tcBorders>
              <w:top w:val="nil"/>
              <w:left w:val="nil"/>
              <w:bottom w:val="nil"/>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50</w:t>
            </w:r>
          </w:p>
        </w:tc>
        <w:tc>
          <w:tcPr>
            <w:tcW w:w="960" w:type="dxa"/>
            <w:tcBorders>
              <w:top w:val="nil"/>
              <w:left w:val="nil"/>
              <w:bottom w:val="nil"/>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68</w:t>
            </w:r>
          </w:p>
        </w:tc>
        <w:tc>
          <w:tcPr>
            <w:tcW w:w="960" w:type="dxa"/>
            <w:tcBorders>
              <w:top w:val="nil"/>
              <w:left w:val="nil"/>
              <w:bottom w:val="nil"/>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85</w:t>
            </w:r>
          </w:p>
        </w:tc>
        <w:tc>
          <w:tcPr>
            <w:tcW w:w="960" w:type="dxa"/>
            <w:tcBorders>
              <w:top w:val="nil"/>
              <w:left w:val="nil"/>
              <w:bottom w:val="nil"/>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100</w:t>
            </w:r>
          </w:p>
        </w:tc>
      </w:tr>
      <w:tr w:rsidR="0010300D" w:rsidRPr="00732824" w:rsidTr="0010300D">
        <w:trPr>
          <w:trHeight w:val="300"/>
          <w:jc w:val="center"/>
        </w:trPr>
        <w:tc>
          <w:tcPr>
            <w:tcW w:w="960" w:type="dxa"/>
            <w:tcBorders>
              <w:top w:val="nil"/>
              <w:left w:val="nil"/>
              <w:bottom w:val="single" w:sz="4" w:space="0" w:color="auto"/>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lastRenderedPageBreak/>
              <w:t>ROW</w:t>
            </w:r>
          </w:p>
        </w:tc>
        <w:tc>
          <w:tcPr>
            <w:tcW w:w="2080" w:type="dxa"/>
            <w:tcBorders>
              <w:top w:val="nil"/>
              <w:left w:val="nil"/>
              <w:bottom w:val="single" w:sz="4" w:space="0" w:color="auto"/>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0.5% (Low)</w:t>
            </w:r>
          </w:p>
        </w:tc>
        <w:tc>
          <w:tcPr>
            <w:tcW w:w="960" w:type="dxa"/>
            <w:tcBorders>
              <w:top w:val="nil"/>
              <w:left w:val="nil"/>
              <w:bottom w:val="single" w:sz="4" w:space="0" w:color="auto"/>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222</w:t>
            </w:r>
          </w:p>
        </w:tc>
        <w:tc>
          <w:tcPr>
            <w:tcW w:w="960" w:type="dxa"/>
            <w:tcBorders>
              <w:top w:val="nil"/>
              <w:left w:val="nil"/>
              <w:bottom w:val="single" w:sz="4" w:space="0" w:color="auto"/>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372</w:t>
            </w:r>
          </w:p>
        </w:tc>
        <w:tc>
          <w:tcPr>
            <w:tcW w:w="960" w:type="dxa"/>
            <w:tcBorders>
              <w:top w:val="nil"/>
              <w:left w:val="nil"/>
              <w:bottom w:val="single" w:sz="4" w:space="0" w:color="auto"/>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500</w:t>
            </w:r>
          </w:p>
        </w:tc>
        <w:tc>
          <w:tcPr>
            <w:tcW w:w="960" w:type="dxa"/>
            <w:tcBorders>
              <w:top w:val="nil"/>
              <w:left w:val="nil"/>
              <w:bottom w:val="single" w:sz="4" w:space="0" w:color="auto"/>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610</w:t>
            </w:r>
          </w:p>
        </w:tc>
      </w:tr>
    </w:tbl>
    <w:p w:rsidR="0010300D" w:rsidRDefault="0010300D" w:rsidP="0010300D">
      <w:pPr>
        <w:rPr>
          <w:rFonts w:ascii="Times New Roman" w:hAnsi="Times New Roman" w:cs="Times New Roman"/>
          <w:b/>
          <w:sz w:val="22"/>
          <w:szCs w:val="22"/>
        </w:rPr>
      </w:pPr>
    </w:p>
    <w:p w:rsidR="0068582A" w:rsidRPr="00347C61" w:rsidRDefault="007A6B7E" w:rsidP="00231910">
      <w:pPr>
        <w:spacing w:after="0"/>
        <w:rPr>
          <w:rFonts w:ascii="Times New Roman" w:hAnsi="Times New Roman" w:cs="Times New Roman"/>
          <w:b/>
          <w:sz w:val="20"/>
          <w:szCs w:val="20"/>
        </w:rPr>
      </w:pPr>
      <w:r w:rsidRPr="00347C61">
        <w:rPr>
          <w:rFonts w:ascii="Times New Roman" w:hAnsi="Times New Roman" w:cs="Times New Roman"/>
          <w:b/>
          <w:sz w:val="20"/>
          <w:szCs w:val="20"/>
        </w:rPr>
        <w:t>Table S12</w:t>
      </w:r>
      <w:r w:rsidR="00347C61">
        <w:rPr>
          <w:rFonts w:ascii="Times New Roman" w:hAnsi="Times New Roman" w:cs="Times New Roman"/>
          <w:b/>
          <w:sz w:val="20"/>
          <w:szCs w:val="20"/>
        </w:rPr>
        <w:t>.</w:t>
      </w:r>
      <w:r w:rsidR="00D22F20" w:rsidRPr="00D22F20">
        <w:rPr>
          <w:rFonts w:ascii="Times New Roman" w:hAnsi="Times New Roman" w:cs="Times New Roman"/>
          <w:b/>
          <w:sz w:val="20"/>
          <w:szCs w:val="20"/>
        </w:rPr>
        <w:t xml:space="preserve"> </w:t>
      </w:r>
      <w:proofErr w:type="gramStart"/>
      <w:r w:rsidR="00D22F20" w:rsidRPr="00D22F20">
        <w:rPr>
          <w:rFonts w:ascii="Times New Roman" w:hAnsi="Times New Roman" w:cs="Times New Roman"/>
          <w:sz w:val="20"/>
          <w:szCs w:val="20"/>
        </w:rPr>
        <w:t>Difference in land demand in the high and low cellulosic feedstock yield scenarios relative to the baseline case from 2020-2050.</w:t>
      </w:r>
      <w:proofErr w:type="gramEnd"/>
      <w:r w:rsidR="00D22F20" w:rsidRPr="00D22F20">
        <w:rPr>
          <w:rFonts w:ascii="Times New Roman" w:hAnsi="Times New Roman" w:cs="Times New Roman"/>
          <w:sz w:val="20"/>
          <w:szCs w:val="20"/>
        </w:rPr>
        <w:t xml:space="preserve"> The difference in land demand is presented in terms of </w:t>
      </w:r>
      <w:r w:rsidR="00AC2F14" w:rsidRPr="00AC2F14">
        <w:rPr>
          <w:rFonts w:ascii="Times New Roman" w:hAnsi="Times New Roman" w:cs="Times New Roman"/>
          <w:sz w:val="20"/>
          <w:szCs w:val="20"/>
        </w:rPr>
        <w:t>annual wheat demand of 1 million people</w:t>
      </w:r>
      <w:r w:rsidR="00D22F20" w:rsidRPr="00D22F20">
        <w:rPr>
          <w:rFonts w:ascii="Times New Roman" w:hAnsi="Times New Roman" w:cs="Times New Roman"/>
          <w:sz w:val="20"/>
          <w:szCs w:val="20"/>
        </w:rPr>
        <w:t xml:space="preserve"> (</w:t>
      </w:r>
      <w:proofErr w:type="spellStart"/>
      <w:r w:rsidR="00D22F20" w:rsidRPr="00D22F20">
        <w:rPr>
          <w:rFonts w:ascii="Times New Roman" w:hAnsi="Times New Roman" w:cs="Times New Roman"/>
          <w:sz w:val="20"/>
          <w:szCs w:val="20"/>
        </w:rPr>
        <w:t>Alexandratos</w:t>
      </w:r>
      <w:proofErr w:type="spellEnd"/>
      <w:r w:rsidR="00D22F20" w:rsidRPr="00D22F20">
        <w:rPr>
          <w:rFonts w:ascii="Times New Roman" w:hAnsi="Times New Roman" w:cs="Times New Roman"/>
          <w:sz w:val="20"/>
          <w:szCs w:val="20"/>
        </w:rPr>
        <w:t xml:space="preserve"> and </w:t>
      </w:r>
      <w:proofErr w:type="spellStart"/>
      <w:r w:rsidR="00D22F20" w:rsidRPr="00D22F20">
        <w:rPr>
          <w:rFonts w:ascii="Times New Roman" w:hAnsi="Times New Roman" w:cs="Times New Roman"/>
          <w:sz w:val="20"/>
          <w:szCs w:val="20"/>
        </w:rPr>
        <w:t>Bruinsma</w:t>
      </w:r>
      <w:proofErr w:type="spellEnd"/>
      <w:r w:rsidR="00D22F20" w:rsidRPr="00D22F20">
        <w:rPr>
          <w:rFonts w:ascii="Times New Roman" w:hAnsi="Times New Roman" w:cs="Times New Roman"/>
          <w:sz w:val="20"/>
          <w:szCs w:val="20"/>
        </w:rPr>
        <w:t xml:space="preserve"> 2012).</w:t>
      </w:r>
      <w:r w:rsidR="00D22F20" w:rsidRPr="00D22F20">
        <w:rPr>
          <w:rFonts w:ascii="Times New Roman" w:hAnsi="Times New Roman" w:cs="Times New Roman"/>
          <w:b/>
          <w:sz w:val="20"/>
          <w:szCs w:val="20"/>
        </w:rPr>
        <w:t xml:space="preserve"> </w:t>
      </w:r>
    </w:p>
    <w:p w:rsidR="0010300D" w:rsidRPr="00347C61" w:rsidRDefault="0010300D" w:rsidP="00231910">
      <w:pPr>
        <w:spacing w:after="0"/>
        <w:rPr>
          <w:rFonts w:ascii="Times New Roman" w:hAnsi="Times New Roman" w:cs="Times New Roman"/>
          <w:b/>
          <w:sz w:val="20"/>
          <w:szCs w:val="20"/>
        </w:rPr>
      </w:pPr>
    </w:p>
    <w:tbl>
      <w:tblPr>
        <w:tblW w:w="6880" w:type="dxa"/>
        <w:jc w:val="center"/>
        <w:tblInd w:w="95" w:type="dxa"/>
        <w:tblLook w:val="04A0"/>
      </w:tblPr>
      <w:tblGrid>
        <w:gridCol w:w="960"/>
        <w:gridCol w:w="2080"/>
        <w:gridCol w:w="960"/>
        <w:gridCol w:w="960"/>
        <w:gridCol w:w="960"/>
        <w:gridCol w:w="960"/>
      </w:tblGrid>
      <w:tr w:rsidR="0010300D" w:rsidRPr="00347C61" w:rsidTr="0010300D">
        <w:trPr>
          <w:trHeight w:val="300"/>
          <w:jc w:val="center"/>
        </w:trPr>
        <w:tc>
          <w:tcPr>
            <w:tcW w:w="960" w:type="dxa"/>
            <w:tcBorders>
              <w:top w:val="single" w:sz="4" w:space="0" w:color="auto"/>
              <w:left w:val="nil"/>
              <w:bottom w:val="single" w:sz="4" w:space="0" w:color="auto"/>
              <w:right w:val="nil"/>
            </w:tcBorders>
            <w:shd w:val="clear" w:color="auto" w:fill="auto"/>
            <w:noWrap/>
            <w:vAlign w:val="center"/>
            <w:hideMark/>
          </w:tcPr>
          <w:p w:rsidR="0010300D" w:rsidRPr="00347C61" w:rsidRDefault="00D22F20" w:rsidP="0010300D">
            <w:pPr>
              <w:spacing w:after="0" w:line="240" w:lineRule="auto"/>
              <w:jc w:val="center"/>
              <w:rPr>
                <w:rFonts w:ascii="Times New Roman" w:eastAsia="Times New Roman" w:hAnsi="Times New Roman" w:cs="Times New Roman"/>
                <w:b/>
                <w:bCs/>
                <w:color w:val="000000"/>
                <w:sz w:val="20"/>
                <w:szCs w:val="20"/>
              </w:rPr>
            </w:pPr>
            <w:r w:rsidRPr="00D22F20">
              <w:rPr>
                <w:rFonts w:ascii="Times New Roman" w:eastAsia="Times New Roman" w:hAnsi="Times New Roman" w:cs="Times New Roman"/>
                <w:b/>
                <w:bCs/>
                <w:color w:val="000000"/>
                <w:sz w:val="20"/>
                <w:szCs w:val="20"/>
              </w:rPr>
              <w:t>Region</w:t>
            </w:r>
          </w:p>
        </w:tc>
        <w:tc>
          <w:tcPr>
            <w:tcW w:w="2080" w:type="dxa"/>
            <w:tcBorders>
              <w:top w:val="single" w:sz="4" w:space="0" w:color="auto"/>
              <w:left w:val="nil"/>
              <w:bottom w:val="single" w:sz="4" w:space="0" w:color="auto"/>
              <w:right w:val="nil"/>
            </w:tcBorders>
            <w:shd w:val="clear" w:color="auto" w:fill="auto"/>
            <w:noWrap/>
            <w:vAlign w:val="center"/>
            <w:hideMark/>
          </w:tcPr>
          <w:p w:rsidR="0010300D" w:rsidRPr="00347C61" w:rsidRDefault="00D22F20" w:rsidP="0010300D">
            <w:pPr>
              <w:spacing w:after="0" w:line="240" w:lineRule="auto"/>
              <w:jc w:val="center"/>
              <w:rPr>
                <w:rFonts w:ascii="Times New Roman" w:eastAsia="Times New Roman" w:hAnsi="Times New Roman" w:cs="Times New Roman"/>
                <w:b/>
                <w:bCs/>
                <w:color w:val="000000"/>
                <w:sz w:val="20"/>
                <w:szCs w:val="20"/>
              </w:rPr>
            </w:pPr>
            <w:r w:rsidRPr="00D22F20">
              <w:rPr>
                <w:rFonts w:ascii="Times New Roman" w:eastAsia="Times New Roman" w:hAnsi="Times New Roman" w:cs="Times New Roman"/>
                <w:b/>
                <w:bCs/>
                <w:color w:val="000000"/>
                <w:sz w:val="20"/>
                <w:szCs w:val="20"/>
              </w:rPr>
              <w:t>Yearly Yield Increase</w:t>
            </w:r>
          </w:p>
        </w:tc>
        <w:tc>
          <w:tcPr>
            <w:tcW w:w="960" w:type="dxa"/>
            <w:tcBorders>
              <w:top w:val="single" w:sz="4" w:space="0" w:color="auto"/>
              <w:left w:val="nil"/>
              <w:bottom w:val="single" w:sz="4" w:space="0" w:color="auto"/>
              <w:right w:val="nil"/>
            </w:tcBorders>
            <w:shd w:val="clear" w:color="auto" w:fill="auto"/>
            <w:noWrap/>
            <w:vAlign w:val="center"/>
            <w:hideMark/>
          </w:tcPr>
          <w:p w:rsidR="0010300D" w:rsidRPr="00347C61" w:rsidRDefault="00D22F20" w:rsidP="0010300D">
            <w:pPr>
              <w:spacing w:after="0" w:line="240" w:lineRule="auto"/>
              <w:jc w:val="center"/>
              <w:rPr>
                <w:rFonts w:ascii="Times New Roman" w:eastAsia="Times New Roman" w:hAnsi="Times New Roman" w:cs="Times New Roman"/>
                <w:b/>
                <w:bCs/>
                <w:color w:val="000000"/>
                <w:sz w:val="20"/>
                <w:szCs w:val="20"/>
              </w:rPr>
            </w:pPr>
            <w:r w:rsidRPr="00D22F20">
              <w:rPr>
                <w:rFonts w:ascii="Times New Roman" w:eastAsia="Times New Roman" w:hAnsi="Times New Roman" w:cs="Times New Roman"/>
                <w:b/>
                <w:bCs/>
                <w:color w:val="000000"/>
                <w:sz w:val="20"/>
                <w:szCs w:val="20"/>
              </w:rPr>
              <w:t>2020</w:t>
            </w:r>
          </w:p>
        </w:tc>
        <w:tc>
          <w:tcPr>
            <w:tcW w:w="960" w:type="dxa"/>
            <w:tcBorders>
              <w:top w:val="single" w:sz="4" w:space="0" w:color="auto"/>
              <w:left w:val="nil"/>
              <w:bottom w:val="single" w:sz="4" w:space="0" w:color="auto"/>
              <w:right w:val="nil"/>
            </w:tcBorders>
            <w:shd w:val="clear" w:color="auto" w:fill="auto"/>
            <w:noWrap/>
            <w:vAlign w:val="center"/>
            <w:hideMark/>
          </w:tcPr>
          <w:p w:rsidR="0010300D" w:rsidRPr="00347C61" w:rsidRDefault="00D22F20" w:rsidP="0010300D">
            <w:pPr>
              <w:spacing w:after="0" w:line="240" w:lineRule="auto"/>
              <w:jc w:val="center"/>
              <w:rPr>
                <w:rFonts w:ascii="Times New Roman" w:eastAsia="Times New Roman" w:hAnsi="Times New Roman" w:cs="Times New Roman"/>
                <w:b/>
                <w:bCs/>
                <w:color w:val="000000"/>
                <w:sz w:val="20"/>
                <w:szCs w:val="20"/>
              </w:rPr>
            </w:pPr>
            <w:r w:rsidRPr="00D22F20">
              <w:rPr>
                <w:rFonts w:ascii="Times New Roman" w:eastAsia="Times New Roman" w:hAnsi="Times New Roman" w:cs="Times New Roman"/>
                <w:b/>
                <w:bCs/>
                <w:color w:val="000000"/>
                <w:sz w:val="20"/>
                <w:szCs w:val="20"/>
              </w:rPr>
              <w:t>2030</w:t>
            </w:r>
          </w:p>
        </w:tc>
        <w:tc>
          <w:tcPr>
            <w:tcW w:w="960" w:type="dxa"/>
            <w:tcBorders>
              <w:top w:val="single" w:sz="4" w:space="0" w:color="auto"/>
              <w:left w:val="nil"/>
              <w:bottom w:val="single" w:sz="4" w:space="0" w:color="auto"/>
              <w:right w:val="nil"/>
            </w:tcBorders>
            <w:shd w:val="clear" w:color="auto" w:fill="auto"/>
            <w:noWrap/>
            <w:vAlign w:val="center"/>
            <w:hideMark/>
          </w:tcPr>
          <w:p w:rsidR="0010300D" w:rsidRPr="00347C61" w:rsidRDefault="00D22F20" w:rsidP="0010300D">
            <w:pPr>
              <w:spacing w:after="0" w:line="240" w:lineRule="auto"/>
              <w:jc w:val="center"/>
              <w:rPr>
                <w:rFonts w:ascii="Times New Roman" w:eastAsia="Times New Roman" w:hAnsi="Times New Roman" w:cs="Times New Roman"/>
                <w:b/>
                <w:bCs/>
                <w:color w:val="000000"/>
                <w:sz w:val="20"/>
                <w:szCs w:val="20"/>
              </w:rPr>
            </w:pPr>
            <w:r w:rsidRPr="00D22F20">
              <w:rPr>
                <w:rFonts w:ascii="Times New Roman" w:eastAsia="Times New Roman" w:hAnsi="Times New Roman" w:cs="Times New Roman"/>
                <w:b/>
                <w:bCs/>
                <w:color w:val="000000"/>
                <w:sz w:val="20"/>
                <w:szCs w:val="20"/>
              </w:rPr>
              <w:t>2040</w:t>
            </w:r>
          </w:p>
        </w:tc>
        <w:tc>
          <w:tcPr>
            <w:tcW w:w="960" w:type="dxa"/>
            <w:tcBorders>
              <w:top w:val="single" w:sz="4" w:space="0" w:color="auto"/>
              <w:left w:val="nil"/>
              <w:bottom w:val="single" w:sz="4" w:space="0" w:color="auto"/>
              <w:right w:val="nil"/>
            </w:tcBorders>
            <w:shd w:val="clear" w:color="auto" w:fill="auto"/>
            <w:noWrap/>
            <w:vAlign w:val="center"/>
            <w:hideMark/>
          </w:tcPr>
          <w:p w:rsidR="0010300D" w:rsidRPr="00347C61" w:rsidRDefault="00D22F20" w:rsidP="0010300D">
            <w:pPr>
              <w:spacing w:after="0" w:line="240" w:lineRule="auto"/>
              <w:jc w:val="center"/>
              <w:rPr>
                <w:rFonts w:ascii="Times New Roman" w:eastAsia="Times New Roman" w:hAnsi="Times New Roman" w:cs="Times New Roman"/>
                <w:b/>
                <w:bCs/>
                <w:color w:val="000000"/>
                <w:sz w:val="20"/>
                <w:szCs w:val="20"/>
              </w:rPr>
            </w:pPr>
            <w:r w:rsidRPr="00D22F20">
              <w:rPr>
                <w:rFonts w:ascii="Times New Roman" w:eastAsia="Times New Roman" w:hAnsi="Times New Roman" w:cs="Times New Roman"/>
                <w:b/>
                <w:bCs/>
                <w:color w:val="000000"/>
                <w:sz w:val="20"/>
                <w:szCs w:val="20"/>
              </w:rPr>
              <w:t>2050</w:t>
            </w:r>
          </w:p>
        </w:tc>
      </w:tr>
      <w:tr w:rsidR="0010300D" w:rsidRPr="00732824" w:rsidTr="0010300D">
        <w:trPr>
          <w:trHeight w:val="300"/>
          <w:jc w:val="center"/>
        </w:trPr>
        <w:tc>
          <w:tcPr>
            <w:tcW w:w="960" w:type="dxa"/>
            <w:tcBorders>
              <w:top w:val="nil"/>
              <w:left w:val="nil"/>
              <w:bottom w:val="nil"/>
              <w:right w:val="nil"/>
            </w:tcBorders>
            <w:shd w:val="clear" w:color="auto" w:fill="auto"/>
            <w:noWrap/>
            <w:vAlign w:val="bottom"/>
            <w:hideMark/>
          </w:tcPr>
          <w:p w:rsidR="0010300D" w:rsidRPr="00732824"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USA</w:t>
            </w:r>
          </w:p>
        </w:tc>
        <w:tc>
          <w:tcPr>
            <w:tcW w:w="2080" w:type="dxa"/>
            <w:tcBorders>
              <w:top w:val="nil"/>
              <w:left w:val="nil"/>
              <w:bottom w:val="nil"/>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1.5% (High)</w:t>
            </w:r>
          </w:p>
        </w:tc>
        <w:tc>
          <w:tcPr>
            <w:tcW w:w="960" w:type="dxa"/>
            <w:tcBorders>
              <w:top w:val="nil"/>
              <w:left w:val="nil"/>
              <w:bottom w:val="nil"/>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3</w:t>
            </w:r>
          </w:p>
        </w:tc>
        <w:tc>
          <w:tcPr>
            <w:tcW w:w="960" w:type="dxa"/>
            <w:tcBorders>
              <w:top w:val="nil"/>
              <w:left w:val="nil"/>
              <w:bottom w:val="nil"/>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75</w:t>
            </w:r>
          </w:p>
        </w:tc>
        <w:tc>
          <w:tcPr>
            <w:tcW w:w="960" w:type="dxa"/>
            <w:tcBorders>
              <w:top w:val="nil"/>
              <w:left w:val="nil"/>
              <w:bottom w:val="nil"/>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217</w:t>
            </w:r>
          </w:p>
        </w:tc>
        <w:tc>
          <w:tcPr>
            <w:tcW w:w="960" w:type="dxa"/>
            <w:tcBorders>
              <w:top w:val="nil"/>
              <w:left w:val="nil"/>
              <w:bottom w:val="nil"/>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413</w:t>
            </w:r>
          </w:p>
        </w:tc>
      </w:tr>
      <w:tr w:rsidR="0010300D" w:rsidRPr="00732824" w:rsidTr="0010300D">
        <w:trPr>
          <w:trHeight w:val="300"/>
          <w:jc w:val="center"/>
        </w:trPr>
        <w:tc>
          <w:tcPr>
            <w:tcW w:w="960" w:type="dxa"/>
            <w:tcBorders>
              <w:top w:val="nil"/>
              <w:left w:val="nil"/>
              <w:bottom w:val="single" w:sz="4" w:space="0" w:color="auto"/>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ROW</w:t>
            </w:r>
          </w:p>
        </w:tc>
        <w:tc>
          <w:tcPr>
            <w:tcW w:w="2080" w:type="dxa"/>
            <w:tcBorders>
              <w:top w:val="nil"/>
              <w:left w:val="nil"/>
              <w:bottom w:val="single" w:sz="4" w:space="0" w:color="auto"/>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1.5% (High)</w:t>
            </w:r>
          </w:p>
        </w:tc>
        <w:tc>
          <w:tcPr>
            <w:tcW w:w="960" w:type="dxa"/>
            <w:tcBorders>
              <w:top w:val="nil"/>
              <w:left w:val="nil"/>
              <w:bottom w:val="single" w:sz="4" w:space="0" w:color="auto"/>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83</w:t>
            </w:r>
          </w:p>
        </w:tc>
        <w:tc>
          <w:tcPr>
            <w:tcW w:w="960" w:type="dxa"/>
            <w:tcBorders>
              <w:top w:val="nil"/>
              <w:left w:val="nil"/>
              <w:bottom w:val="single" w:sz="4" w:space="0" w:color="auto"/>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242</w:t>
            </w:r>
          </w:p>
        </w:tc>
        <w:tc>
          <w:tcPr>
            <w:tcW w:w="960" w:type="dxa"/>
            <w:tcBorders>
              <w:top w:val="nil"/>
              <w:left w:val="nil"/>
              <w:bottom w:val="single" w:sz="4" w:space="0" w:color="auto"/>
              <w:right w:val="nil"/>
            </w:tcBorders>
            <w:shd w:val="clear" w:color="auto" w:fill="auto"/>
            <w:noWrap/>
            <w:vAlign w:val="center"/>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462</w:t>
            </w:r>
          </w:p>
        </w:tc>
      </w:tr>
      <w:tr w:rsidR="0010300D" w:rsidRPr="00347C61" w:rsidTr="0010300D">
        <w:trPr>
          <w:trHeight w:val="300"/>
          <w:jc w:val="center"/>
        </w:trPr>
        <w:tc>
          <w:tcPr>
            <w:tcW w:w="960" w:type="dxa"/>
            <w:tcBorders>
              <w:top w:val="nil"/>
              <w:left w:val="nil"/>
              <w:bottom w:val="nil"/>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USA</w:t>
            </w:r>
          </w:p>
        </w:tc>
        <w:tc>
          <w:tcPr>
            <w:tcW w:w="2080" w:type="dxa"/>
            <w:tcBorders>
              <w:top w:val="nil"/>
              <w:left w:val="nil"/>
              <w:bottom w:val="nil"/>
              <w:right w:val="nil"/>
            </w:tcBorders>
            <w:shd w:val="clear" w:color="auto" w:fill="auto"/>
            <w:noWrap/>
            <w:vAlign w:val="bottom"/>
            <w:hideMark/>
          </w:tcPr>
          <w:p w:rsidR="0010300D" w:rsidRPr="00732824" w:rsidRDefault="0010300D" w:rsidP="0010300D">
            <w:pPr>
              <w:spacing w:after="0" w:line="240" w:lineRule="auto"/>
              <w:jc w:val="center"/>
              <w:rPr>
                <w:rFonts w:ascii="Times New Roman" w:eastAsia="Times New Roman" w:hAnsi="Times New Roman" w:cs="Times New Roman"/>
                <w:color w:val="000000"/>
                <w:sz w:val="20"/>
                <w:szCs w:val="20"/>
              </w:rPr>
            </w:pPr>
            <w:r w:rsidRPr="00732824">
              <w:rPr>
                <w:rFonts w:ascii="Times New Roman" w:eastAsia="Times New Roman" w:hAnsi="Times New Roman" w:cs="Times New Roman"/>
                <w:color w:val="000000"/>
                <w:sz w:val="20"/>
                <w:szCs w:val="20"/>
              </w:rPr>
              <w:t>0.5% (Low)</w:t>
            </w:r>
          </w:p>
        </w:tc>
        <w:tc>
          <w:tcPr>
            <w:tcW w:w="960" w:type="dxa"/>
            <w:tcBorders>
              <w:top w:val="nil"/>
              <w:left w:val="nil"/>
              <w:bottom w:val="nil"/>
              <w:right w:val="nil"/>
            </w:tcBorders>
            <w:shd w:val="clear" w:color="auto" w:fill="auto"/>
            <w:noWrap/>
            <w:vAlign w:val="center"/>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-3</w:t>
            </w:r>
          </w:p>
        </w:tc>
        <w:tc>
          <w:tcPr>
            <w:tcW w:w="960" w:type="dxa"/>
            <w:tcBorders>
              <w:top w:val="nil"/>
              <w:left w:val="nil"/>
              <w:bottom w:val="nil"/>
              <w:right w:val="nil"/>
            </w:tcBorders>
            <w:shd w:val="clear" w:color="auto" w:fill="auto"/>
            <w:noWrap/>
            <w:vAlign w:val="center"/>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-81</w:t>
            </w:r>
          </w:p>
        </w:tc>
        <w:tc>
          <w:tcPr>
            <w:tcW w:w="960" w:type="dxa"/>
            <w:tcBorders>
              <w:top w:val="nil"/>
              <w:left w:val="nil"/>
              <w:bottom w:val="nil"/>
              <w:right w:val="nil"/>
            </w:tcBorders>
            <w:shd w:val="clear" w:color="auto" w:fill="auto"/>
            <w:noWrap/>
            <w:vAlign w:val="center"/>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-247</w:t>
            </w:r>
          </w:p>
        </w:tc>
        <w:tc>
          <w:tcPr>
            <w:tcW w:w="960" w:type="dxa"/>
            <w:tcBorders>
              <w:top w:val="nil"/>
              <w:left w:val="nil"/>
              <w:bottom w:val="nil"/>
              <w:right w:val="nil"/>
            </w:tcBorders>
            <w:shd w:val="clear" w:color="auto" w:fill="auto"/>
            <w:noWrap/>
            <w:vAlign w:val="center"/>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-496</w:t>
            </w:r>
          </w:p>
        </w:tc>
      </w:tr>
      <w:tr w:rsidR="0010300D" w:rsidRPr="00347C61" w:rsidTr="0010300D">
        <w:trPr>
          <w:trHeight w:val="300"/>
          <w:jc w:val="center"/>
        </w:trPr>
        <w:tc>
          <w:tcPr>
            <w:tcW w:w="960" w:type="dxa"/>
            <w:tcBorders>
              <w:top w:val="nil"/>
              <w:left w:val="nil"/>
              <w:bottom w:val="single" w:sz="4" w:space="0" w:color="auto"/>
              <w:right w:val="nil"/>
            </w:tcBorders>
            <w:shd w:val="clear" w:color="auto" w:fill="auto"/>
            <w:noWrap/>
            <w:vAlign w:val="bottom"/>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ROW</w:t>
            </w:r>
          </w:p>
        </w:tc>
        <w:tc>
          <w:tcPr>
            <w:tcW w:w="2080" w:type="dxa"/>
            <w:tcBorders>
              <w:top w:val="nil"/>
              <w:left w:val="nil"/>
              <w:bottom w:val="single" w:sz="4" w:space="0" w:color="auto"/>
              <w:right w:val="nil"/>
            </w:tcBorders>
            <w:shd w:val="clear" w:color="auto" w:fill="auto"/>
            <w:noWrap/>
            <w:vAlign w:val="bottom"/>
            <w:hideMark/>
          </w:tcPr>
          <w:p w:rsidR="0010300D" w:rsidRPr="00347C61" w:rsidRDefault="00D22F20" w:rsidP="0010300D">
            <w:pPr>
              <w:spacing w:after="0" w:line="240" w:lineRule="auto"/>
              <w:jc w:val="center"/>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0.5% (Low)</w:t>
            </w:r>
          </w:p>
        </w:tc>
        <w:tc>
          <w:tcPr>
            <w:tcW w:w="960" w:type="dxa"/>
            <w:tcBorders>
              <w:top w:val="nil"/>
              <w:left w:val="nil"/>
              <w:bottom w:val="single" w:sz="4" w:space="0" w:color="auto"/>
              <w:right w:val="nil"/>
            </w:tcBorders>
            <w:shd w:val="clear" w:color="auto" w:fill="auto"/>
            <w:noWrap/>
            <w:vAlign w:val="center"/>
            <w:hideMark/>
          </w:tcPr>
          <w:p w:rsidR="0010300D" w:rsidRPr="00347C61" w:rsidRDefault="00D22F20" w:rsidP="0010300D">
            <w:pPr>
              <w:keepNext/>
              <w:keepLines/>
              <w:spacing w:after="0" w:line="240" w:lineRule="auto"/>
              <w:jc w:val="center"/>
              <w:outlineLvl w:val="0"/>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0</w:t>
            </w:r>
          </w:p>
        </w:tc>
        <w:tc>
          <w:tcPr>
            <w:tcW w:w="960" w:type="dxa"/>
            <w:tcBorders>
              <w:top w:val="nil"/>
              <w:left w:val="nil"/>
              <w:bottom w:val="single" w:sz="4" w:space="0" w:color="auto"/>
              <w:right w:val="nil"/>
            </w:tcBorders>
            <w:shd w:val="clear" w:color="auto" w:fill="auto"/>
            <w:noWrap/>
            <w:vAlign w:val="center"/>
            <w:hideMark/>
          </w:tcPr>
          <w:p w:rsidR="0010300D" w:rsidRPr="00347C61" w:rsidRDefault="00D22F20" w:rsidP="0010300D">
            <w:pPr>
              <w:keepNext/>
              <w:keepLines/>
              <w:spacing w:after="0" w:line="240" w:lineRule="auto"/>
              <w:jc w:val="center"/>
              <w:outlineLvl w:val="0"/>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-88</w:t>
            </w:r>
          </w:p>
        </w:tc>
        <w:tc>
          <w:tcPr>
            <w:tcW w:w="960" w:type="dxa"/>
            <w:tcBorders>
              <w:top w:val="nil"/>
              <w:left w:val="nil"/>
              <w:bottom w:val="single" w:sz="4" w:space="0" w:color="auto"/>
              <w:right w:val="nil"/>
            </w:tcBorders>
            <w:shd w:val="clear" w:color="auto" w:fill="auto"/>
            <w:noWrap/>
            <w:vAlign w:val="center"/>
            <w:hideMark/>
          </w:tcPr>
          <w:p w:rsidR="0010300D" w:rsidRPr="00347C61" w:rsidRDefault="00D22F20" w:rsidP="0010300D">
            <w:pPr>
              <w:keepNext/>
              <w:keepLines/>
              <w:spacing w:after="0" w:line="240" w:lineRule="auto"/>
              <w:jc w:val="center"/>
              <w:outlineLvl w:val="0"/>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-269</w:t>
            </w:r>
          </w:p>
        </w:tc>
        <w:tc>
          <w:tcPr>
            <w:tcW w:w="960" w:type="dxa"/>
            <w:tcBorders>
              <w:top w:val="nil"/>
              <w:left w:val="nil"/>
              <w:bottom w:val="single" w:sz="4" w:space="0" w:color="auto"/>
              <w:right w:val="nil"/>
            </w:tcBorders>
            <w:shd w:val="clear" w:color="auto" w:fill="auto"/>
            <w:noWrap/>
            <w:vAlign w:val="center"/>
            <w:hideMark/>
          </w:tcPr>
          <w:p w:rsidR="0010300D" w:rsidRPr="00347C61" w:rsidRDefault="00D22F20" w:rsidP="0010300D">
            <w:pPr>
              <w:keepNext/>
              <w:keepLines/>
              <w:spacing w:after="0" w:line="240" w:lineRule="auto"/>
              <w:jc w:val="center"/>
              <w:outlineLvl w:val="0"/>
              <w:rPr>
                <w:rFonts w:ascii="Times New Roman" w:eastAsia="Times New Roman" w:hAnsi="Times New Roman" w:cs="Times New Roman"/>
                <w:color w:val="000000"/>
                <w:sz w:val="20"/>
                <w:szCs w:val="20"/>
              </w:rPr>
            </w:pPr>
            <w:r w:rsidRPr="00D22F20">
              <w:rPr>
                <w:rFonts w:ascii="Times New Roman" w:eastAsia="Times New Roman" w:hAnsi="Times New Roman" w:cs="Times New Roman"/>
                <w:color w:val="000000"/>
                <w:sz w:val="20"/>
                <w:szCs w:val="20"/>
              </w:rPr>
              <w:t>-539</w:t>
            </w:r>
          </w:p>
        </w:tc>
      </w:tr>
    </w:tbl>
    <w:p w:rsidR="0068582A" w:rsidRPr="0068582A" w:rsidRDefault="0068582A" w:rsidP="00231910">
      <w:pPr>
        <w:spacing w:after="0"/>
        <w:rPr>
          <w:rFonts w:ascii="Times New Roman" w:hAnsi="Times New Roman" w:cs="Times New Roman"/>
          <w:b/>
          <w:sz w:val="22"/>
          <w:szCs w:val="22"/>
        </w:rPr>
      </w:pPr>
    </w:p>
    <w:p w:rsidR="004D78C7" w:rsidRDefault="0030313F">
      <w:pPr>
        <w:pStyle w:val="ListParagraph"/>
        <w:numPr>
          <w:ilvl w:val="0"/>
          <w:numId w:val="5"/>
        </w:numPr>
        <w:spacing w:after="0"/>
        <w:rPr>
          <w:rFonts w:ascii="Times New Roman" w:hAnsi="Times New Roman" w:cs="Times New Roman"/>
          <w:b/>
          <w:sz w:val="22"/>
          <w:szCs w:val="22"/>
        </w:rPr>
      </w:pPr>
      <w:r>
        <w:rPr>
          <w:rFonts w:ascii="Times New Roman" w:hAnsi="Times New Roman" w:cs="Times New Roman"/>
          <w:b/>
          <w:sz w:val="22"/>
          <w:szCs w:val="22"/>
        </w:rPr>
        <w:t xml:space="preserve">Next </w:t>
      </w:r>
      <w:proofErr w:type="spellStart"/>
      <w:r>
        <w:rPr>
          <w:rFonts w:ascii="Times New Roman" w:hAnsi="Times New Roman" w:cs="Times New Roman"/>
          <w:b/>
          <w:sz w:val="22"/>
          <w:szCs w:val="22"/>
        </w:rPr>
        <w:t>BioLUC</w:t>
      </w:r>
      <w:proofErr w:type="spellEnd"/>
      <w:r>
        <w:rPr>
          <w:rFonts w:ascii="Times New Roman" w:hAnsi="Times New Roman" w:cs="Times New Roman"/>
          <w:b/>
          <w:sz w:val="22"/>
          <w:szCs w:val="22"/>
        </w:rPr>
        <w:t xml:space="preserve"> Analysis Steps</w:t>
      </w:r>
    </w:p>
    <w:p w:rsidR="004D78C7" w:rsidRDefault="004D78C7">
      <w:pPr>
        <w:pStyle w:val="ListParagraph"/>
        <w:spacing w:after="0"/>
        <w:ind w:left="0"/>
        <w:rPr>
          <w:rFonts w:ascii="Times New Roman" w:hAnsi="Times New Roman" w:cs="Times New Roman"/>
          <w:b/>
          <w:sz w:val="22"/>
          <w:szCs w:val="22"/>
        </w:rPr>
      </w:pPr>
    </w:p>
    <w:p w:rsidR="0030313F" w:rsidRDefault="0030313F" w:rsidP="0030313F">
      <w:pPr>
        <w:pStyle w:val="ListParagraph"/>
        <w:ind w:left="0"/>
        <w:rPr>
          <w:rFonts w:ascii="Times New Roman" w:hAnsi="Times New Roman"/>
          <w:sz w:val="22"/>
          <w:szCs w:val="22"/>
        </w:rPr>
      </w:pPr>
      <w:r>
        <w:rPr>
          <w:rFonts w:ascii="Times New Roman" w:hAnsi="Times New Roman"/>
          <w:sz w:val="22"/>
          <w:szCs w:val="22"/>
        </w:rPr>
        <w:t>The two-region structure of t</w:t>
      </w:r>
      <w:r w:rsidRPr="00456E92">
        <w:rPr>
          <w:rFonts w:ascii="Times New Roman" w:hAnsi="Times New Roman"/>
          <w:sz w:val="22"/>
          <w:szCs w:val="22"/>
        </w:rPr>
        <w:t xml:space="preserve">he </w:t>
      </w:r>
      <w:proofErr w:type="spellStart"/>
      <w:r w:rsidRPr="00456E92">
        <w:rPr>
          <w:rFonts w:ascii="Times New Roman" w:hAnsi="Times New Roman"/>
          <w:sz w:val="22"/>
          <w:szCs w:val="22"/>
        </w:rPr>
        <w:t>BioLUC</w:t>
      </w:r>
      <w:proofErr w:type="spellEnd"/>
      <w:r w:rsidRPr="00456E92">
        <w:rPr>
          <w:rFonts w:ascii="Times New Roman" w:hAnsi="Times New Roman"/>
          <w:sz w:val="22"/>
          <w:szCs w:val="22"/>
        </w:rPr>
        <w:t xml:space="preserve"> model used in this study</w:t>
      </w:r>
      <w:r>
        <w:rPr>
          <w:rFonts w:ascii="Times New Roman" w:hAnsi="Times New Roman"/>
          <w:sz w:val="22"/>
          <w:szCs w:val="22"/>
        </w:rPr>
        <w:t xml:space="preserve"> is</w:t>
      </w:r>
      <w:r w:rsidRPr="00456E92">
        <w:rPr>
          <w:rFonts w:ascii="Times New Roman" w:hAnsi="Times New Roman"/>
          <w:sz w:val="22"/>
          <w:szCs w:val="22"/>
        </w:rPr>
        <w:t xml:space="preserve"> designed </w:t>
      </w:r>
      <w:r>
        <w:rPr>
          <w:rFonts w:ascii="Times New Roman" w:hAnsi="Times New Roman"/>
          <w:sz w:val="22"/>
          <w:szCs w:val="22"/>
        </w:rPr>
        <w:t xml:space="preserve">to be </w:t>
      </w:r>
      <w:r w:rsidRPr="00456E92">
        <w:rPr>
          <w:rFonts w:ascii="Times New Roman" w:hAnsi="Times New Roman"/>
          <w:sz w:val="22"/>
          <w:szCs w:val="22"/>
        </w:rPr>
        <w:t xml:space="preserve">a stable first step in the model’s development. Efforts </w:t>
      </w:r>
      <w:r>
        <w:rPr>
          <w:rFonts w:ascii="Times New Roman" w:hAnsi="Times New Roman"/>
          <w:sz w:val="22"/>
          <w:szCs w:val="22"/>
        </w:rPr>
        <w:t xml:space="preserve">are underway </w:t>
      </w:r>
      <w:r w:rsidRPr="00456E92">
        <w:rPr>
          <w:rFonts w:ascii="Times New Roman" w:hAnsi="Times New Roman"/>
          <w:sz w:val="22"/>
          <w:szCs w:val="22"/>
        </w:rPr>
        <w:t xml:space="preserve">to expand </w:t>
      </w:r>
      <w:proofErr w:type="spellStart"/>
      <w:r w:rsidRPr="00456E92">
        <w:rPr>
          <w:rFonts w:ascii="Times New Roman" w:hAnsi="Times New Roman"/>
          <w:sz w:val="22"/>
          <w:szCs w:val="22"/>
        </w:rPr>
        <w:t>BioLUC</w:t>
      </w:r>
      <w:proofErr w:type="spellEnd"/>
      <w:r w:rsidRPr="00456E92">
        <w:rPr>
          <w:rFonts w:ascii="Times New Roman" w:hAnsi="Times New Roman"/>
          <w:sz w:val="22"/>
          <w:szCs w:val="22"/>
        </w:rPr>
        <w:t xml:space="preserve"> to include additional regions.</w:t>
      </w:r>
      <w:r>
        <w:rPr>
          <w:rFonts w:ascii="Times New Roman" w:hAnsi="Times New Roman"/>
          <w:sz w:val="22"/>
          <w:szCs w:val="22"/>
        </w:rPr>
        <w:t xml:space="preserve"> </w:t>
      </w:r>
      <w:r w:rsidRPr="00456E92">
        <w:rPr>
          <w:rFonts w:ascii="Times New Roman" w:hAnsi="Times New Roman"/>
          <w:sz w:val="22"/>
          <w:szCs w:val="22"/>
        </w:rPr>
        <w:t xml:space="preserve">Future versions of </w:t>
      </w:r>
      <w:proofErr w:type="spellStart"/>
      <w:r w:rsidRPr="00456E92">
        <w:rPr>
          <w:rFonts w:ascii="Times New Roman" w:hAnsi="Times New Roman"/>
          <w:sz w:val="22"/>
          <w:szCs w:val="22"/>
        </w:rPr>
        <w:t>BioLUC</w:t>
      </w:r>
      <w:proofErr w:type="spellEnd"/>
      <w:r w:rsidRPr="00456E92">
        <w:rPr>
          <w:rFonts w:ascii="Times New Roman" w:hAnsi="Times New Roman"/>
          <w:sz w:val="22"/>
          <w:szCs w:val="22"/>
        </w:rPr>
        <w:t xml:space="preserve"> are planned to model </w:t>
      </w:r>
      <w:r w:rsidR="0082638D">
        <w:rPr>
          <w:rFonts w:ascii="Times New Roman" w:hAnsi="Times New Roman"/>
          <w:sz w:val="22"/>
          <w:szCs w:val="22"/>
        </w:rPr>
        <w:t>19</w:t>
      </w:r>
      <w:r w:rsidR="0082638D" w:rsidRPr="00456E92">
        <w:rPr>
          <w:rFonts w:ascii="Times New Roman" w:hAnsi="Times New Roman"/>
          <w:sz w:val="22"/>
          <w:szCs w:val="22"/>
        </w:rPr>
        <w:t xml:space="preserve"> </w:t>
      </w:r>
      <w:r w:rsidRPr="00456E92">
        <w:rPr>
          <w:rFonts w:ascii="Times New Roman" w:hAnsi="Times New Roman"/>
          <w:sz w:val="22"/>
          <w:szCs w:val="22"/>
        </w:rPr>
        <w:t xml:space="preserve">regions, parallel to GTAP, </w:t>
      </w:r>
      <w:r>
        <w:rPr>
          <w:rFonts w:ascii="Times New Roman" w:hAnsi="Times New Roman"/>
          <w:sz w:val="22"/>
          <w:szCs w:val="22"/>
        </w:rPr>
        <w:t>which will facilitate</w:t>
      </w:r>
      <w:r w:rsidRPr="00456E92">
        <w:rPr>
          <w:rFonts w:ascii="Times New Roman" w:hAnsi="Times New Roman"/>
          <w:sz w:val="22"/>
          <w:szCs w:val="22"/>
        </w:rPr>
        <w:t xml:space="preserve"> input data development and comparative analysis.</w:t>
      </w:r>
      <w:r>
        <w:rPr>
          <w:rFonts w:ascii="Times New Roman" w:hAnsi="Times New Roman"/>
          <w:sz w:val="22"/>
          <w:szCs w:val="22"/>
        </w:rPr>
        <w:t xml:space="preserve"> </w:t>
      </w:r>
      <w:r w:rsidRPr="00456E92">
        <w:rPr>
          <w:rFonts w:ascii="Times New Roman" w:hAnsi="Times New Roman"/>
          <w:sz w:val="22"/>
          <w:szCs w:val="22"/>
        </w:rPr>
        <w:t>We are interested in</w:t>
      </w:r>
      <w:r w:rsidR="00CD0121">
        <w:rPr>
          <w:rFonts w:ascii="Times New Roman" w:hAnsi="Times New Roman"/>
          <w:sz w:val="22"/>
          <w:szCs w:val="22"/>
        </w:rPr>
        <w:t xml:space="preserve"> expanding such cross-comparison analysis to include</w:t>
      </w:r>
      <w:r w:rsidRPr="00456E92">
        <w:rPr>
          <w:rFonts w:ascii="Times New Roman" w:hAnsi="Times New Roman"/>
          <w:sz w:val="22"/>
          <w:szCs w:val="22"/>
        </w:rPr>
        <w:t xml:space="preserve"> other land use modeling systems (e.g., GCAM) (Joint Global Change Research Institute 2012).</w:t>
      </w:r>
      <w:r w:rsidR="00CD0121">
        <w:rPr>
          <w:rFonts w:ascii="Times New Roman" w:hAnsi="Times New Roman"/>
          <w:sz w:val="22"/>
          <w:szCs w:val="22"/>
        </w:rPr>
        <w:t xml:space="preserve"> T</w:t>
      </w:r>
      <w:r w:rsidR="00CD0121" w:rsidRPr="00456E92">
        <w:rPr>
          <w:rFonts w:ascii="Times New Roman" w:hAnsi="Times New Roman"/>
          <w:sz w:val="22"/>
          <w:szCs w:val="22"/>
        </w:rPr>
        <w:t xml:space="preserve">he </w:t>
      </w:r>
      <w:proofErr w:type="spellStart"/>
      <w:r w:rsidR="00CD0121" w:rsidRPr="00456E92">
        <w:rPr>
          <w:rFonts w:ascii="Times New Roman" w:hAnsi="Times New Roman"/>
          <w:sz w:val="22"/>
          <w:szCs w:val="22"/>
        </w:rPr>
        <w:t>BioLUC</w:t>
      </w:r>
      <w:proofErr w:type="spellEnd"/>
      <w:r w:rsidR="00CD0121" w:rsidRPr="00456E92">
        <w:rPr>
          <w:rFonts w:ascii="Times New Roman" w:hAnsi="Times New Roman"/>
          <w:sz w:val="22"/>
          <w:szCs w:val="22"/>
        </w:rPr>
        <w:t xml:space="preserve"> </w:t>
      </w:r>
      <w:r w:rsidR="00CD0121">
        <w:rPr>
          <w:rFonts w:ascii="Times New Roman" w:hAnsi="Times New Roman"/>
          <w:sz w:val="22"/>
          <w:szCs w:val="22"/>
        </w:rPr>
        <w:t xml:space="preserve">model will be publicly released once expanded to 19 regions </w:t>
      </w:r>
      <w:r w:rsidR="00CD0121" w:rsidRPr="00456E92">
        <w:rPr>
          <w:rFonts w:ascii="Times New Roman" w:hAnsi="Times New Roman"/>
          <w:sz w:val="22"/>
          <w:szCs w:val="22"/>
        </w:rPr>
        <w:t xml:space="preserve">so that other researchers can run their own scenarios. </w:t>
      </w:r>
      <w:r w:rsidRPr="00456E92">
        <w:rPr>
          <w:rFonts w:ascii="Times New Roman" w:hAnsi="Times New Roman"/>
          <w:sz w:val="22"/>
          <w:szCs w:val="22"/>
        </w:rPr>
        <w:t xml:space="preserve">We </w:t>
      </w:r>
      <w:r w:rsidR="00CD0121">
        <w:rPr>
          <w:rFonts w:ascii="Times New Roman" w:hAnsi="Times New Roman"/>
          <w:sz w:val="22"/>
          <w:szCs w:val="22"/>
        </w:rPr>
        <w:t xml:space="preserve">are also </w:t>
      </w:r>
      <w:r w:rsidRPr="00456E92">
        <w:rPr>
          <w:rFonts w:ascii="Times New Roman" w:hAnsi="Times New Roman"/>
          <w:sz w:val="22"/>
          <w:szCs w:val="22"/>
        </w:rPr>
        <w:t>plan additional analys</w:t>
      </w:r>
      <w:r>
        <w:rPr>
          <w:rFonts w:ascii="Times New Roman" w:hAnsi="Times New Roman"/>
          <w:sz w:val="22"/>
          <w:szCs w:val="22"/>
        </w:rPr>
        <w:t>es</w:t>
      </w:r>
      <w:r w:rsidRPr="00456E92">
        <w:rPr>
          <w:rFonts w:ascii="Times New Roman" w:hAnsi="Times New Roman"/>
          <w:sz w:val="22"/>
          <w:szCs w:val="22"/>
        </w:rPr>
        <w:t xml:space="preserve"> of a wide variety of scenarios based on important alternatives raised in the extensive </w:t>
      </w:r>
      <w:r>
        <w:rPr>
          <w:rFonts w:ascii="Times New Roman" w:hAnsi="Times New Roman"/>
          <w:sz w:val="22"/>
          <w:szCs w:val="22"/>
        </w:rPr>
        <w:t>LUC</w:t>
      </w:r>
      <w:r w:rsidRPr="00456E92">
        <w:rPr>
          <w:rFonts w:ascii="Times New Roman" w:hAnsi="Times New Roman"/>
          <w:sz w:val="22"/>
          <w:szCs w:val="22"/>
        </w:rPr>
        <w:t xml:space="preserve"> lit</w:t>
      </w:r>
      <w:r w:rsidR="00CD0121">
        <w:rPr>
          <w:rFonts w:ascii="Times New Roman" w:hAnsi="Times New Roman"/>
          <w:sz w:val="22"/>
          <w:szCs w:val="22"/>
        </w:rPr>
        <w:t xml:space="preserve">erature, which we </w:t>
      </w:r>
      <w:r w:rsidR="003529C4">
        <w:rPr>
          <w:rFonts w:ascii="Times New Roman" w:hAnsi="Times New Roman"/>
          <w:sz w:val="22"/>
          <w:szCs w:val="22"/>
        </w:rPr>
        <w:t>continue to review</w:t>
      </w:r>
    </w:p>
    <w:p w:rsidR="004D78C7" w:rsidRDefault="004D78C7">
      <w:pPr>
        <w:pStyle w:val="ListParagraph"/>
        <w:spacing w:after="0"/>
        <w:ind w:left="0"/>
        <w:rPr>
          <w:rFonts w:ascii="Times New Roman" w:hAnsi="Times New Roman" w:cs="Times New Roman"/>
          <w:b/>
          <w:sz w:val="22"/>
          <w:szCs w:val="22"/>
        </w:rPr>
      </w:pPr>
    </w:p>
    <w:p w:rsidR="00494CD4" w:rsidRDefault="001D46BC" w:rsidP="00231910">
      <w:pPr>
        <w:spacing w:after="0"/>
        <w:rPr>
          <w:rFonts w:ascii="Times New Roman" w:hAnsi="Times New Roman" w:cs="Times New Roman"/>
          <w:b/>
          <w:sz w:val="22"/>
          <w:szCs w:val="22"/>
        </w:rPr>
      </w:pPr>
      <w:r w:rsidRPr="00231910">
        <w:rPr>
          <w:rFonts w:ascii="Times New Roman" w:hAnsi="Times New Roman" w:cs="Times New Roman"/>
          <w:b/>
          <w:sz w:val="22"/>
          <w:szCs w:val="22"/>
        </w:rPr>
        <w:t>References</w:t>
      </w:r>
    </w:p>
    <w:p w:rsidR="00CE1599" w:rsidRPr="00231910" w:rsidRDefault="00CE1599" w:rsidP="00231910">
      <w:pPr>
        <w:spacing w:after="0"/>
        <w:rPr>
          <w:rFonts w:ascii="Times New Roman" w:hAnsi="Times New Roman" w:cs="Times New Roman"/>
          <w:b/>
          <w:sz w:val="22"/>
          <w:szCs w:val="22"/>
        </w:rPr>
      </w:pPr>
    </w:p>
    <w:p w:rsidR="00DC42A9" w:rsidRPr="00457F61" w:rsidRDefault="00DC42A9" w:rsidP="00DC42A9">
      <w:pPr>
        <w:rPr>
          <w:rFonts w:ascii="Times New Roman" w:hAnsi="Times New Roman" w:cs="Times New Roman"/>
          <w:sz w:val="22"/>
          <w:szCs w:val="22"/>
        </w:rPr>
      </w:pPr>
      <w:proofErr w:type="spellStart"/>
      <w:r w:rsidRPr="00457F61">
        <w:rPr>
          <w:rFonts w:ascii="Times New Roman" w:hAnsi="Times New Roman" w:cs="Times New Roman"/>
          <w:sz w:val="22"/>
          <w:szCs w:val="22"/>
        </w:rPr>
        <w:t>Alexandratos</w:t>
      </w:r>
      <w:proofErr w:type="spellEnd"/>
      <w:r w:rsidRPr="00457F61">
        <w:rPr>
          <w:rFonts w:ascii="Times New Roman" w:hAnsi="Times New Roman" w:cs="Times New Roman"/>
          <w:sz w:val="22"/>
          <w:szCs w:val="22"/>
        </w:rPr>
        <w:t xml:space="preserve"> N</w:t>
      </w:r>
      <w:r>
        <w:rPr>
          <w:rFonts w:ascii="Times New Roman" w:hAnsi="Times New Roman" w:cs="Times New Roman"/>
          <w:sz w:val="22"/>
          <w:szCs w:val="22"/>
        </w:rPr>
        <w:t xml:space="preserve"> and </w:t>
      </w:r>
      <w:proofErr w:type="spellStart"/>
      <w:r>
        <w:rPr>
          <w:rFonts w:ascii="Times New Roman" w:hAnsi="Times New Roman" w:cs="Times New Roman"/>
          <w:sz w:val="22"/>
          <w:szCs w:val="22"/>
        </w:rPr>
        <w:t>Bruinsma</w:t>
      </w:r>
      <w:proofErr w:type="spellEnd"/>
      <w:r>
        <w:rPr>
          <w:rFonts w:ascii="Times New Roman" w:hAnsi="Times New Roman" w:cs="Times New Roman"/>
          <w:sz w:val="22"/>
          <w:szCs w:val="22"/>
        </w:rPr>
        <w:t xml:space="preserve"> J 2012</w:t>
      </w:r>
      <w:r w:rsidRPr="00457F61">
        <w:rPr>
          <w:rFonts w:ascii="Times New Roman" w:hAnsi="Times New Roman" w:cs="Times New Roman"/>
          <w:sz w:val="22"/>
          <w:szCs w:val="22"/>
        </w:rPr>
        <w:t xml:space="preserve"> </w:t>
      </w:r>
      <w:r w:rsidRPr="00590496">
        <w:rPr>
          <w:rFonts w:ascii="Times New Roman" w:hAnsi="Times New Roman" w:cs="Times New Roman"/>
          <w:i/>
          <w:sz w:val="22"/>
          <w:szCs w:val="22"/>
        </w:rPr>
        <w:t xml:space="preserve">World </w:t>
      </w:r>
      <w:r w:rsidR="00664F0F">
        <w:rPr>
          <w:rFonts w:ascii="Times New Roman" w:hAnsi="Times New Roman" w:cs="Times New Roman"/>
          <w:i/>
          <w:sz w:val="22"/>
          <w:szCs w:val="22"/>
        </w:rPr>
        <w:t>a</w:t>
      </w:r>
      <w:r w:rsidR="00664F0F" w:rsidRPr="00590496">
        <w:rPr>
          <w:rFonts w:ascii="Times New Roman" w:hAnsi="Times New Roman" w:cs="Times New Roman"/>
          <w:i/>
          <w:sz w:val="22"/>
          <w:szCs w:val="22"/>
        </w:rPr>
        <w:t xml:space="preserve">griculture </w:t>
      </w:r>
      <w:r w:rsidRPr="00590496">
        <w:rPr>
          <w:rFonts w:ascii="Times New Roman" w:hAnsi="Times New Roman" w:cs="Times New Roman"/>
          <w:i/>
          <w:sz w:val="22"/>
          <w:szCs w:val="22"/>
        </w:rPr>
        <w:t>towards 2030/2050: the 2012 revision</w:t>
      </w:r>
      <w:r>
        <w:rPr>
          <w:rFonts w:ascii="Times New Roman" w:hAnsi="Times New Roman" w:cs="Times New Roman"/>
          <w:sz w:val="22"/>
          <w:szCs w:val="22"/>
        </w:rPr>
        <w:t xml:space="preserve"> (Rome, Italy: Food and Agriculture Organization of the United Nations) ESA Working paper No. 12-03</w:t>
      </w:r>
    </w:p>
    <w:p w:rsidR="00651EF6" w:rsidRPr="00664F0F" w:rsidRDefault="00D22F20" w:rsidP="00651EF6">
      <w:pPr>
        <w:pStyle w:val="NRELReference"/>
        <w:rPr>
          <w:sz w:val="22"/>
          <w:szCs w:val="22"/>
        </w:rPr>
      </w:pPr>
      <w:r w:rsidRPr="00D22F20">
        <w:rPr>
          <w:sz w:val="22"/>
          <w:szCs w:val="22"/>
        </w:rPr>
        <w:t xml:space="preserve">Argonne National Laboratory (ANL) 2012 </w:t>
      </w:r>
      <w:r w:rsidRPr="00D22F20">
        <w:rPr>
          <w:i/>
          <w:sz w:val="22"/>
          <w:szCs w:val="22"/>
        </w:rPr>
        <w:t>The Greenhouse Gases, Regulated Emissions, and energy Use in Transportation (GREET) Model</w:t>
      </w:r>
      <w:r w:rsidRPr="00D22F20">
        <w:rPr>
          <w:sz w:val="22"/>
          <w:szCs w:val="22"/>
        </w:rPr>
        <w:t xml:space="preserve"> (Argonne, IL: Argonne National Laboratory) Version 2011</w:t>
      </w:r>
    </w:p>
    <w:p w:rsidR="00DC42A9" w:rsidRPr="003E55C2" w:rsidRDefault="00DC42A9" w:rsidP="00DC42A9">
      <w:pPr>
        <w:rPr>
          <w:rFonts w:ascii="Times New Roman" w:hAnsi="Times New Roman" w:cs="Times New Roman"/>
          <w:sz w:val="22"/>
          <w:szCs w:val="22"/>
        </w:rPr>
      </w:pPr>
      <w:r w:rsidRPr="00664F0F">
        <w:rPr>
          <w:rFonts w:ascii="Times New Roman" w:hAnsi="Times New Roman" w:cs="Times New Roman"/>
          <w:sz w:val="22"/>
          <w:szCs w:val="22"/>
        </w:rPr>
        <w:t xml:space="preserve">Campbell J E, </w:t>
      </w:r>
      <w:proofErr w:type="spellStart"/>
      <w:r w:rsidRPr="00664F0F">
        <w:rPr>
          <w:rFonts w:ascii="Times New Roman" w:hAnsi="Times New Roman" w:cs="Times New Roman"/>
          <w:sz w:val="22"/>
          <w:szCs w:val="22"/>
        </w:rPr>
        <w:t>Lobell</w:t>
      </w:r>
      <w:proofErr w:type="spellEnd"/>
      <w:r w:rsidRPr="00664F0F">
        <w:rPr>
          <w:rFonts w:ascii="Times New Roman" w:hAnsi="Times New Roman" w:cs="Times New Roman"/>
          <w:sz w:val="22"/>
          <w:szCs w:val="22"/>
        </w:rPr>
        <w:t xml:space="preserve"> D B, </w:t>
      </w:r>
      <w:proofErr w:type="spellStart"/>
      <w:r w:rsidRPr="00664F0F">
        <w:rPr>
          <w:rFonts w:ascii="Times New Roman" w:hAnsi="Times New Roman" w:cs="Times New Roman"/>
          <w:sz w:val="22"/>
          <w:szCs w:val="22"/>
        </w:rPr>
        <w:t>Genova</w:t>
      </w:r>
      <w:proofErr w:type="spellEnd"/>
      <w:r w:rsidRPr="00664F0F">
        <w:rPr>
          <w:rFonts w:ascii="Times New Roman" w:hAnsi="Times New Roman" w:cs="Times New Roman"/>
          <w:sz w:val="22"/>
          <w:szCs w:val="22"/>
        </w:rPr>
        <w:t xml:space="preserve"> R C and Field C B </w:t>
      </w:r>
      <w:r w:rsidRPr="003E55C2">
        <w:rPr>
          <w:rFonts w:ascii="Times New Roman" w:hAnsi="Times New Roman" w:cs="Times New Roman"/>
          <w:sz w:val="22"/>
          <w:szCs w:val="22"/>
        </w:rPr>
        <w:t xml:space="preserve">2008 The Global Potential of Bioenergy on Abandoned Agricultural Lands </w:t>
      </w:r>
      <w:r w:rsidRPr="003E55C2">
        <w:rPr>
          <w:rFonts w:ascii="Times New Roman" w:hAnsi="Times New Roman" w:cs="Times New Roman"/>
          <w:i/>
          <w:sz w:val="22"/>
          <w:szCs w:val="22"/>
        </w:rPr>
        <w:t>Environmental Science &amp; Technology</w:t>
      </w:r>
      <w:r w:rsidRPr="00732824">
        <w:rPr>
          <w:rFonts w:ascii="Times New Roman" w:hAnsi="Times New Roman" w:cs="Times New Roman"/>
          <w:sz w:val="22"/>
          <w:szCs w:val="22"/>
        </w:rPr>
        <w:t xml:space="preserve"> </w:t>
      </w:r>
      <w:r w:rsidRPr="00732824">
        <w:rPr>
          <w:rFonts w:ascii="Times New Roman" w:hAnsi="Times New Roman" w:cs="Times New Roman"/>
          <w:b/>
          <w:sz w:val="22"/>
          <w:szCs w:val="22"/>
        </w:rPr>
        <w:t>42</w:t>
      </w:r>
      <w:r w:rsidR="00D22F20" w:rsidRPr="00D22F20">
        <w:rPr>
          <w:sz w:val="22"/>
          <w:szCs w:val="22"/>
        </w:rPr>
        <w:t xml:space="preserve"> </w:t>
      </w:r>
      <w:r w:rsidRPr="00664F0F">
        <w:rPr>
          <w:rFonts w:ascii="Times New Roman" w:hAnsi="Times New Roman" w:cs="Times New Roman"/>
          <w:sz w:val="22"/>
          <w:szCs w:val="22"/>
        </w:rPr>
        <w:t>5791–94</w:t>
      </w:r>
    </w:p>
    <w:p w:rsidR="00DC42A9" w:rsidRPr="00664F0F" w:rsidRDefault="00DC42A9" w:rsidP="00DC42A9">
      <w:pPr>
        <w:rPr>
          <w:rFonts w:ascii="Times New Roman" w:hAnsi="Times New Roman" w:cs="Times New Roman"/>
          <w:sz w:val="22"/>
          <w:szCs w:val="22"/>
        </w:rPr>
      </w:pPr>
      <w:r w:rsidRPr="00732824">
        <w:rPr>
          <w:rFonts w:ascii="Times New Roman" w:hAnsi="Times New Roman" w:cs="Times New Roman"/>
          <w:sz w:val="22"/>
          <w:szCs w:val="22"/>
        </w:rPr>
        <w:t xml:space="preserve">Cha G 1997 </w:t>
      </w:r>
      <w:proofErr w:type="gramStart"/>
      <w:r w:rsidRPr="00732824">
        <w:rPr>
          <w:rFonts w:ascii="Times New Roman" w:hAnsi="Times New Roman" w:cs="Times New Roman"/>
          <w:sz w:val="22"/>
          <w:szCs w:val="22"/>
        </w:rPr>
        <w:t>The</w:t>
      </w:r>
      <w:proofErr w:type="gramEnd"/>
      <w:r w:rsidRPr="00732824">
        <w:rPr>
          <w:rFonts w:ascii="Times New Roman" w:hAnsi="Times New Roman" w:cs="Times New Roman"/>
          <w:sz w:val="22"/>
          <w:szCs w:val="22"/>
        </w:rPr>
        <w:t xml:space="preserve"> impacts of climate change on potential natural vegetation distribut</w:t>
      </w:r>
      <w:r w:rsidRPr="003810F7">
        <w:rPr>
          <w:rFonts w:ascii="Times New Roman" w:hAnsi="Times New Roman" w:cs="Times New Roman"/>
          <w:sz w:val="22"/>
          <w:szCs w:val="22"/>
        </w:rPr>
        <w:t xml:space="preserve">ion </w:t>
      </w:r>
      <w:r w:rsidR="00A87B34">
        <w:rPr>
          <w:rFonts w:ascii="Times New Roman" w:hAnsi="Times New Roman" w:cs="Times New Roman"/>
          <w:i/>
          <w:sz w:val="22"/>
          <w:szCs w:val="22"/>
        </w:rPr>
        <w:t>Journal of Forestry Resources</w:t>
      </w:r>
      <w:r w:rsidR="00A87B34">
        <w:rPr>
          <w:rFonts w:ascii="Times New Roman" w:hAnsi="Times New Roman" w:cs="Times New Roman"/>
          <w:sz w:val="22"/>
          <w:szCs w:val="22"/>
        </w:rPr>
        <w:t xml:space="preserve"> </w:t>
      </w:r>
      <w:r w:rsidR="00A87B34">
        <w:rPr>
          <w:rFonts w:ascii="Times New Roman" w:hAnsi="Times New Roman" w:cs="Times New Roman"/>
          <w:b/>
          <w:sz w:val="22"/>
          <w:szCs w:val="22"/>
        </w:rPr>
        <w:t>2</w:t>
      </w:r>
      <w:r w:rsidR="00A87B34">
        <w:rPr>
          <w:rFonts w:ascii="Times New Roman" w:hAnsi="Times New Roman" w:cs="Times New Roman"/>
          <w:sz w:val="22"/>
          <w:szCs w:val="22"/>
        </w:rPr>
        <w:t xml:space="preserve"> 147–52</w:t>
      </w:r>
    </w:p>
    <w:p w:rsidR="00157DFC" w:rsidRPr="00664F0F" w:rsidRDefault="00A87B34" w:rsidP="00157DFC">
      <w:pPr>
        <w:rPr>
          <w:rFonts w:ascii="Times New Roman" w:hAnsi="Times New Roman" w:cs="Times New Roman"/>
          <w:sz w:val="22"/>
          <w:szCs w:val="22"/>
        </w:rPr>
      </w:pPr>
      <w:proofErr w:type="spellStart"/>
      <w:r>
        <w:rPr>
          <w:rFonts w:ascii="Times New Roman" w:hAnsi="Times New Roman" w:cs="Times New Roman"/>
          <w:sz w:val="22"/>
          <w:szCs w:val="22"/>
        </w:rPr>
        <w:t>Djomo</w:t>
      </w:r>
      <w:proofErr w:type="spellEnd"/>
      <w:r>
        <w:rPr>
          <w:rFonts w:ascii="Times New Roman" w:hAnsi="Times New Roman" w:cs="Times New Roman"/>
          <w:sz w:val="22"/>
          <w:szCs w:val="22"/>
        </w:rPr>
        <w:t xml:space="preserve"> S N El </w:t>
      </w:r>
      <w:proofErr w:type="spellStart"/>
      <w:r>
        <w:rPr>
          <w:rFonts w:ascii="Times New Roman" w:hAnsi="Times New Roman" w:cs="Times New Roman"/>
          <w:sz w:val="22"/>
          <w:szCs w:val="22"/>
        </w:rPr>
        <w:t>Kasmioui</w:t>
      </w:r>
      <w:proofErr w:type="spellEnd"/>
      <w:r>
        <w:rPr>
          <w:rFonts w:ascii="Times New Roman" w:hAnsi="Times New Roman" w:cs="Times New Roman"/>
          <w:sz w:val="22"/>
          <w:szCs w:val="22"/>
        </w:rPr>
        <w:t xml:space="preserve"> O and </w:t>
      </w:r>
      <w:proofErr w:type="spellStart"/>
      <w:r>
        <w:rPr>
          <w:rFonts w:ascii="Times New Roman" w:hAnsi="Times New Roman" w:cs="Times New Roman"/>
          <w:sz w:val="22"/>
          <w:szCs w:val="22"/>
        </w:rPr>
        <w:t>Ceulemans</w:t>
      </w:r>
      <w:proofErr w:type="spellEnd"/>
      <w:r>
        <w:rPr>
          <w:rFonts w:ascii="Times New Roman" w:hAnsi="Times New Roman" w:cs="Times New Roman"/>
          <w:sz w:val="22"/>
          <w:szCs w:val="22"/>
        </w:rPr>
        <w:t xml:space="preserve"> R 2011 Energy and greenhouse gas balance of bioenergy production from poplar and willow: a review </w:t>
      </w:r>
      <w:r>
        <w:rPr>
          <w:rFonts w:ascii="Times New Roman" w:hAnsi="Times New Roman" w:cs="Times New Roman"/>
          <w:i/>
          <w:sz w:val="22"/>
          <w:szCs w:val="22"/>
        </w:rPr>
        <w:t>Global Change Biology Bioenergy</w:t>
      </w:r>
      <w:r>
        <w:rPr>
          <w:rFonts w:ascii="Times New Roman" w:hAnsi="Times New Roman" w:cs="Times New Roman"/>
          <w:sz w:val="22"/>
          <w:szCs w:val="22"/>
        </w:rPr>
        <w:t xml:space="preserve"> </w:t>
      </w:r>
      <w:r>
        <w:rPr>
          <w:rFonts w:ascii="Times New Roman" w:hAnsi="Times New Roman" w:cs="Times New Roman"/>
          <w:b/>
          <w:sz w:val="22"/>
          <w:szCs w:val="22"/>
        </w:rPr>
        <w:t>3</w:t>
      </w:r>
      <w:r>
        <w:rPr>
          <w:rFonts w:ascii="Times New Roman" w:hAnsi="Times New Roman" w:cs="Times New Roman"/>
          <w:sz w:val="22"/>
          <w:szCs w:val="22"/>
        </w:rPr>
        <w:t>(3): 181-197</w:t>
      </w:r>
    </w:p>
    <w:p w:rsidR="004D78C7" w:rsidRPr="00664F0F" w:rsidRDefault="00A87B34" w:rsidP="004D78C7">
      <w:pPr>
        <w:rPr>
          <w:rFonts w:ascii="Times New Roman" w:hAnsi="Times New Roman" w:cs="Times New Roman"/>
          <w:sz w:val="22"/>
          <w:szCs w:val="22"/>
        </w:rPr>
      </w:pPr>
      <w:r>
        <w:rPr>
          <w:rFonts w:ascii="Times New Roman" w:hAnsi="Times New Roman" w:cs="Times New Roman"/>
          <w:sz w:val="22"/>
          <w:szCs w:val="22"/>
        </w:rPr>
        <w:t xml:space="preserve">FAO 2010a </w:t>
      </w:r>
      <w:r>
        <w:rPr>
          <w:rFonts w:ascii="Times New Roman" w:hAnsi="Times New Roman" w:cs="Times New Roman"/>
          <w:i/>
          <w:sz w:val="22"/>
          <w:szCs w:val="22"/>
        </w:rPr>
        <w:t xml:space="preserve">Global Forest Resources Assessment 2010 </w:t>
      </w:r>
      <w:r>
        <w:rPr>
          <w:rFonts w:ascii="Times New Roman" w:hAnsi="Times New Roman" w:cs="Times New Roman"/>
          <w:sz w:val="22"/>
          <w:szCs w:val="22"/>
        </w:rPr>
        <w:t>(Rome, Italy: Food and Agriculture Organization of the United Nations)</w:t>
      </w:r>
    </w:p>
    <w:p w:rsidR="00DC42A9" w:rsidRPr="00664F0F" w:rsidRDefault="00A87B34" w:rsidP="00DC42A9">
      <w:pPr>
        <w:rPr>
          <w:rFonts w:ascii="Times New Roman" w:hAnsi="Times New Roman" w:cs="Times New Roman"/>
          <w:sz w:val="22"/>
          <w:szCs w:val="22"/>
        </w:rPr>
      </w:pPr>
      <w:r>
        <w:rPr>
          <w:rFonts w:ascii="Times New Roman" w:hAnsi="Times New Roman" w:cs="Times New Roman"/>
          <w:sz w:val="22"/>
          <w:szCs w:val="22"/>
        </w:rPr>
        <w:t xml:space="preserve">FAO 2010b </w:t>
      </w:r>
      <w:r>
        <w:rPr>
          <w:rFonts w:ascii="Times New Roman" w:hAnsi="Times New Roman" w:cs="Times New Roman"/>
          <w:i/>
          <w:sz w:val="22"/>
          <w:szCs w:val="22"/>
        </w:rPr>
        <w:t>FAOSTAT Agricultural Statistics</w:t>
      </w:r>
      <w:r>
        <w:rPr>
          <w:rFonts w:ascii="Times New Roman" w:hAnsi="Times New Roman" w:cs="Times New Roman"/>
          <w:sz w:val="22"/>
          <w:szCs w:val="22"/>
        </w:rPr>
        <w:t xml:space="preserve"> (Rome, Italy: Food and Agriculture Organization of the United Nations)</w:t>
      </w:r>
    </w:p>
    <w:p w:rsidR="000C7A6D" w:rsidRPr="00664F0F" w:rsidRDefault="00A87B34" w:rsidP="00DC42A9">
      <w:pPr>
        <w:rPr>
          <w:rFonts w:ascii="Times New Roman" w:hAnsi="Times New Roman" w:cs="Times New Roman"/>
          <w:sz w:val="22"/>
          <w:szCs w:val="22"/>
        </w:rPr>
      </w:pPr>
      <w:r>
        <w:rPr>
          <w:rFonts w:ascii="Times New Roman" w:hAnsi="Times New Roman" w:cs="Times New Roman"/>
          <w:sz w:val="22"/>
          <w:szCs w:val="22"/>
        </w:rPr>
        <w:lastRenderedPageBreak/>
        <w:t xml:space="preserve">Forrester J W 1971 </w:t>
      </w:r>
      <w:r>
        <w:rPr>
          <w:rFonts w:ascii="Times New Roman" w:hAnsi="Times New Roman" w:cs="Times New Roman"/>
          <w:i/>
          <w:sz w:val="22"/>
          <w:szCs w:val="22"/>
        </w:rPr>
        <w:t>World Dynamics</w:t>
      </w:r>
      <w:r>
        <w:rPr>
          <w:rFonts w:ascii="Times New Roman" w:hAnsi="Times New Roman" w:cs="Times New Roman"/>
          <w:sz w:val="22"/>
          <w:szCs w:val="22"/>
        </w:rPr>
        <w:t xml:space="preserve"> Cambridge MA: Wright-Allen Press</w:t>
      </w:r>
    </w:p>
    <w:p w:rsidR="00DC42A9" w:rsidRPr="00664F0F" w:rsidRDefault="00A87B34" w:rsidP="00DC42A9">
      <w:pPr>
        <w:rPr>
          <w:rFonts w:ascii="Times New Roman" w:hAnsi="Times New Roman" w:cs="Times New Roman"/>
          <w:sz w:val="22"/>
          <w:szCs w:val="22"/>
        </w:rPr>
      </w:pPr>
      <w:r>
        <w:rPr>
          <w:rFonts w:ascii="Times New Roman" w:hAnsi="Times New Roman" w:cs="Times New Roman"/>
          <w:sz w:val="22"/>
          <w:szCs w:val="22"/>
        </w:rPr>
        <w:t xml:space="preserve">Gibbs H K, Johnston M, Foley J A, Holloway T, </w:t>
      </w:r>
      <w:proofErr w:type="spellStart"/>
      <w:r>
        <w:rPr>
          <w:rFonts w:ascii="Times New Roman" w:hAnsi="Times New Roman" w:cs="Times New Roman"/>
          <w:sz w:val="22"/>
          <w:szCs w:val="22"/>
        </w:rPr>
        <w:t>Monfreda</w:t>
      </w:r>
      <w:proofErr w:type="spellEnd"/>
      <w:r>
        <w:rPr>
          <w:rFonts w:ascii="Times New Roman" w:hAnsi="Times New Roman" w:cs="Times New Roman"/>
          <w:sz w:val="22"/>
          <w:szCs w:val="22"/>
        </w:rPr>
        <w:t xml:space="preserve"> C, </w:t>
      </w:r>
      <w:proofErr w:type="spellStart"/>
      <w:r>
        <w:rPr>
          <w:rFonts w:ascii="Times New Roman" w:hAnsi="Times New Roman" w:cs="Times New Roman"/>
          <w:sz w:val="22"/>
          <w:szCs w:val="22"/>
        </w:rPr>
        <w:t>Ramankutty</w:t>
      </w:r>
      <w:proofErr w:type="spellEnd"/>
      <w:r>
        <w:rPr>
          <w:rFonts w:ascii="Times New Roman" w:hAnsi="Times New Roman" w:cs="Times New Roman"/>
          <w:sz w:val="22"/>
          <w:szCs w:val="22"/>
        </w:rPr>
        <w:t xml:space="preserve"> N and </w:t>
      </w:r>
      <w:proofErr w:type="spellStart"/>
      <w:r>
        <w:rPr>
          <w:rFonts w:ascii="Times New Roman" w:hAnsi="Times New Roman" w:cs="Times New Roman"/>
          <w:sz w:val="22"/>
          <w:szCs w:val="22"/>
        </w:rPr>
        <w:t>Zaks</w:t>
      </w:r>
      <w:proofErr w:type="spellEnd"/>
      <w:r>
        <w:rPr>
          <w:rFonts w:ascii="Times New Roman" w:hAnsi="Times New Roman" w:cs="Times New Roman"/>
          <w:sz w:val="22"/>
          <w:szCs w:val="22"/>
        </w:rPr>
        <w:t xml:space="preserve"> D 2008 Carbon payback times for crop-based biofuel expansion in the tropics: the effects of changing yield and technology </w:t>
      </w:r>
      <w:r>
        <w:rPr>
          <w:rFonts w:ascii="Times New Roman" w:hAnsi="Times New Roman" w:cs="Times New Roman"/>
          <w:i/>
          <w:sz w:val="22"/>
          <w:szCs w:val="22"/>
        </w:rPr>
        <w:t>Environmental Research Letters</w:t>
      </w:r>
      <w:r>
        <w:rPr>
          <w:rFonts w:ascii="Times New Roman" w:hAnsi="Times New Roman" w:cs="Times New Roman"/>
          <w:sz w:val="22"/>
          <w:szCs w:val="22"/>
        </w:rPr>
        <w:t xml:space="preserve"> </w:t>
      </w:r>
      <w:r>
        <w:rPr>
          <w:rFonts w:ascii="Times New Roman" w:hAnsi="Times New Roman" w:cs="Times New Roman"/>
          <w:b/>
          <w:sz w:val="22"/>
          <w:szCs w:val="22"/>
        </w:rPr>
        <w:t>3</w:t>
      </w:r>
      <w:r>
        <w:rPr>
          <w:rFonts w:ascii="Times New Roman" w:hAnsi="Times New Roman" w:cs="Times New Roman"/>
          <w:sz w:val="22"/>
          <w:szCs w:val="22"/>
        </w:rPr>
        <w:t xml:space="preserve"> 034001</w:t>
      </w:r>
    </w:p>
    <w:p w:rsidR="00157DFC" w:rsidRPr="00664F0F" w:rsidRDefault="00A87B34" w:rsidP="00157DFC">
      <w:pPr>
        <w:rPr>
          <w:rFonts w:ascii="Times New Roman" w:hAnsi="Times New Roman" w:cs="Times New Roman"/>
          <w:sz w:val="22"/>
          <w:szCs w:val="22"/>
        </w:rPr>
      </w:pPr>
      <w:proofErr w:type="spellStart"/>
      <w:r>
        <w:rPr>
          <w:rFonts w:ascii="Times New Roman" w:hAnsi="Times New Roman" w:cs="Times New Roman"/>
          <w:sz w:val="22"/>
          <w:szCs w:val="22"/>
        </w:rPr>
        <w:t>Hacatoglu</w:t>
      </w:r>
      <w:proofErr w:type="spellEnd"/>
      <w:r>
        <w:rPr>
          <w:rFonts w:ascii="Times New Roman" w:hAnsi="Times New Roman" w:cs="Times New Roman"/>
          <w:sz w:val="22"/>
          <w:szCs w:val="22"/>
        </w:rPr>
        <w:t xml:space="preserve"> K </w:t>
      </w:r>
      <w:proofErr w:type="spellStart"/>
      <w:r>
        <w:rPr>
          <w:rFonts w:ascii="Times New Roman" w:hAnsi="Times New Roman" w:cs="Times New Roman"/>
          <w:sz w:val="22"/>
          <w:szCs w:val="22"/>
        </w:rPr>
        <w:t>McLellan</w:t>
      </w:r>
      <w:proofErr w:type="spellEnd"/>
      <w:r>
        <w:rPr>
          <w:rFonts w:ascii="Times New Roman" w:hAnsi="Times New Roman" w:cs="Times New Roman"/>
          <w:sz w:val="22"/>
          <w:szCs w:val="22"/>
        </w:rPr>
        <w:t xml:space="preserve"> P J and </w:t>
      </w:r>
      <w:proofErr w:type="spellStart"/>
      <w:r>
        <w:rPr>
          <w:rFonts w:ascii="Times New Roman" w:hAnsi="Times New Roman" w:cs="Times New Roman"/>
          <w:sz w:val="22"/>
          <w:szCs w:val="22"/>
        </w:rPr>
        <w:t>Layzell</w:t>
      </w:r>
      <w:proofErr w:type="spellEnd"/>
      <w:r>
        <w:rPr>
          <w:rFonts w:ascii="Times New Roman" w:hAnsi="Times New Roman" w:cs="Times New Roman"/>
          <w:sz w:val="22"/>
          <w:szCs w:val="22"/>
        </w:rPr>
        <w:t xml:space="preserve"> D B 2011 Feasibility study of a Great Lakes bioenergy system </w:t>
      </w:r>
      <w:proofErr w:type="spellStart"/>
      <w:r>
        <w:rPr>
          <w:rFonts w:ascii="Times New Roman" w:hAnsi="Times New Roman" w:cs="Times New Roman"/>
          <w:i/>
          <w:sz w:val="22"/>
          <w:szCs w:val="22"/>
        </w:rPr>
        <w:t>Bioresource</w:t>
      </w:r>
      <w:proofErr w:type="spellEnd"/>
      <w:r>
        <w:rPr>
          <w:rFonts w:ascii="Times New Roman" w:hAnsi="Times New Roman" w:cs="Times New Roman"/>
          <w:i/>
          <w:sz w:val="22"/>
          <w:szCs w:val="22"/>
        </w:rPr>
        <w:t xml:space="preserve"> Technology</w:t>
      </w:r>
      <w:r>
        <w:rPr>
          <w:rFonts w:ascii="Times New Roman" w:hAnsi="Times New Roman" w:cs="Times New Roman"/>
          <w:sz w:val="22"/>
          <w:szCs w:val="22"/>
        </w:rPr>
        <w:t xml:space="preserve"> </w:t>
      </w:r>
      <w:r>
        <w:rPr>
          <w:rFonts w:ascii="Times New Roman" w:hAnsi="Times New Roman" w:cs="Times New Roman"/>
          <w:b/>
          <w:sz w:val="22"/>
          <w:szCs w:val="22"/>
        </w:rPr>
        <w:t>102</w:t>
      </w:r>
      <w:r>
        <w:rPr>
          <w:rFonts w:ascii="Times New Roman" w:hAnsi="Times New Roman" w:cs="Times New Roman"/>
          <w:sz w:val="22"/>
          <w:szCs w:val="22"/>
        </w:rPr>
        <w:t>(1): 1087-1094</w:t>
      </w:r>
    </w:p>
    <w:p w:rsidR="00DE2A96" w:rsidRPr="00664F0F" w:rsidRDefault="00A87B34" w:rsidP="00DC42A9">
      <w:pPr>
        <w:rPr>
          <w:rFonts w:ascii="Times New Roman" w:hAnsi="Times New Roman" w:cs="Times New Roman"/>
          <w:sz w:val="22"/>
          <w:szCs w:val="22"/>
        </w:rPr>
      </w:pPr>
      <w:proofErr w:type="spellStart"/>
      <w:r>
        <w:rPr>
          <w:rFonts w:ascii="Times New Roman" w:hAnsi="Times New Roman" w:cs="Times New Roman"/>
          <w:sz w:val="22"/>
          <w:szCs w:val="22"/>
        </w:rPr>
        <w:t>Hoefnagels</w:t>
      </w:r>
      <w:proofErr w:type="spellEnd"/>
      <w:r>
        <w:rPr>
          <w:rFonts w:ascii="Times New Roman" w:hAnsi="Times New Roman" w:cs="Times New Roman"/>
          <w:sz w:val="22"/>
          <w:szCs w:val="22"/>
        </w:rPr>
        <w:t xml:space="preserve"> R E </w:t>
      </w:r>
      <w:proofErr w:type="spellStart"/>
      <w:r>
        <w:rPr>
          <w:rFonts w:ascii="Times New Roman" w:hAnsi="Times New Roman" w:cs="Times New Roman"/>
          <w:sz w:val="22"/>
          <w:szCs w:val="22"/>
        </w:rPr>
        <w:t>Smeets</w:t>
      </w:r>
      <w:proofErr w:type="spellEnd"/>
      <w:r>
        <w:rPr>
          <w:rFonts w:ascii="Times New Roman" w:hAnsi="Times New Roman" w:cs="Times New Roman"/>
          <w:sz w:val="22"/>
          <w:szCs w:val="22"/>
        </w:rPr>
        <w:t xml:space="preserve"> and A </w:t>
      </w:r>
      <w:proofErr w:type="spellStart"/>
      <w:r>
        <w:rPr>
          <w:rFonts w:ascii="Times New Roman" w:hAnsi="Times New Roman" w:cs="Times New Roman"/>
          <w:sz w:val="22"/>
          <w:szCs w:val="22"/>
        </w:rPr>
        <w:t>Faaij</w:t>
      </w:r>
      <w:proofErr w:type="spellEnd"/>
      <w:r>
        <w:rPr>
          <w:rFonts w:ascii="Times New Roman" w:hAnsi="Times New Roman" w:cs="Times New Roman"/>
          <w:sz w:val="22"/>
          <w:szCs w:val="22"/>
        </w:rPr>
        <w:t xml:space="preserve"> 2010 Greenhouse gas footprints of different biofuel production systems </w:t>
      </w:r>
      <w:r>
        <w:rPr>
          <w:rFonts w:ascii="Times New Roman" w:hAnsi="Times New Roman" w:cs="Times New Roman"/>
          <w:i/>
          <w:sz w:val="22"/>
          <w:szCs w:val="22"/>
        </w:rPr>
        <w:t>Renewable and Sustainable Energy Reviews</w:t>
      </w:r>
      <w:r>
        <w:rPr>
          <w:rFonts w:ascii="Times New Roman" w:hAnsi="Times New Roman" w:cs="Times New Roman"/>
          <w:sz w:val="22"/>
          <w:szCs w:val="22"/>
        </w:rPr>
        <w:t xml:space="preserve"> </w:t>
      </w:r>
      <w:r>
        <w:rPr>
          <w:rFonts w:ascii="Times New Roman" w:hAnsi="Times New Roman" w:cs="Times New Roman"/>
          <w:b/>
          <w:sz w:val="22"/>
          <w:szCs w:val="22"/>
        </w:rPr>
        <w:t>14</w:t>
      </w:r>
      <w:r>
        <w:rPr>
          <w:rFonts w:ascii="Times New Roman" w:hAnsi="Times New Roman" w:cs="Times New Roman"/>
          <w:sz w:val="22"/>
          <w:szCs w:val="22"/>
        </w:rPr>
        <w:t>(7): 1661-1694</w:t>
      </w:r>
    </w:p>
    <w:p w:rsidR="00DC42A9" w:rsidRPr="00664F0F" w:rsidRDefault="00A87B34" w:rsidP="00DC42A9">
      <w:pPr>
        <w:rPr>
          <w:rFonts w:ascii="Times New Roman" w:hAnsi="Times New Roman" w:cs="Times New Roman"/>
          <w:sz w:val="22"/>
          <w:szCs w:val="22"/>
        </w:rPr>
      </w:pPr>
      <w:r>
        <w:rPr>
          <w:rFonts w:ascii="Times New Roman" w:hAnsi="Times New Roman" w:cs="Times New Roman"/>
          <w:sz w:val="22"/>
          <w:szCs w:val="22"/>
        </w:rPr>
        <w:t xml:space="preserve">Holmgren P 2006 Global Land Use Area Change Matrix </w:t>
      </w:r>
      <w:r>
        <w:rPr>
          <w:rFonts w:ascii="Times New Roman" w:hAnsi="Times New Roman" w:cs="Times New Roman"/>
          <w:i/>
          <w:sz w:val="22"/>
          <w:szCs w:val="22"/>
        </w:rPr>
        <w:t>Forest Resources Assessment</w:t>
      </w:r>
      <w:r>
        <w:rPr>
          <w:rFonts w:ascii="Times New Roman" w:hAnsi="Times New Roman" w:cs="Times New Roman"/>
          <w:sz w:val="22"/>
          <w:szCs w:val="22"/>
        </w:rPr>
        <w:t xml:space="preserve"> (Rome, Italy: Food and Agriculture Organization of the United Nations)</w:t>
      </w:r>
    </w:p>
    <w:p w:rsidR="000C7A6D" w:rsidRPr="00664F0F" w:rsidRDefault="00A87B34" w:rsidP="00DC42A9">
      <w:pPr>
        <w:rPr>
          <w:rFonts w:ascii="Times New Roman" w:hAnsi="Times New Roman" w:cs="Times New Roman"/>
          <w:sz w:val="22"/>
          <w:szCs w:val="22"/>
        </w:rPr>
      </w:pPr>
      <w:r>
        <w:rPr>
          <w:rFonts w:ascii="Times New Roman" w:hAnsi="Times New Roman" w:cs="Times New Roman"/>
          <w:sz w:val="22"/>
          <w:szCs w:val="22"/>
        </w:rPr>
        <w:t xml:space="preserve">Homer J B 1996 </w:t>
      </w:r>
      <w:proofErr w:type="gramStart"/>
      <w:r>
        <w:rPr>
          <w:rFonts w:ascii="Times New Roman" w:hAnsi="Times New Roman" w:cs="Times New Roman"/>
          <w:sz w:val="22"/>
          <w:szCs w:val="22"/>
        </w:rPr>
        <w:t>Why</w:t>
      </w:r>
      <w:proofErr w:type="gramEnd"/>
      <w:r>
        <w:rPr>
          <w:rFonts w:ascii="Times New Roman" w:hAnsi="Times New Roman" w:cs="Times New Roman"/>
          <w:sz w:val="22"/>
          <w:szCs w:val="22"/>
        </w:rPr>
        <w:t xml:space="preserve"> we iterate:  scientific modeling in theory and practice. </w:t>
      </w:r>
      <w:proofErr w:type="spellStart"/>
      <w:r>
        <w:rPr>
          <w:rFonts w:ascii="Times New Roman" w:hAnsi="Times New Roman" w:cs="Times New Roman"/>
          <w:i/>
          <w:sz w:val="22"/>
          <w:szCs w:val="22"/>
        </w:rPr>
        <w:t>Syst</w:t>
      </w:r>
      <w:proofErr w:type="spellEnd"/>
      <w:r>
        <w:rPr>
          <w:rFonts w:ascii="Times New Roman" w:hAnsi="Times New Roman" w:cs="Times New Roman"/>
          <w:i/>
          <w:sz w:val="22"/>
          <w:szCs w:val="22"/>
        </w:rPr>
        <w:t xml:space="preserve"> </w:t>
      </w:r>
      <w:proofErr w:type="spellStart"/>
      <w:r>
        <w:rPr>
          <w:rFonts w:ascii="Times New Roman" w:hAnsi="Times New Roman" w:cs="Times New Roman"/>
          <w:i/>
          <w:sz w:val="22"/>
          <w:szCs w:val="22"/>
        </w:rPr>
        <w:t>Dyn</w:t>
      </w:r>
      <w:proofErr w:type="spellEnd"/>
      <w:r>
        <w:rPr>
          <w:rFonts w:ascii="Times New Roman" w:hAnsi="Times New Roman" w:cs="Times New Roman"/>
          <w:sz w:val="22"/>
          <w:szCs w:val="22"/>
        </w:rPr>
        <w:t xml:space="preserve"> Rev 12: 1-9</w:t>
      </w:r>
    </w:p>
    <w:p w:rsidR="00DC42A9" w:rsidRPr="00664F0F" w:rsidRDefault="00A87B34" w:rsidP="00DC42A9">
      <w:pPr>
        <w:rPr>
          <w:rFonts w:ascii="Times New Roman" w:hAnsi="Times New Roman" w:cs="Times New Roman"/>
          <w:sz w:val="22"/>
          <w:szCs w:val="22"/>
        </w:rPr>
      </w:pPr>
      <w:r>
        <w:rPr>
          <w:rFonts w:ascii="Times New Roman" w:hAnsi="Times New Roman" w:cs="Times New Roman"/>
          <w:sz w:val="22"/>
          <w:szCs w:val="22"/>
        </w:rPr>
        <w:t xml:space="preserve">Houghton R A, </w:t>
      </w:r>
      <w:proofErr w:type="spellStart"/>
      <w:r>
        <w:rPr>
          <w:rFonts w:ascii="Times New Roman" w:hAnsi="Times New Roman" w:cs="Times New Roman"/>
          <w:sz w:val="22"/>
          <w:szCs w:val="22"/>
        </w:rPr>
        <w:t>Skole</w:t>
      </w:r>
      <w:proofErr w:type="spellEnd"/>
      <w:r>
        <w:rPr>
          <w:rFonts w:ascii="Times New Roman" w:hAnsi="Times New Roman" w:cs="Times New Roman"/>
          <w:sz w:val="22"/>
          <w:szCs w:val="22"/>
        </w:rPr>
        <w:t xml:space="preserve"> D L, </w:t>
      </w:r>
      <w:proofErr w:type="spellStart"/>
      <w:r>
        <w:rPr>
          <w:rFonts w:ascii="Times New Roman" w:hAnsi="Times New Roman" w:cs="Times New Roman"/>
          <w:sz w:val="22"/>
          <w:szCs w:val="22"/>
        </w:rPr>
        <w:t>Nobre</w:t>
      </w:r>
      <w:proofErr w:type="spellEnd"/>
      <w:r>
        <w:rPr>
          <w:rFonts w:ascii="Times New Roman" w:hAnsi="Times New Roman" w:cs="Times New Roman"/>
          <w:sz w:val="22"/>
          <w:szCs w:val="22"/>
        </w:rPr>
        <w:t xml:space="preserve"> C A, Hackler J L, Lawrence K T and </w:t>
      </w:r>
      <w:proofErr w:type="spellStart"/>
      <w:r>
        <w:rPr>
          <w:rFonts w:ascii="Times New Roman" w:hAnsi="Times New Roman" w:cs="Times New Roman"/>
          <w:sz w:val="22"/>
          <w:szCs w:val="22"/>
        </w:rPr>
        <w:t>Chomentowski</w:t>
      </w:r>
      <w:proofErr w:type="spellEnd"/>
      <w:r>
        <w:rPr>
          <w:rFonts w:ascii="Times New Roman" w:hAnsi="Times New Roman" w:cs="Times New Roman"/>
          <w:sz w:val="22"/>
          <w:szCs w:val="22"/>
        </w:rPr>
        <w:t xml:space="preserve"> W H 2000 Annual fluxes of carbon from deforestation and </w:t>
      </w:r>
      <w:proofErr w:type="spellStart"/>
      <w:r>
        <w:rPr>
          <w:rFonts w:ascii="Times New Roman" w:hAnsi="Times New Roman" w:cs="Times New Roman"/>
          <w:sz w:val="22"/>
          <w:szCs w:val="22"/>
        </w:rPr>
        <w:t>regrowth</w:t>
      </w:r>
      <w:proofErr w:type="spellEnd"/>
      <w:r>
        <w:rPr>
          <w:rFonts w:ascii="Times New Roman" w:hAnsi="Times New Roman" w:cs="Times New Roman"/>
          <w:sz w:val="22"/>
          <w:szCs w:val="22"/>
        </w:rPr>
        <w:t xml:space="preserve"> in the Brazilian Amazon </w:t>
      </w:r>
      <w:r>
        <w:rPr>
          <w:rFonts w:ascii="Times New Roman" w:hAnsi="Times New Roman" w:cs="Times New Roman"/>
          <w:i/>
          <w:sz w:val="22"/>
          <w:szCs w:val="22"/>
        </w:rPr>
        <w:t>Nature</w:t>
      </w:r>
      <w:r>
        <w:rPr>
          <w:rFonts w:ascii="Times New Roman" w:hAnsi="Times New Roman" w:cs="Times New Roman"/>
          <w:sz w:val="22"/>
          <w:szCs w:val="22"/>
        </w:rPr>
        <w:t xml:space="preserve"> </w:t>
      </w:r>
      <w:r>
        <w:rPr>
          <w:rFonts w:ascii="Times New Roman" w:hAnsi="Times New Roman" w:cs="Times New Roman"/>
          <w:b/>
          <w:sz w:val="22"/>
          <w:szCs w:val="22"/>
        </w:rPr>
        <w:t>403</w:t>
      </w:r>
      <w:r>
        <w:rPr>
          <w:rFonts w:ascii="Times New Roman" w:hAnsi="Times New Roman" w:cs="Times New Roman"/>
          <w:sz w:val="22"/>
          <w:szCs w:val="22"/>
        </w:rPr>
        <w:t xml:space="preserve"> 301–4</w:t>
      </w:r>
    </w:p>
    <w:p w:rsidR="0030313F" w:rsidRPr="00664F0F" w:rsidRDefault="00A87B34" w:rsidP="0030313F">
      <w:pPr>
        <w:rPr>
          <w:rFonts w:ascii="Times New Roman" w:hAnsi="Times New Roman"/>
          <w:sz w:val="22"/>
          <w:szCs w:val="22"/>
        </w:rPr>
      </w:pPr>
      <w:r>
        <w:rPr>
          <w:rFonts w:ascii="Times New Roman" w:hAnsi="Times New Roman"/>
          <w:sz w:val="22"/>
          <w:szCs w:val="22"/>
        </w:rPr>
        <w:t xml:space="preserve">Joint Global Change Research Institute 2012 </w:t>
      </w:r>
      <w:r>
        <w:rPr>
          <w:rFonts w:ascii="Times New Roman" w:hAnsi="Times New Roman"/>
          <w:i/>
          <w:iCs/>
          <w:sz w:val="22"/>
          <w:szCs w:val="22"/>
        </w:rPr>
        <w:t>Global Change Assessment (GCAM) Model</w:t>
      </w:r>
      <w:r>
        <w:rPr>
          <w:rFonts w:ascii="Times New Roman" w:hAnsi="Times New Roman"/>
          <w:sz w:val="22"/>
          <w:szCs w:val="22"/>
        </w:rPr>
        <w:t xml:space="preserve"> Version 3.0 (College Park, Maryland: University of Maryland)</w:t>
      </w:r>
    </w:p>
    <w:p w:rsidR="00DC42A9" w:rsidRPr="00664F0F" w:rsidRDefault="00A87B34" w:rsidP="00DC42A9">
      <w:pPr>
        <w:rPr>
          <w:rFonts w:ascii="Times New Roman" w:hAnsi="Times New Roman" w:cs="Times New Roman"/>
          <w:sz w:val="22"/>
          <w:szCs w:val="22"/>
        </w:rPr>
      </w:pPr>
      <w:r>
        <w:rPr>
          <w:rFonts w:ascii="Times New Roman" w:hAnsi="Times New Roman" w:cs="Times New Roman"/>
          <w:sz w:val="22"/>
          <w:szCs w:val="22"/>
        </w:rPr>
        <w:t xml:space="preserve">Matthews E 2001 </w:t>
      </w:r>
      <w:r>
        <w:rPr>
          <w:rFonts w:ascii="Times New Roman" w:hAnsi="Times New Roman" w:cs="Times New Roman"/>
          <w:i/>
          <w:sz w:val="22"/>
          <w:szCs w:val="22"/>
        </w:rPr>
        <w:t>Understanding the Forest Resources Assessment</w:t>
      </w:r>
      <w:r>
        <w:rPr>
          <w:rFonts w:ascii="Times New Roman" w:hAnsi="Times New Roman" w:cs="Times New Roman"/>
          <w:sz w:val="22"/>
          <w:szCs w:val="22"/>
        </w:rPr>
        <w:t xml:space="preserve"> (Washington, DC: World Resources Institute)</w:t>
      </w:r>
    </w:p>
    <w:p w:rsidR="000C7A6D" w:rsidRPr="00664F0F" w:rsidRDefault="00A87B34" w:rsidP="00DC42A9">
      <w:pPr>
        <w:rPr>
          <w:rFonts w:ascii="Times New Roman" w:hAnsi="Times New Roman" w:cs="Times New Roman"/>
          <w:sz w:val="22"/>
          <w:szCs w:val="22"/>
        </w:rPr>
      </w:pPr>
      <w:r>
        <w:rPr>
          <w:rFonts w:ascii="Times New Roman" w:hAnsi="Times New Roman" w:cs="Times New Roman"/>
          <w:sz w:val="22"/>
          <w:szCs w:val="22"/>
        </w:rPr>
        <w:t xml:space="preserve">Meadows D H Meadows D Randers J Behrens III WW 1972 </w:t>
      </w:r>
      <w:proofErr w:type="gramStart"/>
      <w:r>
        <w:rPr>
          <w:rFonts w:ascii="Times New Roman" w:hAnsi="Times New Roman" w:cs="Times New Roman"/>
          <w:i/>
          <w:sz w:val="22"/>
          <w:szCs w:val="22"/>
        </w:rPr>
        <w:t>The</w:t>
      </w:r>
      <w:proofErr w:type="gramEnd"/>
      <w:r>
        <w:rPr>
          <w:rFonts w:ascii="Times New Roman" w:hAnsi="Times New Roman" w:cs="Times New Roman"/>
          <w:i/>
          <w:sz w:val="22"/>
          <w:szCs w:val="22"/>
        </w:rPr>
        <w:t xml:space="preserve"> Limits to Growth</w:t>
      </w:r>
      <w:r>
        <w:rPr>
          <w:rFonts w:ascii="Times New Roman" w:hAnsi="Times New Roman" w:cs="Times New Roman"/>
          <w:sz w:val="22"/>
          <w:szCs w:val="22"/>
        </w:rPr>
        <w:t xml:space="preserve"> New York: Universe Books</w:t>
      </w:r>
    </w:p>
    <w:p w:rsidR="00BC240F" w:rsidRPr="00664F0F" w:rsidRDefault="00A87B34" w:rsidP="00DC42A9">
      <w:pPr>
        <w:rPr>
          <w:rFonts w:ascii="Times New Roman" w:hAnsi="Times New Roman" w:cs="Times New Roman"/>
          <w:sz w:val="22"/>
          <w:szCs w:val="22"/>
        </w:rPr>
      </w:pPr>
      <w:r>
        <w:rPr>
          <w:rFonts w:ascii="Times New Roman" w:hAnsi="Times New Roman" w:cs="Times New Roman"/>
          <w:sz w:val="22"/>
          <w:szCs w:val="22"/>
        </w:rPr>
        <w:t xml:space="preserve">Meadows D Randers J Meadows D 2004 </w:t>
      </w:r>
      <w:r>
        <w:rPr>
          <w:rFonts w:ascii="Times New Roman" w:hAnsi="Times New Roman" w:cs="Times New Roman"/>
          <w:i/>
          <w:sz w:val="22"/>
          <w:szCs w:val="22"/>
        </w:rPr>
        <w:t xml:space="preserve">The limits to </w:t>
      </w:r>
      <w:proofErr w:type="gramStart"/>
      <w:r>
        <w:rPr>
          <w:rFonts w:ascii="Times New Roman" w:hAnsi="Times New Roman" w:cs="Times New Roman"/>
          <w:i/>
          <w:sz w:val="22"/>
          <w:szCs w:val="22"/>
        </w:rPr>
        <w:t>growth :</w:t>
      </w:r>
      <w:proofErr w:type="gramEnd"/>
      <w:r>
        <w:rPr>
          <w:rFonts w:ascii="Times New Roman" w:hAnsi="Times New Roman" w:cs="Times New Roman"/>
          <w:i/>
          <w:sz w:val="22"/>
          <w:szCs w:val="22"/>
        </w:rPr>
        <w:t xml:space="preserve"> the 30-year update</w:t>
      </w:r>
      <w:r>
        <w:rPr>
          <w:rFonts w:ascii="Times New Roman" w:hAnsi="Times New Roman" w:cs="Times New Roman"/>
          <w:sz w:val="22"/>
          <w:szCs w:val="22"/>
        </w:rPr>
        <w:t xml:space="preserve"> Chelsea Green Pub White River Junction </w:t>
      </w:r>
      <w:proofErr w:type="spellStart"/>
      <w:r>
        <w:rPr>
          <w:rFonts w:ascii="Times New Roman" w:hAnsi="Times New Roman" w:cs="Times New Roman"/>
          <w:sz w:val="22"/>
          <w:szCs w:val="22"/>
        </w:rPr>
        <w:t>Vt</w:t>
      </w:r>
      <w:proofErr w:type="spellEnd"/>
    </w:p>
    <w:p w:rsidR="00962E45" w:rsidRDefault="00A87B34" w:rsidP="00DC42A9">
      <w:pPr>
        <w:rPr>
          <w:rFonts w:ascii="Times New Roman" w:hAnsi="Times New Roman" w:cs="Times New Roman"/>
          <w:sz w:val="22"/>
          <w:szCs w:val="22"/>
        </w:rPr>
      </w:pPr>
      <w:proofErr w:type="gramStart"/>
      <w:r>
        <w:rPr>
          <w:rFonts w:ascii="Times New Roman" w:hAnsi="Times New Roman" w:cs="Times New Roman"/>
          <w:sz w:val="22"/>
          <w:szCs w:val="22"/>
        </w:rPr>
        <w:t xml:space="preserve">National Renewable Energy Laboratory (NREL) 2012 </w:t>
      </w:r>
      <w:r>
        <w:rPr>
          <w:rFonts w:ascii="Times New Roman" w:hAnsi="Times New Roman" w:cs="Times New Roman"/>
          <w:i/>
          <w:sz w:val="22"/>
          <w:szCs w:val="22"/>
        </w:rPr>
        <w:t>Biomass Scenario Model</w:t>
      </w:r>
      <w:r>
        <w:rPr>
          <w:rFonts w:ascii="Times New Roman" w:hAnsi="Times New Roman" w:cs="Times New Roman"/>
          <w:sz w:val="22"/>
          <w:szCs w:val="22"/>
        </w:rPr>
        <w:t xml:space="preserve"> NREL Golden CO</w:t>
      </w:r>
      <w:r w:rsidR="00D12923">
        <w:rPr>
          <w:rFonts w:ascii="Times New Roman" w:hAnsi="Times New Roman" w:cs="Times New Roman"/>
          <w:sz w:val="22"/>
          <w:szCs w:val="22"/>
        </w:rPr>
        <w:t>. Proprietary Data.</w:t>
      </w:r>
      <w:proofErr w:type="gramEnd"/>
    </w:p>
    <w:p w:rsidR="00DC42A9" w:rsidRPr="00664F0F" w:rsidRDefault="00A87B34" w:rsidP="00DC42A9">
      <w:pPr>
        <w:rPr>
          <w:rFonts w:ascii="Times New Roman" w:hAnsi="Times New Roman" w:cs="Times New Roman"/>
          <w:sz w:val="22"/>
          <w:szCs w:val="22"/>
        </w:rPr>
      </w:pPr>
      <w:r>
        <w:rPr>
          <w:rFonts w:ascii="Times New Roman" w:hAnsi="Times New Roman" w:cs="Times New Roman"/>
          <w:sz w:val="22"/>
          <w:szCs w:val="22"/>
        </w:rPr>
        <w:t xml:space="preserve">OECD-FAO 2010 </w:t>
      </w:r>
      <w:r>
        <w:rPr>
          <w:rFonts w:ascii="Times New Roman" w:hAnsi="Times New Roman" w:cs="Times New Roman"/>
          <w:i/>
          <w:sz w:val="22"/>
          <w:szCs w:val="22"/>
        </w:rPr>
        <w:t>OECD-FAO Agricultural Outlook, 2010-2019</w:t>
      </w:r>
      <w:r>
        <w:rPr>
          <w:rFonts w:ascii="Times New Roman" w:hAnsi="Times New Roman" w:cs="Times New Roman"/>
          <w:sz w:val="22"/>
          <w:szCs w:val="22"/>
        </w:rPr>
        <w:t xml:space="preserve"> (Paris, France: </w:t>
      </w:r>
      <w:proofErr w:type="spellStart"/>
      <w:r>
        <w:rPr>
          <w:rFonts w:ascii="Times New Roman" w:hAnsi="Times New Roman" w:cs="Times New Roman"/>
          <w:sz w:val="22"/>
          <w:szCs w:val="22"/>
        </w:rPr>
        <w:t>Organisation</w:t>
      </w:r>
      <w:proofErr w:type="spellEnd"/>
      <w:r>
        <w:rPr>
          <w:rFonts w:ascii="Times New Roman" w:hAnsi="Times New Roman" w:cs="Times New Roman"/>
          <w:sz w:val="22"/>
          <w:szCs w:val="22"/>
        </w:rPr>
        <w:t xml:space="preserve"> for Economic Co-operation and Development and Rome: Food and Agriculture Organization of the United Nations)</w:t>
      </w:r>
    </w:p>
    <w:p w:rsidR="00982169" w:rsidRPr="00022ABE" w:rsidRDefault="00982169" w:rsidP="00982169">
      <w:pPr>
        <w:rPr>
          <w:rFonts w:ascii="Times New Roman" w:hAnsi="Times New Roman"/>
          <w:sz w:val="22"/>
          <w:szCs w:val="22"/>
        </w:rPr>
      </w:pPr>
      <w:r>
        <w:rPr>
          <w:rFonts w:ascii="Times New Roman" w:hAnsi="Times New Roman"/>
          <w:sz w:val="22"/>
          <w:szCs w:val="22"/>
        </w:rPr>
        <w:t>Pelletier N</w:t>
      </w:r>
      <w:r w:rsidRPr="00022ABE">
        <w:rPr>
          <w:rFonts w:ascii="Times New Roman" w:hAnsi="Times New Roman"/>
          <w:sz w:val="22"/>
          <w:szCs w:val="22"/>
        </w:rPr>
        <w:t xml:space="preserve"> </w:t>
      </w:r>
      <w:r>
        <w:rPr>
          <w:rFonts w:ascii="Times New Roman" w:hAnsi="Times New Roman"/>
          <w:sz w:val="22"/>
          <w:szCs w:val="22"/>
        </w:rPr>
        <w:t xml:space="preserve">2008 </w:t>
      </w:r>
      <w:r w:rsidRPr="00022ABE">
        <w:rPr>
          <w:rFonts w:ascii="Times New Roman" w:hAnsi="Times New Roman"/>
          <w:sz w:val="22"/>
          <w:szCs w:val="22"/>
        </w:rPr>
        <w:t xml:space="preserve">Environmental performance in the US broiler poultry sector: Life cycle energy use and greenhouse gas, ozone depleting, acidifying and </w:t>
      </w:r>
      <w:proofErr w:type="spellStart"/>
      <w:r w:rsidRPr="00022ABE">
        <w:rPr>
          <w:rFonts w:ascii="Times New Roman" w:hAnsi="Times New Roman"/>
          <w:sz w:val="22"/>
          <w:szCs w:val="22"/>
        </w:rPr>
        <w:t>eutrophying</w:t>
      </w:r>
      <w:proofErr w:type="spellEnd"/>
      <w:r w:rsidRPr="00022ABE">
        <w:rPr>
          <w:rFonts w:ascii="Times New Roman" w:hAnsi="Times New Roman"/>
          <w:sz w:val="22"/>
          <w:szCs w:val="22"/>
        </w:rPr>
        <w:t xml:space="preserve"> emissions. </w:t>
      </w:r>
      <w:proofErr w:type="spellStart"/>
      <w:r w:rsidRPr="00022ABE">
        <w:rPr>
          <w:rFonts w:ascii="Times New Roman" w:hAnsi="Times New Roman"/>
          <w:i/>
          <w:sz w:val="22"/>
          <w:szCs w:val="22"/>
        </w:rPr>
        <w:t>Agricultual</w:t>
      </w:r>
      <w:proofErr w:type="spellEnd"/>
      <w:r w:rsidRPr="00022ABE">
        <w:rPr>
          <w:rFonts w:ascii="Times New Roman" w:hAnsi="Times New Roman"/>
          <w:i/>
          <w:sz w:val="22"/>
          <w:szCs w:val="22"/>
        </w:rPr>
        <w:t xml:space="preserve"> Systems</w:t>
      </w:r>
      <w:r w:rsidRPr="00022ABE">
        <w:rPr>
          <w:rFonts w:ascii="Times New Roman" w:hAnsi="Times New Roman"/>
          <w:sz w:val="22"/>
          <w:szCs w:val="22"/>
        </w:rPr>
        <w:t xml:space="preserve"> </w:t>
      </w:r>
      <w:r w:rsidRPr="00022ABE">
        <w:rPr>
          <w:rFonts w:ascii="Times New Roman" w:hAnsi="Times New Roman"/>
          <w:i/>
          <w:sz w:val="22"/>
          <w:szCs w:val="22"/>
        </w:rPr>
        <w:t>98</w:t>
      </w:r>
      <w:r>
        <w:rPr>
          <w:rFonts w:ascii="Times New Roman" w:hAnsi="Times New Roman"/>
          <w:sz w:val="22"/>
          <w:szCs w:val="22"/>
        </w:rPr>
        <w:t>(61-73)</w:t>
      </w:r>
    </w:p>
    <w:p w:rsidR="00DC42A9" w:rsidRPr="00664F0F" w:rsidRDefault="00A87B34" w:rsidP="00DC42A9">
      <w:pPr>
        <w:rPr>
          <w:rFonts w:ascii="Times New Roman" w:hAnsi="Times New Roman" w:cs="Times New Roman"/>
          <w:sz w:val="22"/>
          <w:szCs w:val="22"/>
        </w:rPr>
      </w:pPr>
      <w:r>
        <w:rPr>
          <w:rFonts w:ascii="Times New Roman" w:hAnsi="Times New Roman" w:cs="Times New Roman"/>
          <w:sz w:val="22"/>
          <w:szCs w:val="22"/>
        </w:rPr>
        <w:t xml:space="preserve">Pelletier N, </w:t>
      </w:r>
      <w:proofErr w:type="spellStart"/>
      <w:r>
        <w:rPr>
          <w:rFonts w:ascii="Times New Roman" w:hAnsi="Times New Roman" w:cs="Times New Roman"/>
          <w:sz w:val="22"/>
          <w:szCs w:val="22"/>
        </w:rPr>
        <w:t>Pirog</w:t>
      </w:r>
      <w:proofErr w:type="spellEnd"/>
      <w:r>
        <w:rPr>
          <w:rFonts w:ascii="Times New Roman" w:hAnsi="Times New Roman" w:cs="Times New Roman"/>
          <w:sz w:val="22"/>
          <w:szCs w:val="22"/>
        </w:rPr>
        <w:t xml:space="preserve"> R and Rasmussen R 2009 Comparative life cycle environmental impacts of three beef production strategies in the Upper Midwestern United States </w:t>
      </w:r>
      <w:r>
        <w:rPr>
          <w:rFonts w:ascii="Times New Roman" w:hAnsi="Times New Roman" w:cs="Times New Roman"/>
          <w:i/>
          <w:sz w:val="22"/>
          <w:szCs w:val="22"/>
        </w:rPr>
        <w:t>Agricultural Systems</w:t>
      </w:r>
      <w:r>
        <w:rPr>
          <w:rFonts w:ascii="Times New Roman" w:hAnsi="Times New Roman" w:cs="Times New Roman"/>
          <w:sz w:val="22"/>
          <w:szCs w:val="22"/>
        </w:rPr>
        <w:t xml:space="preserve"> </w:t>
      </w:r>
      <w:r>
        <w:rPr>
          <w:rFonts w:ascii="Times New Roman" w:hAnsi="Times New Roman" w:cs="Times New Roman"/>
          <w:b/>
          <w:sz w:val="22"/>
          <w:szCs w:val="22"/>
        </w:rPr>
        <w:t>103</w:t>
      </w:r>
      <w:r>
        <w:rPr>
          <w:rFonts w:ascii="Times New Roman" w:hAnsi="Times New Roman" w:cs="Times New Roman"/>
          <w:sz w:val="22"/>
          <w:szCs w:val="22"/>
        </w:rPr>
        <w:t xml:space="preserve"> 380–9</w:t>
      </w:r>
    </w:p>
    <w:p w:rsidR="00DC42A9" w:rsidRPr="00664F0F" w:rsidRDefault="00A87B34" w:rsidP="00DC42A9">
      <w:pPr>
        <w:rPr>
          <w:rFonts w:ascii="Times New Roman" w:hAnsi="Times New Roman" w:cs="Times New Roman"/>
          <w:sz w:val="22"/>
          <w:szCs w:val="22"/>
        </w:rPr>
      </w:pPr>
      <w:r>
        <w:rPr>
          <w:rFonts w:ascii="Times New Roman" w:hAnsi="Times New Roman" w:cs="Times New Roman"/>
          <w:sz w:val="22"/>
          <w:szCs w:val="22"/>
        </w:rPr>
        <w:t xml:space="preserve">Pelletier N, </w:t>
      </w:r>
      <w:proofErr w:type="spellStart"/>
      <w:r>
        <w:rPr>
          <w:rFonts w:ascii="Times New Roman" w:hAnsi="Times New Roman" w:cs="Times New Roman"/>
          <w:sz w:val="22"/>
          <w:szCs w:val="22"/>
        </w:rPr>
        <w:t>Lammers</w:t>
      </w:r>
      <w:proofErr w:type="spellEnd"/>
      <w:r>
        <w:rPr>
          <w:rFonts w:ascii="Times New Roman" w:hAnsi="Times New Roman" w:cs="Times New Roman"/>
          <w:sz w:val="22"/>
          <w:szCs w:val="22"/>
        </w:rPr>
        <w:t xml:space="preserve"> P, </w:t>
      </w:r>
      <w:proofErr w:type="spellStart"/>
      <w:r>
        <w:rPr>
          <w:rFonts w:ascii="Times New Roman" w:hAnsi="Times New Roman" w:cs="Times New Roman"/>
          <w:sz w:val="22"/>
          <w:szCs w:val="22"/>
        </w:rPr>
        <w:t>Stender</w:t>
      </w:r>
      <w:proofErr w:type="spellEnd"/>
      <w:r>
        <w:rPr>
          <w:rFonts w:ascii="Times New Roman" w:hAnsi="Times New Roman" w:cs="Times New Roman"/>
          <w:sz w:val="22"/>
          <w:szCs w:val="22"/>
        </w:rPr>
        <w:t xml:space="preserve"> D and </w:t>
      </w:r>
      <w:proofErr w:type="spellStart"/>
      <w:r>
        <w:rPr>
          <w:rFonts w:ascii="Times New Roman" w:hAnsi="Times New Roman" w:cs="Times New Roman"/>
          <w:sz w:val="22"/>
          <w:szCs w:val="22"/>
        </w:rPr>
        <w:t>Pirog</w:t>
      </w:r>
      <w:proofErr w:type="spellEnd"/>
      <w:r>
        <w:rPr>
          <w:rFonts w:ascii="Times New Roman" w:hAnsi="Times New Roman" w:cs="Times New Roman"/>
          <w:sz w:val="22"/>
          <w:szCs w:val="22"/>
        </w:rPr>
        <w:t xml:space="preserve"> R 2010 Life cycle assessment of high- and low-profitability commodity and deep-bedded niche swine production systems in the Upper Midwestern United States </w:t>
      </w:r>
      <w:r>
        <w:rPr>
          <w:rFonts w:ascii="Times New Roman" w:hAnsi="Times New Roman" w:cs="Times New Roman"/>
          <w:i/>
          <w:sz w:val="22"/>
          <w:szCs w:val="22"/>
        </w:rPr>
        <w:t>Agricultural Systems</w:t>
      </w:r>
      <w:r>
        <w:rPr>
          <w:rFonts w:ascii="Times New Roman" w:hAnsi="Times New Roman" w:cs="Times New Roman"/>
          <w:sz w:val="22"/>
          <w:szCs w:val="22"/>
        </w:rPr>
        <w:t xml:space="preserve"> </w:t>
      </w:r>
      <w:r>
        <w:rPr>
          <w:rFonts w:ascii="Times New Roman" w:hAnsi="Times New Roman" w:cs="Times New Roman"/>
          <w:b/>
          <w:sz w:val="22"/>
          <w:szCs w:val="22"/>
        </w:rPr>
        <w:t>103</w:t>
      </w:r>
      <w:r>
        <w:rPr>
          <w:rFonts w:ascii="Times New Roman" w:hAnsi="Times New Roman" w:cs="Times New Roman"/>
          <w:sz w:val="22"/>
          <w:szCs w:val="22"/>
        </w:rPr>
        <w:t xml:space="preserve"> 599–608</w:t>
      </w:r>
    </w:p>
    <w:p w:rsidR="00DC42A9" w:rsidRPr="00664F0F" w:rsidRDefault="00A87B34" w:rsidP="00DC42A9">
      <w:pPr>
        <w:rPr>
          <w:rFonts w:ascii="Times New Roman" w:hAnsi="Times New Roman" w:cs="Times New Roman"/>
          <w:sz w:val="22"/>
          <w:szCs w:val="22"/>
        </w:rPr>
      </w:pPr>
      <w:proofErr w:type="spellStart"/>
      <w:r>
        <w:rPr>
          <w:rFonts w:ascii="Times New Roman" w:hAnsi="Times New Roman" w:cs="Times New Roman"/>
          <w:sz w:val="22"/>
          <w:szCs w:val="22"/>
        </w:rPr>
        <w:lastRenderedPageBreak/>
        <w:t>Rotz</w:t>
      </w:r>
      <w:proofErr w:type="spellEnd"/>
      <w:r>
        <w:rPr>
          <w:rFonts w:ascii="Times New Roman" w:hAnsi="Times New Roman" w:cs="Times New Roman"/>
          <w:sz w:val="22"/>
          <w:szCs w:val="22"/>
        </w:rPr>
        <w:t xml:space="preserve"> C A and </w:t>
      </w:r>
      <w:proofErr w:type="spellStart"/>
      <w:r>
        <w:rPr>
          <w:rFonts w:ascii="Times New Roman" w:hAnsi="Times New Roman" w:cs="Times New Roman"/>
          <w:sz w:val="22"/>
          <w:szCs w:val="22"/>
        </w:rPr>
        <w:t>Zartman</w:t>
      </w:r>
      <w:proofErr w:type="spellEnd"/>
      <w:r>
        <w:rPr>
          <w:rFonts w:ascii="Times New Roman" w:hAnsi="Times New Roman" w:cs="Times New Roman"/>
          <w:sz w:val="22"/>
          <w:szCs w:val="22"/>
        </w:rPr>
        <w:t xml:space="preserve"> D L 1997 </w:t>
      </w:r>
      <w:r>
        <w:rPr>
          <w:rFonts w:ascii="Times New Roman" w:hAnsi="Times New Roman" w:cs="Times New Roman"/>
          <w:i/>
          <w:sz w:val="22"/>
          <w:szCs w:val="22"/>
        </w:rPr>
        <w:t>Performance and Economics of a Perennial Cow Dairy Farm</w:t>
      </w:r>
      <w:r>
        <w:rPr>
          <w:rFonts w:ascii="Times New Roman" w:hAnsi="Times New Roman" w:cs="Times New Roman"/>
          <w:sz w:val="22"/>
          <w:szCs w:val="22"/>
        </w:rPr>
        <w:t xml:space="preserve"> (Madison, Wisconsin: U.S. Dairy Forage Research Center, University of Wisconsin)</w:t>
      </w:r>
    </w:p>
    <w:p w:rsidR="00DC42A9" w:rsidRPr="00664F0F" w:rsidRDefault="00A87B34" w:rsidP="00DC42A9">
      <w:pPr>
        <w:rPr>
          <w:rFonts w:ascii="Times New Roman" w:hAnsi="Times New Roman" w:cs="Times New Roman"/>
          <w:sz w:val="22"/>
          <w:szCs w:val="22"/>
        </w:rPr>
      </w:pPr>
      <w:r>
        <w:rPr>
          <w:rFonts w:ascii="Times New Roman" w:hAnsi="Times New Roman" w:cs="Times New Roman"/>
          <w:sz w:val="22"/>
          <w:szCs w:val="22"/>
        </w:rPr>
        <w:t xml:space="preserve">Siebert S, </w:t>
      </w:r>
      <w:proofErr w:type="spellStart"/>
      <w:r>
        <w:rPr>
          <w:rFonts w:ascii="Times New Roman" w:hAnsi="Times New Roman" w:cs="Times New Roman"/>
          <w:sz w:val="22"/>
          <w:szCs w:val="22"/>
        </w:rPr>
        <w:t>Portmann</w:t>
      </w:r>
      <w:proofErr w:type="spellEnd"/>
      <w:r>
        <w:rPr>
          <w:rFonts w:ascii="Times New Roman" w:hAnsi="Times New Roman" w:cs="Times New Roman"/>
          <w:sz w:val="22"/>
          <w:szCs w:val="22"/>
        </w:rPr>
        <w:t xml:space="preserve"> F T and </w:t>
      </w:r>
      <w:proofErr w:type="spellStart"/>
      <w:r>
        <w:rPr>
          <w:rFonts w:ascii="Times New Roman" w:hAnsi="Times New Roman" w:cs="Times New Roman"/>
          <w:sz w:val="22"/>
          <w:szCs w:val="22"/>
        </w:rPr>
        <w:t>Döll</w:t>
      </w:r>
      <w:proofErr w:type="spellEnd"/>
      <w:r>
        <w:rPr>
          <w:rFonts w:ascii="Times New Roman" w:hAnsi="Times New Roman" w:cs="Times New Roman"/>
          <w:sz w:val="22"/>
          <w:szCs w:val="22"/>
        </w:rPr>
        <w:t xml:space="preserve"> P 2010 Global Patterns of Cropland Use Intensity </w:t>
      </w:r>
      <w:r>
        <w:rPr>
          <w:rFonts w:ascii="Times New Roman" w:hAnsi="Times New Roman" w:cs="Times New Roman"/>
          <w:i/>
          <w:sz w:val="22"/>
          <w:szCs w:val="22"/>
        </w:rPr>
        <w:t>Remote Sensing</w:t>
      </w:r>
      <w:r>
        <w:rPr>
          <w:rFonts w:ascii="Times New Roman" w:hAnsi="Times New Roman" w:cs="Times New Roman"/>
          <w:sz w:val="22"/>
          <w:szCs w:val="22"/>
        </w:rPr>
        <w:t xml:space="preserve"> </w:t>
      </w:r>
      <w:r>
        <w:rPr>
          <w:rFonts w:ascii="Times New Roman" w:hAnsi="Times New Roman" w:cs="Times New Roman"/>
          <w:b/>
          <w:sz w:val="22"/>
          <w:szCs w:val="22"/>
        </w:rPr>
        <w:t>2</w:t>
      </w:r>
      <w:r>
        <w:rPr>
          <w:rFonts w:ascii="Times New Roman" w:hAnsi="Times New Roman" w:cs="Times New Roman"/>
          <w:sz w:val="22"/>
          <w:szCs w:val="22"/>
        </w:rPr>
        <w:t xml:space="preserve"> 1625–43</w:t>
      </w:r>
    </w:p>
    <w:p w:rsidR="000C7A6D" w:rsidRPr="00664F0F" w:rsidRDefault="00A87B34" w:rsidP="00057014">
      <w:pPr>
        <w:rPr>
          <w:rFonts w:ascii="Times New Roman" w:hAnsi="Times New Roman" w:cs="Times New Roman"/>
          <w:sz w:val="22"/>
          <w:szCs w:val="22"/>
        </w:rPr>
      </w:pPr>
      <w:proofErr w:type="spellStart"/>
      <w:r>
        <w:rPr>
          <w:rFonts w:ascii="Times New Roman" w:hAnsi="Times New Roman" w:cs="Times New Roman"/>
          <w:sz w:val="22"/>
          <w:szCs w:val="22"/>
        </w:rPr>
        <w:t>Sterman</w:t>
      </w:r>
      <w:proofErr w:type="spellEnd"/>
      <w:r>
        <w:rPr>
          <w:rFonts w:ascii="Times New Roman" w:hAnsi="Times New Roman" w:cs="Times New Roman"/>
          <w:sz w:val="22"/>
          <w:szCs w:val="22"/>
        </w:rPr>
        <w:t xml:space="preserve"> J D 2000 </w:t>
      </w:r>
      <w:r>
        <w:rPr>
          <w:rFonts w:ascii="Times New Roman" w:hAnsi="Times New Roman" w:cs="Times New Roman"/>
          <w:i/>
          <w:sz w:val="22"/>
          <w:szCs w:val="22"/>
        </w:rPr>
        <w:t>Business Dynamics</w:t>
      </w:r>
      <w:r>
        <w:rPr>
          <w:rFonts w:ascii="Times New Roman" w:hAnsi="Times New Roman" w:cs="Times New Roman"/>
          <w:sz w:val="22"/>
          <w:szCs w:val="22"/>
        </w:rPr>
        <w:t xml:space="preserve">: Mc </w:t>
      </w:r>
      <w:proofErr w:type="spellStart"/>
      <w:r>
        <w:rPr>
          <w:rFonts w:ascii="Times New Roman" w:hAnsi="Times New Roman" w:cs="Times New Roman"/>
          <w:sz w:val="22"/>
          <w:szCs w:val="22"/>
        </w:rPr>
        <w:t>Graw</w:t>
      </w:r>
      <w:proofErr w:type="spellEnd"/>
      <w:r>
        <w:rPr>
          <w:rFonts w:ascii="Times New Roman" w:hAnsi="Times New Roman" w:cs="Times New Roman"/>
          <w:sz w:val="22"/>
          <w:szCs w:val="22"/>
        </w:rPr>
        <w:t xml:space="preserve"> Hill</w:t>
      </w:r>
    </w:p>
    <w:p w:rsidR="000C7A6D" w:rsidRPr="00664F0F" w:rsidRDefault="00A87B34" w:rsidP="00057014">
      <w:pPr>
        <w:rPr>
          <w:rFonts w:ascii="Times New Roman" w:hAnsi="Times New Roman" w:cs="Times New Roman"/>
          <w:sz w:val="22"/>
          <w:szCs w:val="22"/>
        </w:rPr>
      </w:pPr>
      <w:proofErr w:type="spellStart"/>
      <w:proofErr w:type="gramStart"/>
      <w:r>
        <w:rPr>
          <w:rFonts w:ascii="Times New Roman" w:hAnsi="Times New Roman" w:cs="Times New Roman"/>
          <w:sz w:val="22"/>
          <w:szCs w:val="22"/>
        </w:rPr>
        <w:t>Sterman</w:t>
      </w:r>
      <w:proofErr w:type="spellEnd"/>
      <w:r>
        <w:rPr>
          <w:rFonts w:ascii="Times New Roman" w:hAnsi="Times New Roman" w:cs="Times New Roman"/>
          <w:sz w:val="22"/>
          <w:szCs w:val="22"/>
        </w:rPr>
        <w:t xml:space="preserve"> J D 2006 Learning from Evidence in a Complex World.</w:t>
      </w:r>
      <w:proofErr w:type="gramEnd"/>
      <w:r>
        <w:rPr>
          <w:rFonts w:ascii="Times New Roman" w:hAnsi="Times New Roman" w:cs="Times New Roman"/>
          <w:sz w:val="22"/>
          <w:szCs w:val="22"/>
        </w:rPr>
        <w:t xml:space="preserve"> </w:t>
      </w:r>
      <w:r>
        <w:rPr>
          <w:rFonts w:ascii="Times New Roman" w:hAnsi="Times New Roman" w:cs="Times New Roman"/>
          <w:i/>
          <w:sz w:val="22"/>
          <w:szCs w:val="22"/>
        </w:rPr>
        <w:t>Am J Public Health</w:t>
      </w:r>
      <w:r>
        <w:rPr>
          <w:rFonts w:ascii="Times New Roman" w:hAnsi="Times New Roman" w:cs="Times New Roman"/>
          <w:sz w:val="22"/>
          <w:szCs w:val="22"/>
        </w:rPr>
        <w:t>: 505-514</w:t>
      </w:r>
    </w:p>
    <w:p w:rsidR="00057014" w:rsidRPr="00457F61" w:rsidRDefault="00A87B34" w:rsidP="00057014">
      <w:pPr>
        <w:rPr>
          <w:rFonts w:ascii="Times New Roman" w:hAnsi="Times New Roman" w:cs="Times New Roman"/>
          <w:sz w:val="22"/>
          <w:szCs w:val="22"/>
        </w:rPr>
      </w:pPr>
      <w:proofErr w:type="spellStart"/>
      <w:r>
        <w:rPr>
          <w:rFonts w:ascii="Times New Roman" w:hAnsi="Times New Roman" w:cs="Times New Roman"/>
          <w:sz w:val="22"/>
          <w:szCs w:val="22"/>
        </w:rPr>
        <w:t>Tilman</w:t>
      </w:r>
      <w:proofErr w:type="spellEnd"/>
      <w:r>
        <w:rPr>
          <w:rFonts w:ascii="Times New Roman" w:hAnsi="Times New Roman" w:cs="Times New Roman"/>
          <w:sz w:val="22"/>
          <w:szCs w:val="22"/>
        </w:rPr>
        <w:t xml:space="preserve"> D </w:t>
      </w:r>
      <w:proofErr w:type="spellStart"/>
      <w:r>
        <w:rPr>
          <w:rFonts w:ascii="Times New Roman" w:hAnsi="Times New Roman" w:cs="Times New Roman"/>
          <w:sz w:val="22"/>
          <w:szCs w:val="22"/>
        </w:rPr>
        <w:t>Balzer</w:t>
      </w:r>
      <w:proofErr w:type="spellEnd"/>
      <w:r>
        <w:rPr>
          <w:rFonts w:ascii="Times New Roman" w:hAnsi="Times New Roman" w:cs="Times New Roman"/>
          <w:sz w:val="22"/>
          <w:szCs w:val="22"/>
        </w:rPr>
        <w:t xml:space="preserve"> C Hill J and </w:t>
      </w:r>
      <w:proofErr w:type="spellStart"/>
      <w:r>
        <w:rPr>
          <w:rFonts w:ascii="Times New Roman" w:hAnsi="Times New Roman" w:cs="Times New Roman"/>
          <w:sz w:val="22"/>
          <w:szCs w:val="22"/>
        </w:rPr>
        <w:t>Befort</w:t>
      </w:r>
      <w:proofErr w:type="spellEnd"/>
      <w:r>
        <w:rPr>
          <w:rFonts w:ascii="Times New Roman" w:hAnsi="Times New Roman" w:cs="Times New Roman"/>
          <w:sz w:val="22"/>
          <w:szCs w:val="22"/>
        </w:rPr>
        <w:t xml:space="preserve"> BL 2011 Global food demand and the sustainable intensification of agriculture. </w:t>
      </w:r>
      <w:r>
        <w:rPr>
          <w:rFonts w:ascii="Times New Roman" w:hAnsi="Times New Roman" w:cs="Times New Roman"/>
          <w:i/>
          <w:sz w:val="22"/>
          <w:szCs w:val="22"/>
        </w:rPr>
        <w:t xml:space="preserve">Proceedings of the National Academy of </w:t>
      </w:r>
      <w:proofErr w:type="spellStart"/>
      <w:r>
        <w:rPr>
          <w:rFonts w:ascii="Times New Roman" w:hAnsi="Times New Roman" w:cs="Times New Roman"/>
          <w:i/>
          <w:sz w:val="22"/>
          <w:szCs w:val="22"/>
        </w:rPr>
        <w:t>Sciences</w:t>
      </w:r>
      <w:r>
        <w:rPr>
          <w:rFonts w:ascii="Times New Roman" w:hAnsi="Times New Roman" w:cs="Times New Roman"/>
          <w:sz w:val="22"/>
          <w:szCs w:val="22"/>
        </w:rPr>
        <w:t>.Tipper</w:t>
      </w:r>
      <w:proofErr w:type="spellEnd"/>
      <w:r>
        <w:rPr>
          <w:rFonts w:ascii="Times New Roman" w:hAnsi="Times New Roman" w:cs="Times New Roman"/>
          <w:sz w:val="22"/>
          <w:szCs w:val="22"/>
        </w:rPr>
        <w:t xml:space="preserve"> R, Hutchison C and Brander M 2009 </w:t>
      </w:r>
      <w:r>
        <w:rPr>
          <w:rFonts w:ascii="Times New Roman" w:hAnsi="Times New Roman" w:cs="Times New Roman"/>
          <w:i/>
          <w:sz w:val="22"/>
          <w:szCs w:val="22"/>
        </w:rPr>
        <w:t>A practical approach for policies to address GHG emissions from indirect land use change associated with biofuels</w:t>
      </w:r>
      <w:r>
        <w:rPr>
          <w:rFonts w:ascii="Times New Roman" w:hAnsi="Times New Roman" w:cs="Times New Roman"/>
          <w:sz w:val="22"/>
          <w:szCs w:val="22"/>
        </w:rPr>
        <w:t xml:space="preserve"> (Edinburgh, UK: </w:t>
      </w:r>
      <w:proofErr w:type="spellStart"/>
      <w:r>
        <w:rPr>
          <w:rFonts w:ascii="Times New Roman" w:hAnsi="Times New Roman" w:cs="Times New Roman"/>
          <w:sz w:val="22"/>
          <w:szCs w:val="22"/>
        </w:rPr>
        <w:t>Ecometrica</w:t>
      </w:r>
      <w:proofErr w:type="spellEnd"/>
      <w:r>
        <w:rPr>
          <w:rFonts w:ascii="Times New Roman" w:hAnsi="Times New Roman" w:cs="Times New Roman"/>
          <w:sz w:val="22"/>
          <w:szCs w:val="22"/>
        </w:rPr>
        <w:t>)</w:t>
      </w:r>
      <w:r w:rsidR="00057014" w:rsidRPr="00457F61">
        <w:rPr>
          <w:rFonts w:ascii="Times New Roman" w:hAnsi="Times New Roman" w:cs="Times New Roman"/>
          <w:sz w:val="22"/>
          <w:szCs w:val="22"/>
        </w:rPr>
        <w:t xml:space="preserve">  </w:t>
      </w:r>
    </w:p>
    <w:p w:rsidR="00DC42A9" w:rsidRPr="00457F61" w:rsidRDefault="00DC42A9" w:rsidP="00DC42A9">
      <w:pPr>
        <w:rPr>
          <w:rFonts w:ascii="Times New Roman" w:hAnsi="Times New Roman" w:cs="Times New Roman"/>
          <w:color w:val="000000"/>
          <w:sz w:val="22"/>
          <w:szCs w:val="22"/>
        </w:rPr>
      </w:pPr>
      <w:r>
        <w:rPr>
          <w:rStyle w:val="HTMLCite"/>
          <w:rFonts w:ascii="Times New Roman" w:hAnsi="Times New Roman" w:cs="Times New Roman"/>
          <w:color w:val="000000"/>
          <w:sz w:val="22"/>
          <w:szCs w:val="22"/>
        </w:rPr>
        <w:t xml:space="preserve">IPAA </w:t>
      </w:r>
      <w:r>
        <w:rPr>
          <w:rFonts w:ascii="Times New Roman" w:hAnsi="Times New Roman" w:cs="Times New Roman"/>
          <w:color w:val="000000"/>
          <w:sz w:val="22"/>
          <w:szCs w:val="22"/>
        </w:rPr>
        <w:t xml:space="preserve">2012 </w:t>
      </w:r>
      <w:r w:rsidRPr="007B78F5">
        <w:rPr>
          <w:rFonts w:ascii="Times New Roman" w:hAnsi="Times New Roman" w:cs="Times New Roman"/>
          <w:i/>
          <w:color w:val="000000"/>
          <w:sz w:val="22"/>
          <w:szCs w:val="22"/>
        </w:rPr>
        <w:t>EIA World Consumption of Selected Petroleum Products</w:t>
      </w:r>
      <w:r>
        <w:rPr>
          <w:rFonts w:ascii="Times New Roman" w:hAnsi="Times New Roman" w:cs="Times New Roman"/>
          <w:color w:val="000000"/>
          <w:sz w:val="22"/>
          <w:szCs w:val="22"/>
        </w:rPr>
        <w:t xml:space="preserve"> (Washington, DC: Independent Petroleum Association of America) </w:t>
      </w:r>
      <w:hyperlink r:id="rId13" w:history="1">
        <w:r w:rsidRPr="00282ABC">
          <w:rPr>
            <w:rStyle w:val="Hyperlink"/>
            <w:rFonts w:ascii="Times New Roman" w:hAnsi="Times New Roman" w:cs="Times New Roman"/>
            <w:sz w:val="22"/>
            <w:szCs w:val="22"/>
          </w:rPr>
          <w:t>http://oilindependents.org/category/resources/data/</w:t>
        </w:r>
      </w:hyperlink>
      <w:r w:rsidRPr="00457F61">
        <w:rPr>
          <w:rStyle w:val="HTMLCite"/>
          <w:rFonts w:ascii="Times New Roman" w:hAnsi="Times New Roman" w:cs="Times New Roman"/>
          <w:color w:val="000000"/>
          <w:sz w:val="22"/>
          <w:szCs w:val="22"/>
        </w:rPr>
        <w:t xml:space="preserve"> </w:t>
      </w:r>
      <w:r>
        <w:rPr>
          <w:rStyle w:val="HTMLCite"/>
          <w:rFonts w:ascii="Times New Roman" w:hAnsi="Times New Roman" w:cs="Times New Roman"/>
          <w:color w:val="000000"/>
          <w:sz w:val="22"/>
          <w:szCs w:val="22"/>
        </w:rPr>
        <w:t xml:space="preserve">[Accessed </w:t>
      </w:r>
      <w:r w:rsidRPr="00457F61">
        <w:rPr>
          <w:rStyle w:val="HTMLCite"/>
          <w:rFonts w:ascii="Times New Roman" w:hAnsi="Times New Roman" w:cs="Times New Roman"/>
          <w:color w:val="000000"/>
          <w:sz w:val="22"/>
          <w:szCs w:val="22"/>
        </w:rPr>
        <w:t>08-07-2012</w:t>
      </w:r>
      <w:r>
        <w:rPr>
          <w:rStyle w:val="HTMLCite"/>
          <w:rFonts w:ascii="Times New Roman" w:hAnsi="Times New Roman" w:cs="Times New Roman"/>
          <w:color w:val="000000"/>
          <w:sz w:val="22"/>
          <w:szCs w:val="22"/>
        </w:rPr>
        <w:t xml:space="preserve">]  </w:t>
      </w:r>
    </w:p>
    <w:p w:rsidR="00DC42A9" w:rsidRDefault="00DC42A9" w:rsidP="00231910">
      <w:pPr>
        <w:spacing w:after="0"/>
      </w:pPr>
      <w:r w:rsidRPr="00457F61">
        <w:rPr>
          <w:rFonts w:ascii="Times New Roman" w:hAnsi="Times New Roman" w:cs="Times New Roman"/>
          <w:sz w:val="22"/>
          <w:szCs w:val="22"/>
        </w:rPr>
        <w:t>US En</w:t>
      </w:r>
      <w:r>
        <w:rPr>
          <w:rFonts w:ascii="Times New Roman" w:hAnsi="Times New Roman" w:cs="Times New Roman"/>
          <w:sz w:val="22"/>
          <w:szCs w:val="22"/>
        </w:rPr>
        <w:t xml:space="preserve">ergy Information Administration </w:t>
      </w:r>
      <w:r w:rsidRPr="007B78F5">
        <w:rPr>
          <w:rFonts w:ascii="Times New Roman" w:hAnsi="Times New Roman" w:cs="Times New Roman"/>
          <w:sz w:val="22"/>
          <w:szCs w:val="22"/>
        </w:rPr>
        <w:t>2012</w:t>
      </w:r>
      <w:r w:rsidRPr="007B78F5">
        <w:rPr>
          <w:rFonts w:ascii="Times New Roman" w:hAnsi="Times New Roman" w:cs="Times New Roman"/>
          <w:i/>
          <w:sz w:val="22"/>
          <w:szCs w:val="22"/>
        </w:rPr>
        <w:t xml:space="preserve"> International Energy Statistics: Renewables – Biofuels Production</w:t>
      </w:r>
      <w:r>
        <w:rPr>
          <w:rFonts w:ascii="Times New Roman" w:hAnsi="Times New Roman" w:cs="Times New Roman"/>
          <w:sz w:val="22"/>
          <w:szCs w:val="22"/>
        </w:rPr>
        <w:t xml:space="preserve"> (Washington, DC: US Energy Information Administration) </w:t>
      </w:r>
      <w:hyperlink r:id="rId14" w:history="1">
        <w:r w:rsidRPr="00282ABC">
          <w:rPr>
            <w:rStyle w:val="Hyperlink"/>
            <w:rFonts w:ascii="Times New Roman" w:hAnsi="Times New Roman" w:cs="Times New Roman"/>
            <w:sz w:val="22"/>
            <w:szCs w:val="22"/>
          </w:rPr>
          <w:t>http://www.eia.gov/cfapps/ipdbproject/iedindex3.cfm?tid=79&amp;pid=80&amp;aid=1&amp;cid=regions&amp;syid=1991&amp;eyid=2010&amp;unit=TBPD</w:t>
        </w:r>
      </w:hyperlink>
    </w:p>
    <w:p w:rsidR="00651EF6" w:rsidRDefault="00651EF6" w:rsidP="00231910">
      <w:pPr>
        <w:spacing w:after="0"/>
      </w:pPr>
    </w:p>
    <w:p w:rsidR="00651EF6" w:rsidRDefault="00651EF6" w:rsidP="00651EF6">
      <w:pPr>
        <w:rPr>
          <w:rFonts w:ascii="Times New Roman" w:hAnsi="Times New Roman" w:cs="Times New Roman"/>
          <w:sz w:val="22"/>
          <w:szCs w:val="22"/>
        </w:rPr>
      </w:pPr>
      <w:r w:rsidRPr="00457F61">
        <w:rPr>
          <w:rFonts w:ascii="Times New Roman" w:hAnsi="Times New Roman" w:cs="Times New Roman"/>
          <w:sz w:val="22"/>
          <w:szCs w:val="22"/>
        </w:rPr>
        <w:t xml:space="preserve">US </w:t>
      </w:r>
      <w:r>
        <w:rPr>
          <w:rFonts w:ascii="Times New Roman" w:hAnsi="Times New Roman" w:cs="Times New Roman"/>
          <w:sz w:val="22"/>
          <w:szCs w:val="22"/>
        </w:rPr>
        <w:t>Environmental Protection Agency 2010</w:t>
      </w:r>
      <w:r w:rsidRPr="00457F61">
        <w:rPr>
          <w:rFonts w:ascii="Times New Roman" w:hAnsi="Times New Roman" w:cs="Times New Roman"/>
          <w:sz w:val="22"/>
          <w:szCs w:val="22"/>
        </w:rPr>
        <w:t xml:space="preserve"> </w:t>
      </w:r>
      <w:r w:rsidRPr="007B78F5">
        <w:rPr>
          <w:rFonts w:ascii="Times New Roman" w:hAnsi="Times New Roman" w:cs="Times New Roman"/>
          <w:i/>
          <w:sz w:val="22"/>
          <w:szCs w:val="22"/>
        </w:rPr>
        <w:t>Renewable Fuel Standard Program (RFS2) regulatory impact analysis</w:t>
      </w:r>
      <w:r w:rsidRPr="00457F61">
        <w:rPr>
          <w:rFonts w:ascii="Times New Roman" w:hAnsi="Times New Roman" w:cs="Times New Roman"/>
          <w:sz w:val="22"/>
          <w:szCs w:val="22"/>
        </w:rPr>
        <w:t xml:space="preserve"> </w:t>
      </w:r>
      <w:r>
        <w:rPr>
          <w:rFonts w:ascii="Times New Roman" w:hAnsi="Times New Roman" w:cs="Times New Roman"/>
          <w:sz w:val="22"/>
          <w:szCs w:val="22"/>
        </w:rPr>
        <w:t>(</w:t>
      </w:r>
      <w:r w:rsidRPr="00457F61">
        <w:rPr>
          <w:rFonts w:ascii="Times New Roman" w:hAnsi="Times New Roman" w:cs="Times New Roman"/>
          <w:sz w:val="22"/>
          <w:szCs w:val="22"/>
        </w:rPr>
        <w:t xml:space="preserve">Washington, DC: </w:t>
      </w:r>
      <w:r>
        <w:rPr>
          <w:rFonts w:ascii="Times New Roman" w:hAnsi="Times New Roman" w:cs="Times New Roman"/>
          <w:sz w:val="22"/>
          <w:szCs w:val="22"/>
        </w:rPr>
        <w:t xml:space="preserve">US </w:t>
      </w:r>
      <w:r w:rsidRPr="00457F61">
        <w:rPr>
          <w:rFonts w:ascii="Times New Roman" w:hAnsi="Times New Roman" w:cs="Times New Roman"/>
          <w:sz w:val="22"/>
          <w:szCs w:val="22"/>
        </w:rPr>
        <w:t>Environm</w:t>
      </w:r>
      <w:r>
        <w:rPr>
          <w:rFonts w:ascii="Times New Roman" w:hAnsi="Times New Roman" w:cs="Times New Roman"/>
          <w:sz w:val="22"/>
          <w:szCs w:val="22"/>
        </w:rPr>
        <w:t>ental Protection Agency)</w:t>
      </w:r>
      <w:r w:rsidRPr="00457F61">
        <w:rPr>
          <w:rFonts w:ascii="Times New Roman" w:hAnsi="Times New Roman" w:cs="Times New Roman"/>
          <w:sz w:val="22"/>
          <w:szCs w:val="22"/>
        </w:rPr>
        <w:t xml:space="preserve">  </w:t>
      </w:r>
    </w:p>
    <w:p w:rsidR="001D46BC" w:rsidRPr="00231910" w:rsidRDefault="00157DFC" w:rsidP="00DC42A9">
      <w:pPr>
        <w:rPr>
          <w:rFonts w:ascii="Times New Roman" w:hAnsi="Times New Roman" w:cs="Times New Roman"/>
          <w:sz w:val="22"/>
          <w:szCs w:val="22"/>
        </w:rPr>
      </w:pPr>
      <w:r>
        <w:rPr>
          <w:rFonts w:ascii="Times New Roman" w:hAnsi="Times New Roman" w:cs="Times New Roman"/>
          <w:sz w:val="22"/>
          <w:szCs w:val="22"/>
        </w:rPr>
        <w:t>US</w:t>
      </w:r>
      <w:r w:rsidRPr="00157DFC">
        <w:rPr>
          <w:rFonts w:ascii="Times New Roman" w:hAnsi="Times New Roman" w:cs="Times New Roman"/>
          <w:sz w:val="22"/>
          <w:szCs w:val="22"/>
        </w:rPr>
        <w:t xml:space="preserve"> Department of Energy</w:t>
      </w:r>
      <w:r>
        <w:rPr>
          <w:rFonts w:ascii="Times New Roman" w:hAnsi="Times New Roman" w:cs="Times New Roman"/>
          <w:sz w:val="22"/>
          <w:szCs w:val="22"/>
        </w:rPr>
        <w:t xml:space="preserve"> 2011 US</w:t>
      </w:r>
      <w:r w:rsidRPr="00157DFC">
        <w:rPr>
          <w:rFonts w:ascii="Times New Roman" w:hAnsi="Times New Roman" w:cs="Times New Roman"/>
          <w:sz w:val="22"/>
          <w:szCs w:val="22"/>
        </w:rPr>
        <w:t xml:space="preserve"> </w:t>
      </w:r>
      <w:r w:rsidR="00D06A98" w:rsidRPr="00D06A98">
        <w:rPr>
          <w:rFonts w:ascii="Times New Roman" w:hAnsi="Times New Roman" w:cs="Times New Roman"/>
          <w:i/>
          <w:sz w:val="22"/>
          <w:szCs w:val="22"/>
        </w:rPr>
        <w:t xml:space="preserve">Billion-Ton Update: Biomass Supply for a Bioenergy and </w:t>
      </w:r>
      <w:proofErr w:type="spellStart"/>
      <w:r w:rsidR="00D06A98" w:rsidRPr="00D06A98">
        <w:rPr>
          <w:rFonts w:ascii="Times New Roman" w:hAnsi="Times New Roman" w:cs="Times New Roman"/>
          <w:i/>
          <w:sz w:val="22"/>
          <w:szCs w:val="22"/>
        </w:rPr>
        <w:t>Bioproducts</w:t>
      </w:r>
      <w:proofErr w:type="spellEnd"/>
      <w:r w:rsidR="00D06A98" w:rsidRPr="00D06A98">
        <w:rPr>
          <w:rFonts w:ascii="Times New Roman" w:hAnsi="Times New Roman" w:cs="Times New Roman"/>
          <w:i/>
          <w:sz w:val="22"/>
          <w:szCs w:val="22"/>
        </w:rPr>
        <w:t xml:space="preserve"> Industry</w:t>
      </w:r>
      <w:r w:rsidRPr="00157DFC">
        <w:rPr>
          <w:rFonts w:ascii="Times New Roman" w:hAnsi="Times New Roman" w:cs="Times New Roman"/>
          <w:sz w:val="22"/>
          <w:szCs w:val="22"/>
        </w:rPr>
        <w:t xml:space="preserve"> </w:t>
      </w:r>
      <w:proofErr w:type="spellStart"/>
      <w:r>
        <w:rPr>
          <w:rFonts w:ascii="Times New Roman" w:hAnsi="Times New Roman" w:cs="Times New Roman"/>
          <w:sz w:val="22"/>
          <w:szCs w:val="22"/>
        </w:rPr>
        <w:t>Perlack</w:t>
      </w:r>
      <w:proofErr w:type="spellEnd"/>
      <w:r>
        <w:rPr>
          <w:rFonts w:ascii="Times New Roman" w:hAnsi="Times New Roman" w:cs="Times New Roman"/>
          <w:sz w:val="22"/>
          <w:szCs w:val="22"/>
        </w:rPr>
        <w:t xml:space="preserve"> </w:t>
      </w:r>
      <w:r w:rsidRPr="00157DFC">
        <w:rPr>
          <w:rFonts w:ascii="Times New Roman" w:hAnsi="Times New Roman" w:cs="Times New Roman"/>
          <w:sz w:val="22"/>
          <w:szCs w:val="22"/>
        </w:rPr>
        <w:t>R</w:t>
      </w:r>
      <w:r>
        <w:rPr>
          <w:rFonts w:ascii="Times New Roman" w:hAnsi="Times New Roman" w:cs="Times New Roman"/>
          <w:sz w:val="22"/>
          <w:szCs w:val="22"/>
        </w:rPr>
        <w:t xml:space="preserve"> D and </w:t>
      </w:r>
      <w:r w:rsidRPr="00157DFC">
        <w:rPr>
          <w:rFonts w:ascii="Times New Roman" w:hAnsi="Times New Roman" w:cs="Times New Roman"/>
          <w:sz w:val="22"/>
          <w:szCs w:val="22"/>
        </w:rPr>
        <w:t>S</w:t>
      </w:r>
      <w:r>
        <w:rPr>
          <w:rFonts w:ascii="Times New Roman" w:hAnsi="Times New Roman" w:cs="Times New Roman"/>
          <w:sz w:val="22"/>
          <w:szCs w:val="22"/>
        </w:rPr>
        <w:t>tokes B J (Leads) ORNL/TM-2011/224</w:t>
      </w:r>
      <w:r w:rsidRPr="00157DFC">
        <w:rPr>
          <w:rFonts w:ascii="Times New Roman" w:hAnsi="Times New Roman" w:cs="Times New Roman"/>
          <w:sz w:val="22"/>
          <w:szCs w:val="22"/>
        </w:rPr>
        <w:t xml:space="preserve"> Oak Ridge</w:t>
      </w:r>
      <w:r>
        <w:rPr>
          <w:rFonts w:ascii="Times New Roman" w:hAnsi="Times New Roman" w:cs="Times New Roman"/>
          <w:sz w:val="22"/>
          <w:szCs w:val="22"/>
        </w:rPr>
        <w:t xml:space="preserve"> National Laboratory Oak Ridge TN</w:t>
      </w:r>
      <w:r w:rsidRPr="00157DFC">
        <w:rPr>
          <w:rFonts w:ascii="Times New Roman" w:hAnsi="Times New Roman" w:cs="Times New Roman"/>
          <w:sz w:val="22"/>
          <w:szCs w:val="22"/>
        </w:rPr>
        <w:t xml:space="preserve"> 227p</w:t>
      </w:r>
    </w:p>
    <w:sectPr w:rsidR="001D46BC" w:rsidRPr="00231910" w:rsidSect="00181AE6">
      <w:footerReference w:type="defaul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3D39" w:rsidRDefault="00CC3D39" w:rsidP="002D354D">
      <w:pPr>
        <w:spacing w:after="0" w:line="240" w:lineRule="auto"/>
      </w:pPr>
      <w:r>
        <w:separator/>
      </w:r>
    </w:p>
  </w:endnote>
  <w:endnote w:type="continuationSeparator" w:id="0">
    <w:p w:rsidR="00CC3D39" w:rsidRDefault="00CC3D39" w:rsidP="002D35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6157547"/>
      <w:docPartObj>
        <w:docPartGallery w:val="Page Numbers (Bottom of Page)"/>
        <w:docPartUnique/>
      </w:docPartObj>
    </w:sdtPr>
    <w:sdtEndPr>
      <w:rPr>
        <w:rFonts w:ascii="Times New Roman" w:hAnsi="Times New Roman" w:cs="Times New Roman"/>
        <w:sz w:val="20"/>
        <w:szCs w:val="20"/>
      </w:rPr>
    </w:sdtEndPr>
    <w:sdtContent>
      <w:p w:rsidR="00457248" w:rsidRPr="00D33262" w:rsidRDefault="00457248">
        <w:pPr>
          <w:pStyle w:val="Footer"/>
          <w:jc w:val="center"/>
          <w:rPr>
            <w:rFonts w:ascii="Times New Roman" w:hAnsi="Times New Roman" w:cs="Times New Roman"/>
            <w:sz w:val="20"/>
            <w:szCs w:val="20"/>
          </w:rPr>
        </w:pPr>
        <w:r w:rsidRPr="00D33262">
          <w:rPr>
            <w:rFonts w:ascii="Times New Roman" w:hAnsi="Times New Roman" w:cs="Times New Roman"/>
            <w:sz w:val="20"/>
            <w:szCs w:val="20"/>
          </w:rPr>
          <w:fldChar w:fldCharType="begin"/>
        </w:r>
        <w:r w:rsidRPr="00D33262">
          <w:rPr>
            <w:rFonts w:ascii="Times New Roman" w:hAnsi="Times New Roman" w:cs="Times New Roman"/>
            <w:sz w:val="20"/>
            <w:szCs w:val="20"/>
          </w:rPr>
          <w:instrText xml:space="preserve"> PAGE   \* MERGEFORMAT </w:instrText>
        </w:r>
        <w:r w:rsidRPr="00D33262">
          <w:rPr>
            <w:rFonts w:ascii="Times New Roman" w:hAnsi="Times New Roman" w:cs="Times New Roman"/>
            <w:sz w:val="20"/>
            <w:szCs w:val="20"/>
          </w:rPr>
          <w:fldChar w:fldCharType="separate"/>
        </w:r>
        <w:r w:rsidR="00197011">
          <w:rPr>
            <w:rFonts w:ascii="Times New Roman" w:hAnsi="Times New Roman" w:cs="Times New Roman"/>
            <w:noProof/>
            <w:sz w:val="20"/>
            <w:szCs w:val="20"/>
          </w:rPr>
          <w:t>9</w:t>
        </w:r>
        <w:r w:rsidRPr="00D33262">
          <w:rPr>
            <w:rFonts w:ascii="Times New Roman" w:hAnsi="Times New Roman" w:cs="Times New Roman"/>
            <w:noProof/>
            <w:sz w:val="20"/>
            <w:szCs w:val="20"/>
          </w:rPr>
          <w:fldChar w:fldCharType="end"/>
        </w:r>
      </w:p>
    </w:sdtContent>
  </w:sdt>
  <w:p w:rsidR="00457248" w:rsidRDefault="004572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3D39" w:rsidRDefault="00CC3D39" w:rsidP="002D354D">
      <w:pPr>
        <w:spacing w:after="0" w:line="240" w:lineRule="auto"/>
      </w:pPr>
      <w:r>
        <w:separator/>
      </w:r>
    </w:p>
  </w:footnote>
  <w:footnote w:type="continuationSeparator" w:id="0">
    <w:p w:rsidR="00CC3D39" w:rsidRDefault="00CC3D39" w:rsidP="002D35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91070"/>
    <w:multiLevelType w:val="hybridMultilevel"/>
    <w:tmpl w:val="B5E0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E034B8"/>
    <w:multiLevelType w:val="multilevel"/>
    <w:tmpl w:val="73643E1A"/>
    <w:lvl w:ilvl="0">
      <w:start w:val="1"/>
      <w:numFmt w:val="decimal"/>
      <w:pStyle w:val="FTAHeading1Numbered"/>
      <w:lvlText w:val="Section %1"/>
      <w:lvlJc w:val="left"/>
      <w:pPr>
        <w:ind w:left="360" w:hanging="360"/>
      </w:pPr>
      <w:rPr>
        <w:rFonts w:hint="default"/>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6E52796"/>
    <w:multiLevelType w:val="hybridMultilevel"/>
    <w:tmpl w:val="874A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8E6734"/>
    <w:multiLevelType w:val="hybridMultilevel"/>
    <w:tmpl w:val="93F824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ED00535"/>
    <w:multiLevelType w:val="hybridMultilevel"/>
    <w:tmpl w:val="E1BC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7075B2"/>
    <w:multiLevelType w:val="hybridMultilevel"/>
    <w:tmpl w:val="EB34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5"/>
  </w:num>
  <w:num w:numId="5">
    <w:abstractNumId w:val="3"/>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E23EA5"/>
    <w:rsid w:val="000015CF"/>
    <w:rsid w:val="00005821"/>
    <w:rsid w:val="00006B20"/>
    <w:rsid w:val="00034169"/>
    <w:rsid w:val="00035A0F"/>
    <w:rsid w:val="00057014"/>
    <w:rsid w:val="0006593B"/>
    <w:rsid w:val="000B086E"/>
    <w:rsid w:val="000C7A6D"/>
    <w:rsid w:val="000E15CC"/>
    <w:rsid w:val="000E5216"/>
    <w:rsid w:val="0010300D"/>
    <w:rsid w:val="00135982"/>
    <w:rsid w:val="0014311E"/>
    <w:rsid w:val="00144F43"/>
    <w:rsid w:val="00157DFC"/>
    <w:rsid w:val="00175C21"/>
    <w:rsid w:val="001768FD"/>
    <w:rsid w:val="0017755F"/>
    <w:rsid w:val="00181AE6"/>
    <w:rsid w:val="00197011"/>
    <w:rsid w:val="001D46BC"/>
    <w:rsid w:val="001D5C13"/>
    <w:rsid w:val="00231910"/>
    <w:rsid w:val="00235069"/>
    <w:rsid w:val="00237309"/>
    <w:rsid w:val="002435A4"/>
    <w:rsid w:val="00243CD3"/>
    <w:rsid w:val="002448E5"/>
    <w:rsid w:val="002463B6"/>
    <w:rsid w:val="00246D24"/>
    <w:rsid w:val="002516E2"/>
    <w:rsid w:val="00252E59"/>
    <w:rsid w:val="00261D82"/>
    <w:rsid w:val="00263953"/>
    <w:rsid w:val="00270310"/>
    <w:rsid w:val="002821EF"/>
    <w:rsid w:val="002B27E0"/>
    <w:rsid w:val="002C6AF8"/>
    <w:rsid w:val="002D354D"/>
    <w:rsid w:val="002E1536"/>
    <w:rsid w:val="002F2040"/>
    <w:rsid w:val="002F2487"/>
    <w:rsid w:val="0030313F"/>
    <w:rsid w:val="00304C07"/>
    <w:rsid w:val="00347C61"/>
    <w:rsid w:val="003529C4"/>
    <w:rsid w:val="003810F7"/>
    <w:rsid w:val="00395504"/>
    <w:rsid w:val="003A69C7"/>
    <w:rsid w:val="003B45AD"/>
    <w:rsid w:val="003D07F0"/>
    <w:rsid w:val="003D46F4"/>
    <w:rsid w:val="003D7D80"/>
    <w:rsid w:val="003E463E"/>
    <w:rsid w:val="003E55C2"/>
    <w:rsid w:val="003F78B5"/>
    <w:rsid w:val="00402E8B"/>
    <w:rsid w:val="00404A53"/>
    <w:rsid w:val="00440834"/>
    <w:rsid w:val="00443894"/>
    <w:rsid w:val="0045078F"/>
    <w:rsid w:val="004558FB"/>
    <w:rsid w:val="00457248"/>
    <w:rsid w:val="00494CD4"/>
    <w:rsid w:val="004A017B"/>
    <w:rsid w:val="004B2E88"/>
    <w:rsid w:val="004B6E42"/>
    <w:rsid w:val="004D78C7"/>
    <w:rsid w:val="004E5871"/>
    <w:rsid w:val="004E7036"/>
    <w:rsid w:val="004F3E2D"/>
    <w:rsid w:val="00520D80"/>
    <w:rsid w:val="0053296B"/>
    <w:rsid w:val="00550C07"/>
    <w:rsid w:val="005912EA"/>
    <w:rsid w:val="00596499"/>
    <w:rsid w:val="005B37F6"/>
    <w:rsid w:val="005C7342"/>
    <w:rsid w:val="005C7C9A"/>
    <w:rsid w:val="005E22D1"/>
    <w:rsid w:val="00613516"/>
    <w:rsid w:val="00651EF6"/>
    <w:rsid w:val="0066097C"/>
    <w:rsid w:val="00664F0F"/>
    <w:rsid w:val="006811E8"/>
    <w:rsid w:val="0068582A"/>
    <w:rsid w:val="006B1657"/>
    <w:rsid w:val="006D06AB"/>
    <w:rsid w:val="006E4334"/>
    <w:rsid w:val="006E7875"/>
    <w:rsid w:val="006F0151"/>
    <w:rsid w:val="006F1E1D"/>
    <w:rsid w:val="006F4109"/>
    <w:rsid w:val="0070375B"/>
    <w:rsid w:val="0070400D"/>
    <w:rsid w:val="00732824"/>
    <w:rsid w:val="007458AC"/>
    <w:rsid w:val="00775707"/>
    <w:rsid w:val="00795B04"/>
    <w:rsid w:val="007A6B7E"/>
    <w:rsid w:val="007B7042"/>
    <w:rsid w:val="007F7A83"/>
    <w:rsid w:val="00800E98"/>
    <w:rsid w:val="00801AB9"/>
    <w:rsid w:val="00816D04"/>
    <w:rsid w:val="0082638D"/>
    <w:rsid w:val="008773B5"/>
    <w:rsid w:val="00881340"/>
    <w:rsid w:val="008825DC"/>
    <w:rsid w:val="008A7304"/>
    <w:rsid w:val="008C30A2"/>
    <w:rsid w:val="008E12DA"/>
    <w:rsid w:val="008E4190"/>
    <w:rsid w:val="00912786"/>
    <w:rsid w:val="00923A07"/>
    <w:rsid w:val="00925D22"/>
    <w:rsid w:val="009340C5"/>
    <w:rsid w:val="009465E6"/>
    <w:rsid w:val="00962E45"/>
    <w:rsid w:val="00963BB5"/>
    <w:rsid w:val="00964229"/>
    <w:rsid w:val="00971662"/>
    <w:rsid w:val="00982169"/>
    <w:rsid w:val="00984ABC"/>
    <w:rsid w:val="009861B6"/>
    <w:rsid w:val="009A1DFE"/>
    <w:rsid w:val="009C2F7E"/>
    <w:rsid w:val="009D2442"/>
    <w:rsid w:val="009F4A76"/>
    <w:rsid w:val="009F6262"/>
    <w:rsid w:val="00A020DB"/>
    <w:rsid w:val="00A32DCE"/>
    <w:rsid w:val="00A42745"/>
    <w:rsid w:val="00A53780"/>
    <w:rsid w:val="00A63478"/>
    <w:rsid w:val="00A70C91"/>
    <w:rsid w:val="00A735F8"/>
    <w:rsid w:val="00A87B34"/>
    <w:rsid w:val="00A9626C"/>
    <w:rsid w:val="00AB5265"/>
    <w:rsid w:val="00AB64A4"/>
    <w:rsid w:val="00AC1263"/>
    <w:rsid w:val="00AC2F14"/>
    <w:rsid w:val="00AC4BA8"/>
    <w:rsid w:val="00AF4366"/>
    <w:rsid w:val="00B27B74"/>
    <w:rsid w:val="00B30234"/>
    <w:rsid w:val="00B40445"/>
    <w:rsid w:val="00B6753E"/>
    <w:rsid w:val="00BC240F"/>
    <w:rsid w:val="00BC510A"/>
    <w:rsid w:val="00BF1FAB"/>
    <w:rsid w:val="00BF37E3"/>
    <w:rsid w:val="00C00830"/>
    <w:rsid w:val="00C500E1"/>
    <w:rsid w:val="00C501A3"/>
    <w:rsid w:val="00C57B61"/>
    <w:rsid w:val="00C63D77"/>
    <w:rsid w:val="00C647DE"/>
    <w:rsid w:val="00C767CD"/>
    <w:rsid w:val="00C9441B"/>
    <w:rsid w:val="00CA550D"/>
    <w:rsid w:val="00CC2564"/>
    <w:rsid w:val="00CC3D39"/>
    <w:rsid w:val="00CD0121"/>
    <w:rsid w:val="00CD64C6"/>
    <w:rsid w:val="00CE1599"/>
    <w:rsid w:val="00D01106"/>
    <w:rsid w:val="00D06A98"/>
    <w:rsid w:val="00D07B16"/>
    <w:rsid w:val="00D12923"/>
    <w:rsid w:val="00D17004"/>
    <w:rsid w:val="00D22F20"/>
    <w:rsid w:val="00D33262"/>
    <w:rsid w:val="00D52D95"/>
    <w:rsid w:val="00D6118F"/>
    <w:rsid w:val="00D745F0"/>
    <w:rsid w:val="00D8346F"/>
    <w:rsid w:val="00D85A9F"/>
    <w:rsid w:val="00DC3ACA"/>
    <w:rsid w:val="00DC42A9"/>
    <w:rsid w:val="00DD6300"/>
    <w:rsid w:val="00DE22BF"/>
    <w:rsid w:val="00DE2A96"/>
    <w:rsid w:val="00DE7BE4"/>
    <w:rsid w:val="00E101FC"/>
    <w:rsid w:val="00E20E65"/>
    <w:rsid w:val="00E23EA5"/>
    <w:rsid w:val="00E67941"/>
    <w:rsid w:val="00E74C08"/>
    <w:rsid w:val="00E81A86"/>
    <w:rsid w:val="00E87E2F"/>
    <w:rsid w:val="00E96C52"/>
    <w:rsid w:val="00EB1936"/>
    <w:rsid w:val="00EE46C2"/>
    <w:rsid w:val="00F35EFD"/>
    <w:rsid w:val="00F5683B"/>
    <w:rsid w:val="00F606AB"/>
    <w:rsid w:val="00F6442A"/>
    <w:rsid w:val="00FA1813"/>
    <w:rsid w:val="00FC062F"/>
    <w:rsid w:val="00FD5A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EA5"/>
    <w:rPr>
      <w:rFonts w:ascii="Gill Sans MT" w:hAnsi="Gill Sans MT"/>
      <w:sz w:val="24"/>
      <w:szCs w:val="24"/>
    </w:rPr>
  </w:style>
  <w:style w:type="paragraph" w:styleId="Heading1">
    <w:name w:val="heading 1"/>
    <w:basedOn w:val="Normal"/>
    <w:next w:val="Normal"/>
    <w:link w:val="Heading1Char"/>
    <w:uiPriority w:val="9"/>
    <w:qFormat/>
    <w:rsid w:val="00986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TABodyText">
    <w:name w:val="FTA Body Text"/>
    <w:next w:val="NoSpacing"/>
    <w:qFormat/>
    <w:rsid w:val="00D52D95"/>
    <w:pPr>
      <w:spacing w:after="0" w:line="240" w:lineRule="auto"/>
    </w:pPr>
    <w:rPr>
      <w:rFonts w:ascii="Arial" w:hAnsi="Arial"/>
    </w:rPr>
  </w:style>
  <w:style w:type="paragraph" w:customStyle="1" w:styleId="FTAHeading1">
    <w:name w:val="FTA Heading 1"/>
    <w:basedOn w:val="Heading1"/>
    <w:next w:val="Normal"/>
    <w:qFormat/>
    <w:rsid w:val="009861B6"/>
    <w:pPr>
      <w:spacing w:before="0" w:line="240" w:lineRule="auto"/>
    </w:pPr>
    <w:rPr>
      <w:rFonts w:ascii="Arial" w:hAnsi="Arial"/>
      <w:color w:val="000000" w:themeColor="text1"/>
      <w:sz w:val="22"/>
      <w:szCs w:val="22"/>
    </w:rPr>
  </w:style>
  <w:style w:type="paragraph" w:styleId="NoSpacing">
    <w:name w:val="No Spacing"/>
    <w:uiPriority w:val="1"/>
    <w:qFormat/>
    <w:rsid w:val="00D52D95"/>
    <w:pPr>
      <w:spacing w:after="0" w:line="240" w:lineRule="auto"/>
    </w:pPr>
  </w:style>
  <w:style w:type="paragraph" w:customStyle="1" w:styleId="FTANumberedHeading1">
    <w:name w:val="FTA Numbered Heading 1"/>
    <w:basedOn w:val="Heading1"/>
    <w:next w:val="Normal"/>
    <w:qFormat/>
    <w:rsid w:val="009861B6"/>
    <w:pPr>
      <w:spacing w:before="0" w:line="240" w:lineRule="auto"/>
    </w:pPr>
    <w:rPr>
      <w:rFonts w:ascii="Arial" w:hAnsi="Arial"/>
      <w:color w:val="000000" w:themeColor="text1"/>
      <w:sz w:val="22"/>
      <w:szCs w:val="22"/>
    </w:rPr>
  </w:style>
  <w:style w:type="character" w:customStyle="1" w:styleId="Heading1Char">
    <w:name w:val="Heading 1 Char"/>
    <w:basedOn w:val="DefaultParagraphFont"/>
    <w:link w:val="Heading1"/>
    <w:uiPriority w:val="9"/>
    <w:rsid w:val="009861B6"/>
    <w:rPr>
      <w:rFonts w:asciiTheme="majorHAnsi" w:eastAsiaTheme="majorEastAsia" w:hAnsiTheme="majorHAnsi" w:cstheme="majorBidi"/>
      <w:b/>
      <w:bCs/>
      <w:color w:val="365F91" w:themeColor="accent1" w:themeShade="BF"/>
      <w:sz w:val="28"/>
      <w:szCs w:val="28"/>
    </w:rPr>
  </w:style>
  <w:style w:type="paragraph" w:customStyle="1" w:styleId="FTAheading2">
    <w:name w:val="FTA heading 2"/>
    <w:basedOn w:val="FTAHeading1"/>
    <w:next w:val="Normal"/>
    <w:qFormat/>
    <w:rsid w:val="009861B6"/>
    <w:rPr>
      <w:i/>
    </w:rPr>
  </w:style>
  <w:style w:type="paragraph" w:customStyle="1" w:styleId="FTAHeading1Numbered">
    <w:name w:val="FTA Heading 1 Numbered"/>
    <w:basedOn w:val="Heading1"/>
    <w:next w:val="Normal"/>
    <w:qFormat/>
    <w:rsid w:val="009861B6"/>
    <w:pPr>
      <w:numPr>
        <w:numId w:val="2"/>
      </w:numPr>
      <w:spacing w:before="0" w:line="240" w:lineRule="auto"/>
    </w:pPr>
    <w:rPr>
      <w:rFonts w:ascii="Arial" w:hAnsi="Arial"/>
      <w:color w:val="000000" w:themeColor="text1"/>
      <w:sz w:val="22"/>
      <w:szCs w:val="22"/>
    </w:rPr>
  </w:style>
  <w:style w:type="paragraph" w:styleId="TOC2">
    <w:name w:val="toc 2"/>
    <w:basedOn w:val="Normal"/>
    <w:next w:val="Normal"/>
    <w:autoRedefine/>
    <w:uiPriority w:val="39"/>
    <w:unhideWhenUsed/>
    <w:rsid w:val="009861B6"/>
    <w:pPr>
      <w:spacing w:after="0" w:line="240" w:lineRule="auto"/>
      <w:ind w:left="216"/>
    </w:pPr>
    <w:rPr>
      <w:rFonts w:ascii="Arial" w:hAnsi="Arial"/>
    </w:rPr>
  </w:style>
  <w:style w:type="paragraph" w:customStyle="1" w:styleId="FTAFigureTitle">
    <w:name w:val="FTA Figure Title"/>
    <w:basedOn w:val="Normal"/>
    <w:next w:val="Normal"/>
    <w:qFormat/>
    <w:rsid w:val="009861B6"/>
    <w:pPr>
      <w:spacing w:after="0" w:line="240" w:lineRule="auto"/>
      <w:jc w:val="center"/>
    </w:pPr>
    <w:rPr>
      <w:rFonts w:ascii="Arial" w:hAnsi="Arial" w:cs="Arial"/>
      <w:b/>
    </w:rPr>
  </w:style>
  <w:style w:type="paragraph" w:customStyle="1" w:styleId="FTATableTitle">
    <w:name w:val="FTA Table Title"/>
    <w:basedOn w:val="Normal"/>
    <w:next w:val="Normal"/>
    <w:qFormat/>
    <w:rsid w:val="009861B6"/>
    <w:pPr>
      <w:keepNext/>
      <w:spacing w:after="0" w:line="240" w:lineRule="auto"/>
      <w:jc w:val="center"/>
    </w:pPr>
    <w:rPr>
      <w:rFonts w:ascii="Arial" w:eastAsia="Times New Roman" w:hAnsi="Arial" w:cs="Arial"/>
      <w:b/>
      <w:color w:val="000000" w:themeColor="text1"/>
    </w:rPr>
  </w:style>
  <w:style w:type="character" w:styleId="CommentReference">
    <w:name w:val="annotation reference"/>
    <w:basedOn w:val="DefaultParagraphFont"/>
    <w:uiPriority w:val="99"/>
    <w:semiHidden/>
    <w:unhideWhenUsed/>
    <w:rsid w:val="00E23EA5"/>
    <w:rPr>
      <w:sz w:val="16"/>
      <w:szCs w:val="16"/>
    </w:rPr>
  </w:style>
  <w:style w:type="paragraph" w:styleId="CommentText">
    <w:name w:val="annotation text"/>
    <w:basedOn w:val="Normal"/>
    <w:link w:val="CommentTextChar"/>
    <w:uiPriority w:val="99"/>
    <w:unhideWhenUsed/>
    <w:rsid w:val="00E23EA5"/>
    <w:pPr>
      <w:spacing w:line="240" w:lineRule="auto"/>
    </w:pPr>
    <w:rPr>
      <w:sz w:val="20"/>
      <w:szCs w:val="20"/>
    </w:rPr>
  </w:style>
  <w:style w:type="character" w:customStyle="1" w:styleId="CommentTextChar">
    <w:name w:val="Comment Text Char"/>
    <w:basedOn w:val="DefaultParagraphFont"/>
    <w:link w:val="CommentText"/>
    <w:uiPriority w:val="99"/>
    <w:rsid w:val="00E23EA5"/>
    <w:rPr>
      <w:rFonts w:ascii="Gill Sans MT" w:hAnsi="Gill Sans MT"/>
      <w:sz w:val="20"/>
      <w:szCs w:val="20"/>
    </w:rPr>
  </w:style>
  <w:style w:type="paragraph" w:styleId="ListParagraph">
    <w:name w:val="List Paragraph"/>
    <w:basedOn w:val="Normal"/>
    <w:uiPriority w:val="34"/>
    <w:qFormat/>
    <w:rsid w:val="00E23EA5"/>
    <w:pPr>
      <w:ind w:left="720"/>
      <w:contextualSpacing/>
    </w:pPr>
  </w:style>
  <w:style w:type="paragraph" w:styleId="BalloonText">
    <w:name w:val="Balloon Text"/>
    <w:basedOn w:val="Normal"/>
    <w:link w:val="BalloonTextChar"/>
    <w:uiPriority w:val="99"/>
    <w:semiHidden/>
    <w:unhideWhenUsed/>
    <w:rsid w:val="00E23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EA5"/>
    <w:rPr>
      <w:rFonts w:ascii="Tahoma" w:hAnsi="Tahoma" w:cs="Tahoma"/>
      <w:sz w:val="16"/>
      <w:szCs w:val="16"/>
    </w:rPr>
  </w:style>
  <w:style w:type="character" w:styleId="HTMLCite">
    <w:name w:val="HTML Cite"/>
    <w:basedOn w:val="DefaultParagraphFont"/>
    <w:uiPriority w:val="99"/>
    <w:semiHidden/>
    <w:unhideWhenUsed/>
    <w:rsid w:val="001D46BC"/>
    <w:rPr>
      <w:i w:val="0"/>
      <w:iCs w:val="0"/>
      <w:color w:val="009933"/>
    </w:rPr>
  </w:style>
  <w:style w:type="character" w:styleId="Hyperlink">
    <w:name w:val="Hyperlink"/>
    <w:basedOn w:val="DefaultParagraphFont"/>
    <w:uiPriority w:val="99"/>
    <w:unhideWhenUsed/>
    <w:rsid w:val="00DC42A9"/>
    <w:rPr>
      <w:color w:val="0000FF" w:themeColor="hyperlink"/>
      <w:u w:val="single"/>
    </w:rPr>
  </w:style>
  <w:style w:type="character" w:styleId="FollowedHyperlink">
    <w:name w:val="FollowedHyperlink"/>
    <w:basedOn w:val="DefaultParagraphFont"/>
    <w:uiPriority w:val="99"/>
    <w:semiHidden/>
    <w:unhideWhenUsed/>
    <w:rsid w:val="00DC42A9"/>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DC3ACA"/>
    <w:rPr>
      <w:b/>
      <w:bCs/>
    </w:rPr>
  </w:style>
  <w:style w:type="character" w:customStyle="1" w:styleId="CommentSubjectChar">
    <w:name w:val="Comment Subject Char"/>
    <w:basedOn w:val="CommentTextChar"/>
    <w:link w:val="CommentSubject"/>
    <w:uiPriority w:val="99"/>
    <w:semiHidden/>
    <w:rsid w:val="00DC3ACA"/>
    <w:rPr>
      <w:rFonts w:ascii="Gill Sans MT" w:hAnsi="Gill Sans MT"/>
      <w:b/>
      <w:bCs/>
      <w:sz w:val="20"/>
      <w:szCs w:val="20"/>
    </w:rPr>
  </w:style>
  <w:style w:type="paragraph" w:styleId="Revision">
    <w:name w:val="Revision"/>
    <w:hidden/>
    <w:uiPriority w:val="99"/>
    <w:semiHidden/>
    <w:rsid w:val="00800E98"/>
    <w:pPr>
      <w:spacing w:after="0" w:line="240" w:lineRule="auto"/>
    </w:pPr>
    <w:rPr>
      <w:rFonts w:ascii="Gill Sans MT" w:hAnsi="Gill Sans MT"/>
      <w:sz w:val="24"/>
      <w:szCs w:val="24"/>
    </w:rPr>
  </w:style>
  <w:style w:type="paragraph" w:customStyle="1" w:styleId="NRELReference">
    <w:name w:val="NREL_Reference"/>
    <w:qFormat/>
    <w:rsid w:val="00651EF6"/>
    <w:pPr>
      <w:spacing w:after="240" w:line="240" w:lineRule="auto"/>
    </w:pPr>
    <w:rPr>
      <w:rFonts w:ascii="Times New Roman" w:eastAsia="Times New Roman" w:hAnsi="Times New Roman" w:cs="Times New Roman"/>
      <w:kern w:val="28"/>
      <w:sz w:val="24"/>
      <w:szCs w:val="24"/>
    </w:rPr>
  </w:style>
  <w:style w:type="character" w:styleId="LineNumber">
    <w:name w:val="line number"/>
    <w:basedOn w:val="DefaultParagraphFont"/>
    <w:uiPriority w:val="99"/>
    <w:semiHidden/>
    <w:unhideWhenUsed/>
    <w:rsid w:val="00181AE6"/>
  </w:style>
  <w:style w:type="paragraph" w:styleId="Header">
    <w:name w:val="header"/>
    <w:basedOn w:val="Normal"/>
    <w:link w:val="HeaderChar"/>
    <w:uiPriority w:val="99"/>
    <w:unhideWhenUsed/>
    <w:rsid w:val="002D3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54D"/>
    <w:rPr>
      <w:rFonts w:ascii="Gill Sans MT" w:hAnsi="Gill Sans MT"/>
      <w:sz w:val="24"/>
      <w:szCs w:val="24"/>
    </w:rPr>
  </w:style>
  <w:style w:type="paragraph" w:styleId="Footer">
    <w:name w:val="footer"/>
    <w:basedOn w:val="Normal"/>
    <w:link w:val="FooterChar"/>
    <w:uiPriority w:val="99"/>
    <w:unhideWhenUsed/>
    <w:rsid w:val="002D3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54D"/>
    <w:rPr>
      <w:rFonts w:ascii="Gill Sans MT" w:hAnsi="Gill Sans MT"/>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EA5"/>
    <w:rPr>
      <w:rFonts w:ascii="Gill Sans MT" w:hAnsi="Gill Sans MT"/>
      <w:sz w:val="24"/>
      <w:szCs w:val="24"/>
    </w:rPr>
  </w:style>
  <w:style w:type="paragraph" w:styleId="Heading1">
    <w:name w:val="heading 1"/>
    <w:basedOn w:val="Normal"/>
    <w:next w:val="Normal"/>
    <w:link w:val="Heading1Char"/>
    <w:uiPriority w:val="9"/>
    <w:qFormat/>
    <w:rsid w:val="00986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TABodyText">
    <w:name w:val="FTA Body Text"/>
    <w:next w:val="NoSpacing"/>
    <w:qFormat/>
    <w:rsid w:val="00D52D95"/>
    <w:pPr>
      <w:spacing w:after="0" w:line="240" w:lineRule="auto"/>
    </w:pPr>
    <w:rPr>
      <w:rFonts w:ascii="Arial" w:hAnsi="Arial"/>
    </w:rPr>
  </w:style>
  <w:style w:type="paragraph" w:customStyle="1" w:styleId="FTAHeading1">
    <w:name w:val="FTA Heading 1"/>
    <w:basedOn w:val="Heading1"/>
    <w:next w:val="Normal"/>
    <w:qFormat/>
    <w:rsid w:val="009861B6"/>
    <w:pPr>
      <w:spacing w:before="0" w:line="240" w:lineRule="auto"/>
    </w:pPr>
    <w:rPr>
      <w:rFonts w:ascii="Arial" w:hAnsi="Arial"/>
      <w:color w:val="000000" w:themeColor="text1"/>
      <w:sz w:val="22"/>
      <w:szCs w:val="22"/>
    </w:rPr>
  </w:style>
  <w:style w:type="paragraph" w:styleId="NoSpacing">
    <w:name w:val="No Spacing"/>
    <w:uiPriority w:val="1"/>
    <w:qFormat/>
    <w:rsid w:val="00D52D95"/>
    <w:pPr>
      <w:spacing w:after="0" w:line="240" w:lineRule="auto"/>
    </w:pPr>
  </w:style>
  <w:style w:type="paragraph" w:customStyle="1" w:styleId="FTANumberedHeading1">
    <w:name w:val="FTA Numbered Heading 1"/>
    <w:basedOn w:val="Heading1"/>
    <w:next w:val="Normal"/>
    <w:qFormat/>
    <w:rsid w:val="009861B6"/>
    <w:pPr>
      <w:spacing w:before="0" w:line="240" w:lineRule="auto"/>
    </w:pPr>
    <w:rPr>
      <w:rFonts w:ascii="Arial" w:hAnsi="Arial"/>
      <w:color w:val="000000" w:themeColor="text1"/>
      <w:sz w:val="22"/>
      <w:szCs w:val="22"/>
    </w:rPr>
  </w:style>
  <w:style w:type="character" w:customStyle="1" w:styleId="Heading1Char">
    <w:name w:val="Heading 1 Char"/>
    <w:basedOn w:val="DefaultParagraphFont"/>
    <w:link w:val="Heading1"/>
    <w:uiPriority w:val="9"/>
    <w:rsid w:val="009861B6"/>
    <w:rPr>
      <w:rFonts w:asciiTheme="majorHAnsi" w:eastAsiaTheme="majorEastAsia" w:hAnsiTheme="majorHAnsi" w:cstheme="majorBidi"/>
      <w:b/>
      <w:bCs/>
      <w:color w:val="365F91" w:themeColor="accent1" w:themeShade="BF"/>
      <w:sz w:val="28"/>
      <w:szCs w:val="28"/>
    </w:rPr>
  </w:style>
  <w:style w:type="paragraph" w:customStyle="1" w:styleId="FTAheading2">
    <w:name w:val="FTA heading 2"/>
    <w:basedOn w:val="FTAHeading1"/>
    <w:next w:val="Normal"/>
    <w:qFormat/>
    <w:rsid w:val="009861B6"/>
    <w:rPr>
      <w:i/>
    </w:rPr>
  </w:style>
  <w:style w:type="paragraph" w:customStyle="1" w:styleId="FTAHeading1Numbered">
    <w:name w:val="FTA Heading 1 Numbered"/>
    <w:basedOn w:val="Heading1"/>
    <w:next w:val="Normal"/>
    <w:qFormat/>
    <w:rsid w:val="009861B6"/>
    <w:pPr>
      <w:numPr>
        <w:numId w:val="2"/>
      </w:numPr>
      <w:spacing w:before="0" w:line="240" w:lineRule="auto"/>
    </w:pPr>
    <w:rPr>
      <w:rFonts w:ascii="Arial" w:hAnsi="Arial"/>
      <w:color w:val="000000" w:themeColor="text1"/>
      <w:sz w:val="22"/>
      <w:szCs w:val="22"/>
    </w:rPr>
  </w:style>
  <w:style w:type="paragraph" w:styleId="TOC2">
    <w:name w:val="toc 2"/>
    <w:basedOn w:val="Normal"/>
    <w:next w:val="Normal"/>
    <w:autoRedefine/>
    <w:uiPriority w:val="39"/>
    <w:unhideWhenUsed/>
    <w:rsid w:val="009861B6"/>
    <w:pPr>
      <w:spacing w:after="0" w:line="240" w:lineRule="auto"/>
      <w:ind w:left="216"/>
    </w:pPr>
    <w:rPr>
      <w:rFonts w:ascii="Arial" w:hAnsi="Arial"/>
    </w:rPr>
  </w:style>
  <w:style w:type="paragraph" w:customStyle="1" w:styleId="FTAFigureTitle">
    <w:name w:val="FTA Figure Title"/>
    <w:basedOn w:val="Normal"/>
    <w:next w:val="Normal"/>
    <w:qFormat/>
    <w:rsid w:val="009861B6"/>
    <w:pPr>
      <w:spacing w:after="0" w:line="240" w:lineRule="auto"/>
      <w:jc w:val="center"/>
    </w:pPr>
    <w:rPr>
      <w:rFonts w:ascii="Arial" w:hAnsi="Arial" w:cs="Arial"/>
      <w:b/>
    </w:rPr>
  </w:style>
  <w:style w:type="paragraph" w:customStyle="1" w:styleId="FTATableTitle">
    <w:name w:val="FTA Table Title"/>
    <w:basedOn w:val="Normal"/>
    <w:next w:val="Normal"/>
    <w:qFormat/>
    <w:rsid w:val="009861B6"/>
    <w:pPr>
      <w:keepNext/>
      <w:spacing w:after="0" w:line="240" w:lineRule="auto"/>
      <w:jc w:val="center"/>
    </w:pPr>
    <w:rPr>
      <w:rFonts w:ascii="Arial" w:eastAsia="Times New Roman" w:hAnsi="Arial" w:cs="Arial"/>
      <w:b/>
      <w:color w:val="000000" w:themeColor="text1"/>
    </w:rPr>
  </w:style>
  <w:style w:type="character" w:styleId="CommentReference">
    <w:name w:val="annotation reference"/>
    <w:basedOn w:val="DefaultParagraphFont"/>
    <w:uiPriority w:val="99"/>
    <w:semiHidden/>
    <w:unhideWhenUsed/>
    <w:rsid w:val="00E23EA5"/>
    <w:rPr>
      <w:sz w:val="16"/>
      <w:szCs w:val="16"/>
    </w:rPr>
  </w:style>
  <w:style w:type="paragraph" w:styleId="CommentText">
    <w:name w:val="annotation text"/>
    <w:basedOn w:val="Normal"/>
    <w:link w:val="CommentTextChar"/>
    <w:uiPriority w:val="99"/>
    <w:unhideWhenUsed/>
    <w:rsid w:val="00E23EA5"/>
    <w:pPr>
      <w:spacing w:line="240" w:lineRule="auto"/>
    </w:pPr>
    <w:rPr>
      <w:sz w:val="20"/>
      <w:szCs w:val="20"/>
    </w:rPr>
  </w:style>
  <w:style w:type="character" w:customStyle="1" w:styleId="CommentTextChar">
    <w:name w:val="Comment Text Char"/>
    <w:basedOn w:val="DefaultParagraphFont"/>
    <w:link w:val="CommentText"/>
    <w:uiPriority w:val="99"/>
    <w:rsid w:val="00E23EA5"/>
    <w:rPr>
      <w:rFonts w:ascii="Gill Sans MT" w:hAnsi="Gill Sans MT"/>
      <w:sz w:val="20"/>
      <w:szCs w:val="20"/>
    </w:rPr>
  </w:style>
  <w:style w:type="paragraph" w:styleId="ListParagraph">
    <w:name w:val="List Paragraph"/>
    <w:basedOn w:val="Normal"/>
    <w:uiPriority w:val="34"/>
    <w:qFormat/>
    <w:rsid w:val="00E23EA5"/>
    <w:pPr>
      <w:ind w:left="720"/>
      <w:contextualSpacing/>
    </w:pPr>
  </w:style>
  <w:style w:type="paragraph" w:styleId="BalloonText">
    <w:name w:val="Balloon Text"/>
    <w:basedOn w:val="Normal"/>
    <w:link w:val="BalloonTextChar"/>
    <w:uiPriority w:val="99"/>
    <w:semiHidden/>
    <w:unhideWhenUsed/>
    <w:rsid w:val="00E23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EA5"/>
    <w:rPr>
      <w:rFonts w:ascii="Tahoma" w:hAnsi="Tahoma" w:cs="Tahoma"/>
      <w:sz w:val="16"/>
      <w:szCs w:val="16"/>
    </w:rPr>
  </w:style>
  <w:style w:type="character" w:styleId="HTMLCite">
    <w:name w:val="HTML Cite"/>
    <w:basedOn w:val="DefaultParagraphFont"/>
    <w:uiPriority w:val="99"/>
    <w:semiHidden/>
    <w:unhideWhenUsed/>
    <w:rsid w:val="001D46BC"/>
    <w:rPr>
      <w:i w:val="0"/>
      <w:iCs w:val="0"/>
      <w:color w:val="009933"/>
    </w:rPr>
  </w:style>
  <w:style w:type="character" w:styleId="Hyperlink">
    <w:name w:val="Hyperlink"/>
    <w:basedOn w:val="DefaultParagraphFont"/>
    <w:uiPriority w:val="99"/>
    <w:unhideWhenUsed/>
    <w:rsid w:val="00DC42A9"/>
    <w:rPr>
      <w:color w:val="0000FF" w:themeColor="hyperlink"/>
      <w:u w:val="single"/>
    </w:rPr>
  </w:style>
  <w:style w:type="character" w:styleId="FollowedHyperlink">
    <w:name w:val="FollowedHyperlink"/>
    <w:basedOn w:val="DefaultParagraphFont"/>
    <w:uiPriority w:val="99"/>
    <w:semiHidden/>
    <w:unhideWhenUsed/>
    <w:rsid w:val="00DC42A9"/>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DC3ACA"/>
    <w:rPr>
      <w:b/>
      <w:bCs/>
    </w:rPr>
  </w:style>
  <w:style w:type="character" w:customStyle="1" w:styleId="CommentSubjectChar">
    <w:name w:val="Comment Subject Char"/>
    <w:basedOn w:val="CommentTextChar"/>
    <w:link w:val="CommentSubject"/>
    <w:uiPriority w:val="99"/>
    <w:semiHidden/>
    <w:rsid w:val="00DC3ACA"/>
    <w:rPr>
      <w:rFonts w:ascii="Gill Sans MT" w:hAnsi="Gill Sans MT"/>
      <w:b/>
      <w:bCs/>
      <w:sz w:val="20"/>
      <w:szCs w:val="20"/>
    </w:rPr>
  </w:style>
  <w:style w:type="paragraph" w:styleId="Revision">
    <w:name w:val="Revision"/>
    <w:hidden/>
    <w:uiPriority w:val="99"/>
    <w:semiHidden/>
    <w:rsid w:val="00800E98"/>
    <w:pPr>
      <w:spacing w:after="0" w:line="240" w:lineRule="auto"/>
    </w:pPr>
    <w:rPr>
      <w:rFonts w:ascii="Gill Sans MT" w:hAnsi="Gill Sans MT"/>
      <w:sz w:val="24"/>
      <w:szCs w:val="24"/>
    </w:rPr>
  </w:style>
  <w:style w:type="paragraph" w:customStyle="1" w:styleId="NRELReference">
    <w:name w:val="NREL_Reference"/>
    <w:qFormat/>
    <w:rsid w:val="00651EF6"/>
    <w:pPr>
      <w:spacing w:after="240" w:line="240" w:lineRule="auto"/>
    </w:pPr>
    <w:rPr>
      <w:rFonts w:ascii="Times New Roman" w:eastAsia="Times New Roman" w:hAnsi="Times New Roman" w:cs="Times New Roman"/>
      <w:kern w:val="28"/>
      <w:sz w:val="24"/>
      <w:szCs w:val="24"/>
    </w:rPr>
  </w:style>
  <w:style w:type="character" w:styleId="LineNumber">
    <w:name w:val="line number"/>
    <w:basedOn w:val="DefaultParagraphFont"/>
    <w:uiPriority w:val="99"/>
    <w:semiHidden/>
    <w:unhideWhenUsed/>
    <w:rsid w:val="00181AE6"/>
  </w:style>
  <w:style w:type="paragraph" w:styleId="Header">
    <w:name w:val="header"/>
    <w:basedOn w:val="Normal"/>
    <w:link w:val="HeaderChar"/>
    <w:uiPriority w:val="99"/>
    <w:unhideWhenUsed/>
    <w:rsid w:val="002D3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54D"/>
    <w:rPr>
      <w:rFonts w:ascii="Gill Sans MT" w:hAnsi="Gill Sans MT"/>
      <w:sz w:val="24"/>
      <w:szCs w:val="24"/>
    </w:rPr>
  </w:style>
  <w:style w:type="paragraph" w:styleId="Footer">
    <w:name w:val="footer"/>
    <w:basedOn w:val="Normal"/>
    <w:link w:val="FooterChar"/>
    <w:uiPriority w:val="99"/>
    <w:unhideWhenUsed/>
    <w:rsid w:val="002D3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54D"/>
    <w:rPr>
      <w:rFonts w:ascii="Gill Sans MT" w:hAnsi="Gill Sans MT"/>
      <w:sz w:val="24"/>
      <w:szCs w:val="24"/>
    </w:rPr>
  </w:style>
</w:styles>
</file>

<file path=word/webSettings.xml><?xml version="1.0" encoding="utf-8"?>
<w:webSettings xmlns:r="http://schemas.openxmlformats.org/officeDocument/2006/relationships" xmlns:w="http://schemas.openxmlformats.org/wordprocessingml/2006/main">
  <w:divs>
    <w:div w:id="31659166">
      <w:bodyDiv w:val="1"/>
      <w:marLeft w:val="0"/>
      <w:marRight w:val="0"/>
      <w:marTop w:val="0"/>
      <w:marBottom w:val="0"/>
      <w:divBdr>
        <w:top w:val="none" w:sz="0" w:space="0" w:color="auto"/>
        <w:left w:val="none" w:sz="0" w:space="0" w:color="auto"/>
        <w:bottom w:val="none" w:sz="0" w:space="0" w:color="auto"/>
        <w:right w:val="none" w:sz="0" w:space="0" w:color="auto"/>
      </w:divBdr>
    </w:div>
    <w:div w:id="204223517">
      <w:bodyDiv w:val="1"/>
      <w:marLeft w:val="0"/>
      <w:marRight w:val="0"/>
      <w:marTop w:val="0"/>
      <w:marBottom w:val="0"/>
      <w:divBdr>
        <w:top w:val="none" w:sz="0" w:space="0" w:color="auto"/>
        <w:left w:val="none" w:sz="0" w:space="0" w:color="auto"/>
        <w:bottom w:val="none" w:sz="0" w:space="0" w:color="auto"/>
        <w:right w:val="none" w:sz="0" w:space="0" w:color="auto"/>
      </w:divBdr>
    </w:div>
    <w:div w:id="246306258">
      <w:bodyDiv w:val="1"/>
      <w:marLeft w:val="0"/>
      <w:marRight w:val="0"/>
      <w:marTop w:val="0"/>
      <w:marBottom w:val="0"/>
      <w:divBdr>
        <w:top w:val="none" w:sz="0" w:space="0" w:color="auto"/>
        <w:left w:val="none" w:sz="0" w:space="0" w:color="auto"/>
        <w:bottom w:val="none" w:sz="0" w:space="0" w:color="auto"/>
        <w:right w:val="none" w:sz="0" w:space="0" w:color="auto"/>
      </w:divBdr>
    </w:div>
    <w:div w:id="367341315">
      <w:bodyDiv w:val="1"/>
      <w:marLeft w:val="0"/>
      <w:marRight w:val="0"/>
      <w:marTop w:val="0"/>
      <w:marBottom w:val="0"/>
      <w:divBdr>
        <w:top w:val="none" w:sz="0" w:space="0" w:color="auto"/>
        <w:left w:val="none" w:sz="0" w:space="0" w:color="auto"/>
        <w:bottom w:val="none" w:sz="0" w:space="0" w:color="auto"/>
        <w:right w:val="none" w:sz="0" w:space="0" w:color="auto"/>
      </w:divBdr>
    </w:div>
    <w:div w:id="439028773">
      <w:bodyDiv w:val="1"/>
      <w:marLeft w:val="0"/>
      <w:marRight w:val="0"/>
      <w:marTop w:val="0"/>
      <w:marBottom w:val="0"/>
      <w:divBdr>
        <w:top w:val="none" w:sz="0" w:space="0" w:color="auto"/>
        <w:left w:val="none" w:sz="0" w:space="0" w:color="auto"/>
        <w:bottom w:val="none" w:sz="0" w:space="0" w:color="auto"/>
        <w:right w:val="none" w:sz="0" w:space="0" w:color="auto"/>
      </w:divBdr>
    </w:div>
    <w:div w:id="446585580">
      <w:bodyDiv w:val="1"/>
      <w:marLeft w:val="0"/>
      <w:marRight w:val="0"/>
      <w:marTop w:val="0"/>
      <w:marBottom w:val="0"/>
      <w:divBdr>
        <w:top w:val="none" w:sz="0" w:space="0" w:color="auto"/>
        <w:left w:val="none" w:sz="0" w:space="0" w:color="auto"/>
        <w:bottom w:val="none" w:sz="0" w:space="0" w:color="auto"/>
        <w:right w:val="none" w:sz="0" w:space="0" w:color="auto"/>
      </w:divBdr>
    </w:div>
    <w:div w:id="468978454">
      <w:bodyDiv w:val="1"/>
      <w:marLeft w:val="0"/>
      <w:marRight w:val="0"/>
      <w:marTop w:val="0"/>
      <w:marBottom w:val="0"/>
      <w:divBdr>
        <w:top w:val="none" w:sz="0" w:space="0" w:color="auto"/>
        <w:left w:val="none" w:sz="0" w:space="0" w:color="auto"/>
        <w:bottom w:val="none" w:sz="0" w:space="0" w:color="auto"/>
        <w:right w:val="none" w:sz="0" w:space="0" w:color="auto"/>
      </w:divBdr>
    </w:div>
    <w:div w:id="470635002">
      <w:bodyDiv w:val="1"/>
      <w:marLeft w:val="0"/>
      <w:marRight w:val="0"/>
      <w:marTop w:val="0"/>
      <w:marBottom w:val="0"/>
      <w:divBdr>
        <w:top w:val="none" w:sz="0" w:space="0" w:color="auto"/>
        <w:left w:val="none" w:sz="0" w:space="0" w:color="auto"/>
        <w:bottom w:val="none" w:sz="0" w:space="0" w:color="auto"/>
        <w:right w:val="none" w:sz="0" w:space="0" w:color="auto"/>
      </w:divBdr>
    </w:div>
    <w:div w:id="479617863">
      <w:bodyDiv w:val="1"/>
      <w:marLeft w:val="0"/>
      <w:marRight w:val="0"/>
      <w:marTop w:val="0"/>
      <w:marBottom w:val="0"/>
      <w:divBdr>
        <w:top w:val="none" w:sz="0" w:space="0" w:color="auto"/>
        <w:left w:val="none" w:sz="0" w:space="0" w:color="auto"/>
        <w:bottom w:val="none" w:sz="0" w:space="0" w:color="auto"/>
        <w:right w:val="none" w:sz="0" w:space="0" w:color="auto"/>
      </w:divBdr>
    </w:div>
    <w:div w:id="484515148">
      <w:bodyDiv w:val="1"/>
      <w:marLeft w:val="0"/>
      <w:marRight w:val="0"/>
      <w:marTop w:val="0"/>
      <w:marBottom w:val="0"/>
      <w:divBdr>
        <w:top w:val="none" w:sz="0" w:space="0" w:color="auto"/>
        <w:left w:val="none" w:sz="0" w:space="0" w:color="auto"/>
        <w:bottom w:val="none" w:sz="0" w:space="0" w:color="auto"/>
        <w:right w:val="none" w:sz="0" w:space="0" w:color="auto"/>
      </w:divBdr>
    </w:div>
    <w:div w:id="615404458">
      <w:bodyDiv w:val="1"/>
      <w:marLeft w:val="0"/>
      <w:marRight w:val="0"/>
      <w:marTop w:val="0"/>
      <w:marBottom w:val="0"/>
      <w:divBdr>
        <w:top w:val="none" w:sz="0" w:space="0" w:color="auto"/>
        <w:left w:val="none" w:sz="0" w:space="0" w:color="auto"/>
        <w:bottom w:val="none" w:sz="0" w:space="0" w:color="auto"/>
        <w:right w:val="none" w:sz="0" w:space="0" w:color="auto"/>
      </w:divBdr>
    </w:div>
    <w:div w:id="630138033">
      <w:bodyDiv w:val="1"/>
      <w:marLeft w:val="0"/>
      <w:marRight w:val="0"/>
      <w:marTop w:val="0"/>
      <w:marBottom w:val="0"/>
      <w:divBdr>
        <w:top w:val="none" w:sz="0" w:space="0" w:color="auto"/>
        <w:left w:val="none" w:sz="0" w:space="0" w:color="auto"/>
        <w:bottom w:val="none" w:sz="0" w:space="0" w:color="auto"/>
        <w:right w:val="none" w:sz="0" w:space="0" w:color="auto"/>
      </w:divBdr>
    </w:div>
    <w:div w:id="659312453">
      <w:bodyDiv w:val="1"/>
      <w:marLeft w:val="0"/>
      <w:marRight w:val="0"/>
      <w:marTop w:val="0"/>
      <w:marBottom w:val="0"/>
      <w:divBdr>
        <w:top w:val="none" w:sz="0" w:space="0" w:color="auto"/>
        <w:left w:val="none" w:sz="0" w:space="0" w:color="auto"/>
        <w:bottom w:val="none" w:sz="0" w:space="0" w:color="auto"/>
        <w:right w:val="none" w:sz="0" w:space="0" w:color="auto"/>
      </w:divBdr>
    </w:div>
    <w:div w:id="696808444">
      <w:bodyDiv w:val="1"/>
      <w:marLeft w:val="0"/>
      <w:marRight w:val="0"/>
      <w:marTop w:val="0"/>
      <w:marBottom w:val="0"/>
      <w:divBdr>
        <w:top w:val="none" w:sz="0" w:space="0" w:color="auto"/>
        <w:left w:val="none" w:sz="0" w:space="0" w:color="auto"/>
        <w:bottom w:val="none" w:sz="0" w:space="0" w:color="auto"/>
        <w:right w:val="none" w:sz="0" w:space="0" w:color="auto"/>
      </w:divBdr>
    </w:div>
    <w:div w:id="718018567">
      <w:bodyDiv w:val="1"/>
      <w:marLeft w:val="0"/>
      <w:marRight w:val="0"/>
      <w:marTop w:val="0"/>
      <w:marBottom w:val="0"/>
      <w:divBdr>
        <w:top w:val="none" w:sz="0" w:space="0" w:color="auto"/>
        <w:left w:val="none" w:sz="0" w:space="0" w:color="auto"/>
        <w:bottom w:val="none" w:sz="0" w:space="0" w:color="auto"/>
        <w:right w:val="none" w:sz="0" w:space="0" w:color="auto"/>
      </w:divBdr>
    </w:div>
    <w:div w:id="761339133">
      <w:bodyDiv w:val="1"/>
      <w:marLeft w:val="0"/>
      <w:marRight w:val="0"/>
      <w:marTop w:val="0"/>
      <w:marBottom w:val="0"/>
      <w:divBdr>
        <w:top w:val="none" w:sz="0" w:space="0" w:color="auto"/>
        <w:left w:val="none" w:sz="0" w:space="0" w:color="auto"/>
        <w:bottom w:val="none" w:sz="0" w:space="0" w:color="auto"/>
        <w:right w:val="none" w:sz="0" w:space="0" w:color="auto"/>
      </w:divBdr>
    </w:div>
    <w:div w:id="792140783">
      <w:bodyDiv w:val="1"/>
      <w:marLeft w:val="0"/>
      <w:marRight w:val="0"/>
      <w:marTop w:val="0"/>
      <w:marBottom w:val="0"/>
      <w:divBdr>
        <w:top w:val="none" w:sz="0" w:space="0" w:color="auto"/>
        <w:left w:val="none" w:sz="0" w:space="0" w:color="auto"/>
        <w:bottom w:val="none" w:sz="0" w:space="0" w:color="auto"/>
        <w:right w:val="none" w:sz="0" w:space="0" w:color="auto"/>
      </w:divBdr>
    </w:div>
    <w:div w:id="810558426">
      <w:bodyDiv w:val="1"/>
      <w:marLeft w:val="0"/>
      <w:marRight w:val="0"/>
      <w:marTop w:val="0"/>
      <w:marBottom w:val="0"/>
      <w:divBdr>
        <w:top w:val="none" w:sz="0" w:space="0" w:color="auto"/>
        <w:left w:val="none" w:sz="0" w:space="0" w:color="auto"/>
        <w:bottom w:val="none" w:sz="0" w:space="0" w:color="auto"/>
        <w:right w:val="none" w:sz="0" w:space="0" w:color="auto"/>
      </w:divBdr>
    </w:div>
    <w:div w:id="848133297">
      <w:bodyDiv w:val="1"/>
      <w:marLeft w:val="0"/>
      <w:marRight w:val="0"/>
      <w:marTop w:val="0"/>
      <w:marBottom w:val="0"/>
      <w:divBdr>
        <w:top w:val="none" w:sz="0" w:space="0" w:color="auto"/>
        <w:left w:val="none" w:sz="0" w:space="0" w:color="auto"/>
        <w:bottom w:val="none" w:sz="0" w:space="0" w:color="auto"/>
        <w:right w:val="none" w:sz="0" w:space="0" w:color="auto"/>
      </w:divBdr>
    </w:div>
    <w:div w:id="929312721">
      <w:bodyDiv w:val="1"/>
      <w:marLeft w:val="0"/>
      <w:marRight w:val="0"/>
      <w:marTop w:val="0"/>
      <w:marBottom w:val="0"/>
      <w:divBdr>
        <w:top w:val="none" w:sz="0" w:space="0" w:color="auto"/>
        <w:left w:val="none" w:sz="0" w:space="0" w:color="auto"/>
        <w:bottom w:val="none" w:sz="0" w:space="0" w:color="auto"/>
        <w:right w:val="none" w:sz="0" w:space="0" w:color="auto"/>
      </w:divBdr>
    </w:div>
    <w:div w:id="972754867">
      <w:bodyDiv w:val="1"/>
      <w:marLeft w:val="0"/>
      <w:marRight w:val="0"/>
      <w:marTop w:val="0"/>
      <w:marBottom w:val="0"/>
      <w:divBdr>
        <w:top w:val="none" w:sz="0" w:space="0" w:color="auto"/>
        <w:left w:val="none" w:sz="0" w:space="0" w:color="auto"/>
        <w:bottom w:val="none" w:sz="0" w:space="0" w:color="auto"/>
        <w:right w:val="none" w:sz="0" w:space="0" w:color="auto"/>
      </w:divBdr>
    </w:div>
    <w:div w:id="1012221454">
      <w:bodyDiv w:val="1"/>
      <w:marLeft w:val="0"/>
      <w:marRight w:val="0"/>
      <w:marTop w:val="0"/>
      <w:marBottom w:val="0"/>
      <w:divBdr>
        <w:top w:val="none" w:sz="0" w:space="0" w:color="auto"/>
        <w:left w:val="none" w:sz="0" w:space="0" w:color="auto"/>
        <w:bottom w:val="none" w:sz="0" w:space="0" w:color="auto"/>
        <w:right w:val="none" w:sz="0" w:space="0" w:color="auto"/>
      </w:divBdr>
    </w:div>
    <w:div w:id="1036275164">
      <w:bodyDiv w:val="1"/>
      <w:marLeft w:val="0"/>
      <w:marRight w:val="0"/>
      <w:marTop w:val="0"/>
      <w:marBottom w:val="0"/>
      <w:divBdr>
        <w:top w:val="none" w:sz="0" w:space="0" w:color="auto"/>
        <w:left w:val="none" w:sz="0" w:space="0" w:color="auto"/>
        <w:bottom w:val="none" w:sz="0" w:space="0" w:color="auto"/>
        <w:right w:val="none" w:sz="0" w:space="0" w:color="auto"/>
      </w:divBdr>
    </w:div>
    <w:div w:id="1049767498">
      <w:bodyDiv w:val="1"/>
      <w:marLeft w:val="0"/>
      <w:marRight w:val="0"/>
      <w:marTop w:val="0"/>
      <w:marBottom w:val="0"/>
      <w:divBdr>
        <w:top w:val="none" w:sz="0" w:space="0" w:color="auto"/>
        <w:left w:val="none" w:sz="0" w:space="0" w:color="auto"/>
        <w:bottom w:val="none" w:sz="0" w:space="0" w:color="auto"/>
        <w:right w:val="none" w:sz="0" w:space="0" w:color="auto"/>
      </w:divBdr>
    </w:div>
    <w:div w:id="1105929370">
      <w:bodyDiv w:val="1"/>
      <w:marLeft w:val="0"/>
      <w:marRight w:val="0"/>
      <w:marTop w:val="0"/>
      <w:marBottom w:val="0"/>
      <w:divBdr>
        <w:top w:val="none" w:sz="0" w:space="0" w:color="auto"/>
        <w:left w:val="none" w:sz="0" w:space="0" w:color="auto"/>
        <w:bottom w:val="none" w:sz="0" w:space="0" w:color="auto"/>
        <w:right w:val="none" w:sz="0" w:space="0" w:color="auto"/>
      </w:divBdr>
    </w:div>
    <w:div w:id="1186291294">
      <w:bodyDiv w:val="1"/>
      <w:marLeft w:val="0"/>
      <w:marRight w:val="0"/>
      <w:marTop w:val="0"/>
      <w:marBottom w:val="0"/>
      <w:divBdr>
        <w:top w:val="none" w:sz="0" w:space="0" w:color="auto"/>
        <w:left w:val="none" w:sz="0" w:space="0" w:color="auto"/>
        <w:bottom w:val="none" w:sz="0" w:space="0" w:color="auto"/>
        <w:right w:val="none" w:sz="0" w:space="0" w:color="auto"/>
      </w:divBdr>
    </w:div>
    <w:div w:id="1190140713">
      <w:bodyDiv w:val="1"/>
      <w:marLeft w:val="0"/>
      <w:marRight w:val="0"/>
      <w:marTop w:val="0"/>
      <w:marBottom w:val="0"/>
      <w:divBdr>
        <w:top w:val="none" w:sz="0" w:space="0" w:color="auto"/>
        <w:left w:val="none" w:sz="0" w:space="0" w:color="auto"/>
        <w:bottom w:val="none" w:sz="0" w:space="0" w:color="auto"/>
        <w:right w:val="none" w:sz="0" w:space="0" w:color="auto"/>
      </w:divBdr>
    </w:div>
    <w:div w:id="1191138578">
      <w:bodyDiv w:val="1"/>
      <w:marLeft w:val="0"/>
      <w:marRight w:val="0"/>
      <w:marTop w:val="0"/>
      <w:marBottom w:val="0"/>
      <w:divBdr>
        <w:top w:val="none" w:sz="0" w:space="0" w:color="auto"/>
        <w:left w:val="none" w:sz="0" w:space="0" w:color="auto"/>
        <w:bottom w:val="none" w:sz="0" w:space="0" w:color="auto"/>
        <w:right w:val="none" w:sz="0" w:space="0" w:color="auto"/>
      </w:divBdr>
    </w:div>
    <w:div w:id="1224680117">
      <w:bodyDiv w:val="1"/>
      <w:marLeft w:val="0"/>
      <w:marRight w:val="0"/>
      <w:marTop w:val="0"/>
      <w:marBottom w:val="0"/>
      <w:divBdr>
        <w:top w:val="none" w:sz="0" w:space="0" w:color="auto"/>
        <w:left w:val="none" w:sz="0" w:space="0" w:color="auto"/>
        <w:bottom w:val="none" w:sz="0" w:space="0" w:color="auto"/>
        <w:right w:val="none" w:sz="0" w:space="0" w:color="auto"/>
      </w:divBdr>
    </w:div>
    <w:div w:id="1337417940">
      <w:bodyDiv w:val="1"/>
      <w:marLeft w:val="0"/>
      <w:marRight w:val="0"/>
      <w:marTop w:val="0"/>
      <w:marBottom w:val="0"/>
      <w:divBdr>
        <w:top w:val="none" w:sz="0" w:space="0" w:color="auto"/>
        <w:left w:val="none" w:sz="0" w:space="0" w:color="auto"/>
        <w:bottom w:val="none" w:sz="0" w:space="0" w:color="auto"/>
        <w:right w:val="none" w:sz="0" w:space="0" w:color="auto"/>
      </w:divBdr>
    </w:div>
    <w:div w:id="1344700095">
      <w:bodyDiv w:val="1"/>
      <w:marLeft w:val="0"/>
      <w:marRight w:val="0"/>
      <w:marTop w:val="0"/>
      <w:marBottom w:val="0"/>
      <w:divBdr>
        <w:top w:val="none" w:sz="0" w:space="0" w:color="auto"/>
        <w:left w:val="none" w:sz="0" w:space="0" w:color="auto"/>
        <w:bottom w:val="none" w:sz="0" w:space="0" w:color="auto"/>
        <w:right w:val="none" w:sz="0" w:space="0" w:color="auto"/>
      </w:divBdr>
    </w:div>
    <w:div w:id="1397319399">
      <w:bodyDiv w:val="1"/>
      <w:marLeft w:val="0"/>
      <w:marRight w:val="0"/>
      <w:marTop w:val="0"/>
      <w:marBottom w:val="0"/>
      <w:divBdr>
        <w:top w:val="none" w:sz="0" w:space="0" w:color="auto"/>
        <w:left w:val="none" w:sz="0" w:space="0" w:color="auto"/>
        <w:bottom w:val="none" w:sz="0" w:space="0" w:color="auto"/>
        <w:right w:val="none" w:sz="0" w:space="0" w:color="auto"/>
      </w:divBdr>
    </w:div>
    <w:div w:id="1513371654">
      <w:bodyDiv w:val="1"/>
      <w:marLeft w:val="0"/>
      <w:marRight w:val="0"/>
      <w:marTop w:val="0"/>
      <w:marBottom w:val="0"/>
      <w:divBdr>
        <w:top w:val="none" w:sz="0" w:space="0" w:color="auto"/>
        <w:left w:val="none" w:sz="0" w:space="0" w:color="auto"/>
        <w:bottom w:val="none" w:sz="0" w:space="0" w:color="auto"/>
        <w:right w:val="none" w:sz="0" w:space="0" w:color="auto"/>
      </w:divBdr>
    </w:div>
    <w:div w:id="1628514160">
      <w:bodyDiv w:val="1"/>
      <w:marLeft w:val="0"/>
      <w:marRight w:val="0"/>
      <w:marTop w:val="0"/>
      <w:marBottom w:val="0"/>
      <w:divBdr>
        <w:top w:val="none" w:sz="0" w:space="0" w:color="auto"/>
        <w:left w:val="none" w:sz="0" w:space="0" w:color="auto"/>
        <w:bottom w:val="none" w:sz="0" w:space="0" w:color="auto"/>
        <w:right w:val="none" w:sz="0" w:space="0" w:color="auto"/>
      </w:divBdr>
    </w:div>
    <w:div w:id="1743136009">
      <w:bodyDiv w:val="1"/>
      <w:marLeft w:val="0"/>
      <w:marRight w:val="0"/>
      <w:marTop w:val="0"/>
      <w:marBottom w:val="0"/>
      <w:divBdr>
        <w:top w:val="none" w:sz="0" w:space="0" w:color="auto"/>
        <w:left w:val="none" w:sz="0" w:space="0" w:color="auto"/>
        <w:bottom w:val="none" w:sz="0" w:space="0" w:color="auto"/>
        <w:right w:val="none" w:sz="0" w:space="0" w:color="auto"/>
      </w:divBdr>
    </w:div>
    <w:div w:id="1752236215">
      <w:bodyDiv w:val="1"/>
      <w:marLeft w:val="0"/>
      <w:marRight w:val="0"/>
      <w:marTop w:val="0"/>
      <w:marBottom w:val="0"/>
      <w:divBdr>
        <w:top w:val="none" w:sz="0" w:space="0" w:color="auto"/>
        <w:left w:val="none" w:sz="0" w:space="0" w:color="auto"/>
        <w:bottom w:val="none" w:sz="0" w:space="0" w:color="auto"/>
        <w:right w:val="none" w:sz="0" w:space="0" w:color="auto"/>
      </w:divBdr>
    </w:div>
    <w:div w:id="1791237959">
      <w:bodyDiv w:val="1"/>
      <w:marLeft w:val="0"/>
      <w:marRight w:val="0"/>
      <w:marTop w:val="0"/>
      <w:marBottom w:val="0"/>
      <w:divBdr>
        <w:top w:val="none" w:sz="0" w:space="0" w:color="auto"/>
        <w:left w:val="none" w:sz="0" w:space="0" w:color="auto"/>
        <w:bottom w:val="none" w:sz="0" w:space="0" w:color="auto"/>
        <w:right w:val="none" w:sz="0" w:space="0" w:color="auto"/>
      </w:divBdr>
    </w:div>
    <w:div w:id="1867671811">
      <w:bodyDiv w:val="1"/>
      <w:marLeft w:val="0"/>
      <w:marRight w:val="0"/>
      <w:marTop w:val="0"/>
      <w:marBottom w:val="0"/>
      <w:divBdr>
        <w:top w:val="none" w:sz="0" w:space="0" w:color="auto"/>
        <w:left w:val="none" w:sz="0" w:space="0" w:color="auto"/>
        <w:bottom w:val="none" w:sz="0" w:space="0" w:color="auto"/>
        <w:right w:val="none" w:sz="0" w:space="0" w:color="auto"/>
      </w:divBdr>
    </w:div>
    <w:div w:id="1885017847">
      <w:bodyDiv w:val="1"/>
      <w:marLeft w:val="0"/>
      <w:marRight w:val="0"/>
      <w:marTop w:val="0"/>
      <w:marBottom w:val="0"/>
      <w:divBdr>
        <w:top w:val="none" w:sz="0" w:space="0" w:color="auto"/>
        <w:left w:val="none" w:sz="0" w:space="0" w:color="auto"/>
        <w:bottom w:val="none" w:sz="0" w:space="0" w:color="auto"/>
        <w:right w:val="none" w:sz="0" w:space="0" w:color="auto"/>
      </w:divBdr>
    </w:div>
    <w:div w:id="1922904908">
      <w:bodyDiv w:val="1"/>
      <w:marLeft w:val="0"/>
      <w:marRight w:val="0"/>
      <w:marTop w:val="0"/>
      <w:marBottom w:val="0"/>
      <w:divBdr>
        <w:top w:val="none" w:sz="0" w:space="0" w:color="auto"/>
        <w:left w:val="none" w:sz="0" w:space="0" w:color="auto"/>
        <w:bottom w:val="none" w:sz="0" w:space="0" w:color="auto"/>
        <w:right w:val="none" w:sz="0" w:space="0" w:color="auto"/>
      </w:divBdr>
    </w:div>
    <w:div w:id="1971590122">
      <w:bodyDiv w:val="1"/>
      <w:marLeft w:val="0"/>
      <w:marRight w:val="0"/>
      <w:marTop w:val="0"/>
      <w:marBottom w:val="0"/>
      <w:divBdr>
        <w:top w:val="none" w:sz="0" w:space="0" w:color="auto"/>
        <w:left w:val="none" w:sz="0" w:space="0" w:color="auto"/>
        <w:bottom w:val="none" w:sz="0" w:space="0" w:color="auto"/>
        <w:right w:val="none" w:sz="0" w:space="0" w:color="auto"/>
      </w:divBdr>
    </w:div>
    <w:div w:id="2040859094">
      <w:bodyDiv w:val="1"/>
      <w:marLeft w:val="0"/>
      <w:marRight w:val="0"/>
      <w:marTop w:val="0"/>
      <w:marBottom w:val="0"/>
      <w:divBdr>
        <w:top w:val="none" w:sz="0" w:space="0" w:color="auto"/>
        <w:left w:val="none" w:sz="0" w:space="0" w:color="auto"/>
        <w:bottom w:val="none" w:sz="0" w:space="0" w:color="auto"/>
        <w:right w:val="none" w:sz="0" w:space="0" w:color="auto"/>
      </w:divBdr>
    </w:div>
    <w:div w:id="2099712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oilindependents.org/category/resources/dat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climateinteractive.org/simulations" TargetMode="External"/><Relationship Id="rId19"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www.eia.gov/cfapps/ipdbproject/iedindex3.cfm?tid=79&amp;pid=80&amp;aid=1&amp;cid=regions&amp;syid=1991&amp;eyid=2010&amp;unit=TBPD"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ewarner\Desktop\LUC%20SVN\bsm\trunk\global\models\luc-1\Data\2012-08-10-inpu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9"/>
  <c:chart>
    <c:autoTitleDeleted val="1"/>
    <c:plotArea>
      <c:layout/>
      <c:barChart>
        <c:barDir val="col"/>
        <c:grouping val="clustered"/>
        <c:ser>
          <c:idx val="0"/>
          <c:order val="0"/>
          <c:tx>
            <c:strRef>
              <c:f>'Land Init'!$A$2</c:f>
              <c:strCache>
                <c:ptCount val="1"/>
                <c:pt idx="0">
                  <c:v>USA</c:v>
                </c:pt>
              </c:strCache>
            </c:strRef>
          </c:tx>
          <c:cat>
            <c:strRef>
              <c:f>'Land Init'!$C$1:$F$1</c:f>
              <c:strCache>
                <c:ptCount val="4"/>
                <c:pt idx="0">
                  <c:v>Cropland</c:v>
                </c:pt>
                <c:pt idx="1">
                  <c:v>Pasture</c:v>
                </c:pt>
                <c:pt idx="2">
                  <c:v>Forest and Grassland</c:v>
                </c:pt>
                <c:pt idx="3">
                  <c:v>Abandoned</c:v>
                </c:pt>
              </c:strCache>
            </c:strRef>
          </c:cat>
          <c:val>
            <c:numRef>
              <c:f>'Land Init'!$C$2:$F$2</c:f>
              <c:numCache>
                <c:formatCode>0</c:formatCode>
                <c:ptCount val="4"/>
                <c:pt idx="0">
                  <c:v>160.40880000000001</c:v>
                </c:pt>
                <c:pt idx="1">
                  <c:v>265.02019999999823</c:v>
                </c:pt>
                <c:pt idx="2">
                  <c:v>297.10700000000008</c:v>
                </c:pt>
                <c:pt idx="3">
                  <c:v>19.190000000000001</c:v>
                </c:pt>
              </c:numCache>
            </c:numRef>
          </c:val>
        </c:ser>
        <c:ser>
          <c:idx val="1"/>
          <c:order val="1"/>
          <c:tx>
            <c:strRef>
              <c:f>'Land Init'!$A$3</c:f>
              <c:strCache>
                <c:ptCount val="1"/>
                <c:pt idx="0">
                  <c:v>ROW</c:v>
                </c:pt>
              </c:strCache>
            </c:strRef>
          </c:tx>
          <c:cat>
            <c:strRef>
              <c:f>'Land Init'!$C$1:$F$1</c:f>
              <c:strCache>
                <c:ptCount val="4"/>
                <c:pt idx="0">
                  <c:v>Cropland</c:v>
                </c:pt>
                <c:pt idx="1">
                  <c:v>Pasture</c:v>
                </c:pt>
                <c:pt idx="2">
                  <c:v>Forest and Grassland</c:v>
                </c:pt>
                <c:pt idx="3">
                  <c:v>Abandoned</c:v>
                </c:pt>
              </c:strCache>
            </c:strRef>
          </c:cat>
          <c:val>
            <c:numRef>
              <c:f>'Land Init'!$C$3:$F$3</c:f>
              <c:numCache>
                <c:formatCode>0</c:formatCode>
                <c:ptCount val="4"/>
                <c:pt idx="0">
                  <c:v>1320.710315</c:v>
                </c:pt>
                <c:pt idx="1">
                  <c:v>3044.0605409999998</c:v>
                </c:pt>
                <c:pt idx="2">
                  <c:v>3868.0574299999998</c:v>
                </c:pt>
                <c:pt idx="3">
                  <c:v>414.8</c:v>
                </c:pt>
              </c:numCache>
            </c:numRef>
          </c:val>
        </c:ser>
        <c:ser>
          <c:idx val="2"/>
          <c:order val="2"/>
          <c:tx>
            <c:strRef>
              <c:f>'Land Init'!$A$4</c:f>
              <c:strCache>
                <c:ptCount val="1"/>
                <c:pt idx="0">
                  <c:v>World</c:v>
                </c:pt>
              </c:strCache>
            </c:strRef>
          </c:tx>
          <c:cat>
            <c:strRef>
              <c:f>'Land Init'!$C$1:$F$1</c:f>
              <c:strCache>
                <c:ptCount val="4"/>
                <c:pt idx="0">
                  <c:v>Cropland</c:v>
                </c:pt>
                <c:pt idx="1">
                  <c:v>Pasture</c:v>
                </c:pt>
                <c:pt idx="2">
                  <c:v>Forest and Grassland</c:v>
                </c:pt>
                <c:pt idx="3">
                  <c:v>Abandoned</c:v>
                </c:pt>
              </c:strCache>
            </c:strRef>
          </c:cat>
          <c:val>
            <c:numRef>
              <c:f>'Land Init'!$C$4:$F$4</c:f>
              <c:numCache>
                <c:formatCode>0</c:formatCode>
                <c:ptCount val="4"/>
                <c:pt idx="0">
                  <c:v>1481.119115</c:v>
                </c:pt>
                <c:pt idx="1">
                  <c:v>3309.0807409999998</c:v>
                </c:pt>
                <c:pt idx="2">
                  <c:v>4165.1644300000034</c:v>
                </c:pt>
                <c:pt idx="3">
                  <c:v>433.98999999999899</c:v>
                </c:pt>
              </c:numCache>
            </c:numRef>
          </c:val>
        </c:ser>
        <c:axId val="98930688"/>
        <c:axId val="98933376"/>
      </c:barChart>
      <c:catAx>
        <c:axId val="98930688"/>
        <c:scaling>
          <c:orientation val="minMax"/>
        </c:scaling>
        <c:axPos val="b"/>
        <c:majorTickMark val="none"/>
        <c:tickLblPos val="nextTo"/>
        <c:txPr>
          <a:bodyPr/>
          <a:lstStyle/>
          <a:p>
            <a:pPr>
              <a:defRPr sz="1400">
                <a:latin typeface="+mn-lt"/>
                <a:cs typeface="Times New Roman" pitchFamily="18" charset="0"/>
              </a:defRPr>
            </a:pPr>
            <a:endParaRPr lang="en-US"/>
          </a:p>
        </c:txPr>
        <c:crossAx val="98933376"/>
        <c:crosses val="autoZero"/>
        <c:auto val="1"/>
        <c:lblAlgn val="ctr"/>
        <c:lblOffset val="100"/>
      </c:catAx>
      <c:valAx>
        <c:axId val="98933376"/>
        <c:scaling>
          <c:orientation val="minMax"/>
        </c:scaling>
        <c:axPos val="l"/>
        <c:majorGridlines/>
        <c:title>
          <c:tx>
            <c:rich>
              <a:bodyPr rot="-5400000" vert="horz"/>
              <a:lstStyle/>
              <a:p>
                <a:pPr>
                  <a:defRPr sz="1400">
                    <a:latin typeface="+mn-lt"/>
                    <a:cs typeface="Times New Roman" pitchFamily="18" charset="0"/>
                  </a:defRPr>
                </a:pPr>
                <a:r>
                  <a:rPr lang="en-US" sz="1400">
                    <a:latin typeface="+mn-lt"/>
                    <a:cs typeface="Times New Roman" pitchFamily="18" charset="0"/>
                  </a:rPr>
                  <a:t>Million Hectares</a:t>
                </a:r>
              </a:p>
            </c:rich>
          </c:tx>
        </c:title>
        <c:numFmt formatCode="0" sourceLinked="1"/>
        <c:majorTickMark val="none"/>
        <c:minorTickMark val="out"/>
        <c:tickLblPos val="nextTo"/>
        <c:txPr>
          <a:bodyPr/>
          <a:lstStyle/>
          <a:p>
            <a:pPr>
              <a:defRPr sz="1200">
                <a:latin typeface="+mn-lt"/>
                <a:cs typeface="Times New Roman" pitchFamily="18" charset="0"/>
              </a:defRPr>
            </a:pPr>
            <a:endParaRPr lang="en-US"/>
          </a:p>
        </c:txPr>
        <c:crossAx val="98930688"/>
        <c:crosses val="autoZero"/>
        <c:crossBetween val="between"/>
      </c:valAx>
    </c:plotArea>
    <c:legend>
      <c:legendPos val="r"/>
      <c:txPr>
        <a:bodyPr/>
        <a:lstStyle/>
        <a:p>
          <a:pPr>
            <a:defRPr sz="1400">
              <a:latin typeface="+mn-lt"/>
              <a:cs typeface="Times New Roman" pitchFamily="18" charset="0"/>
            </a:defRPr>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b:Source>
    <b:Tag>Ste00</b:Tag>
    <b:SourceType>Book</b:SourceType>
    <b:Guid>{AA59751A-C49C-4CDB-AF3E-14E296595160}</b:Guid>
    <b:Author>
      <b:Author>
        <b:NameList>
          <b:Person>
            <b:Last>Sterman</b:Last>
            <b:First>John</b:First>
            <b:Middle>D</b:Middle>
          </b:Person>
        </b:NameList>
      </b:Author>
    </b:Author>
    <b:Title>Business Dynamics</b:Title>
    <b:Year>2000</b:Year>
    <b:Publisher>Mc Graw Hill</b:Publisher>
    <b:RefOrder>1</b:RefOrder>
  </b:Source>
  <b:Source>
    <b:Tag>Ste06</b:Tag>
    <b:SourceType>JournalArticle</b:SourceType>
    <b:Guid>{FBFC2386-8ACE-4554-9322-313D7690AA91}</b:Guid>
    <b:Title>Learning from Evidence in a Complex World</b:Title>
    <b:Year>2006</b:Year>
    <b:Pages>505-514</b:Pages>
    <b:Author>
      <b:Author>
        <b:NameList>
          <b:Person>
            <b:Last>Sterman</b:Last>
            <b:First>John</b:First>
            <b:Middle>D</b:Middle>
          </b:Person>
        </b:NameList>
      </b:Author>
    </b:Author>
    <b:JournalName>Am J Public Health</b:JournalName>
    <b:RefOrder>2</b:RefOrder>
  </b:Source>
  <b:Source>
    <b:Tag>Hom96</b:Tag>
    <b:SourceType>JournalArticle</b:SourceType>
    <b:Guid>{7AAA5A12-1755-4F03-A5BC-69162D2B754A}</b:Guid>
    <b:Author>
      <b:Author>
        <b:NameList>
          <b:Person>
            <b:Last>Homer</b:Last>
            <b:First>Jack</b:First>
            <b:Middle>B.</b:Middle>
          </b:Person>
        </b:NameList>
      </b:Author>
    </b:Author>
    <b:Title>Why we iterate:  scientific modeling in theory and practice</b:Title>
    <b:JournalName>Syst Dyn Rev</b:JournalName>
    <b:Year>1996</b:Year>
    <b:Pages>1-9</b:Pages>
    <b:Volume>12</b:Volume>
    <b:RefOrder>3</b:RefOrder>
  </b:Source>
  <b:Source>
    <b:Tag>For71</b:Tag>
    <b:SourceType>Book</b:SourceType>
    <b:Guid>{E2FEF1FF-BEFE-4736-8982-91E5E5989A7C}</b:Guid>
    <b:Title>World Dynamics</b:Title>
    <b:Year>1971</b:Year>
    <b:Author>
      <b:Author>
        <b:NameList>
          <b:Person>
            <b:Last>Forrester</b:Last>
            <b:First>Jay</b:First>
            <b:Middle>W.</b:Middle>
          </b:Person>
        </b:NameList>
      </b:Author>
    </b:Author>
    <b:City>Cambridge, MA</b:City>
    <b:Publisher>Wright-Allen Press</b:Publisher>
    <b:RefOrder>4</b:RefOrder>
  </b:Source>
  <b:Source>
    <b:Tag>Mea72</b:Tag>
    <b:SourceType>Book</b:SourceType>
    <b:Guid>{2F996A53-32BB-42CB-B37E-A4B4C95EDA27}</b:Guid>
    <b:Author>
      <b:Author>
        <b:NameList>
          <b:Person>
            <b:Last>Meadows</b:Last>
            <b:First>Donella</b:First>
            <b:Middle>H., et al</b:Middle>
          </b:Person>
        </b:NameList>
      </b:Author>
    </b:Author>
    <b:Title>The Limits to Growth</b:Title>
    <b:Year>1972</b:Year>
    <b:City>New York</b:City>
    <b:Publisher>Universe Books</b:Publisher>
    <b:RefOrder>5</b:RefOrder>
  </b:Source>
  <b:Source>
    <b:Tag>Cli12</b:Tag>
    <b:SourceType>InternetSite</b:SourceType>
    <b:Guid>{EA474572-EFD1-48C7-A759-CE637DE29D44}</b:Guid>
    <b:Title>http://climateinteractive.org/about</b:Title>
    <b:Year>2012</b:Year>
    <b:Author>
      <b:Author>
        <b:Corporate>Climate Interactive</b:Corporate>
      </b:Author>
    </b:Author>
    <b:InternetSiteTitle>Climate Interactive</b:InternetSiteTitle>
    <b:Month>10</b:Month>
    <b:Day>09</b:Day>
    <b:YearAccessed>2012</b:YearAccessed>
    <b:MonthAccessed>10</b:MonthAccessed>
    <b:DayAccessed>09</b:DayAccessed>
    <b:URL>http://climateinteractive.org/about</b:URL>
    <b:RefOrder>6</b:RefOrder>
  </b:Source>
</b:Sources>
</file>

<file path=customXml/item2.xml><?xml version="1.0" encoding="utf-8"?>
<b:Sources xmlns:b="http://schemas.openxmlformats.org/officeDocument/2006/bibliography" xmlns="http://schemas.openxmlformats.org/officeDocument/2006/bibliography" SelectedStyle="\CHICAGO.XSL" StyleName="Chicago">
  <b:Source>
    <b:Tag>Ste00</b:Tag>
    <b:SourceType>Book</b:SourceType>
    <b:Guid>{AA59751A-C49C-4CDB-AF3E-14E296595160}</b:Guid>
    <b:Author>
      <b:Author>
        <b:NameList>
          <b:Person>
            <b:Last>Sterman</b:Last>
            <b:First>John</b:First>
            <b:Middle>D</b:Middle>
          </b:Person>
        </b:NameList>
      </b:Author>
    </b:Author>
    <b:Title>Business Dynamics</b:Title>
    <b:Year>2000</b:Year>
    <b:Publisher>Mc Graw Hill</b:Publisher>
    <b:RefOrder>1</b:RefOrder>
  </b:Source>
  <b:Source>
    <b:Tag>Ste06</b:Tag>
    <b:SourceType>JournalArticle</b:SourceType>
    <b:Guid>{FBFC2386-8ACE-4554-9322-313D7690AA91}</b:Guid>
    <b:Title>Learning from Evidence in a Complex World</b:Title>
    <b:Year>2006</b:Year>
    <b:Pages>505-514</b:Pages>
    <b:Author>
      <b:Author>
        <b:NameList>
          <b:Person>
            <b:Last>Sterman</b:Last>
            <b:First>John</b:First>
            <b:Middle>D</b:Middle>
          </b:Person>
        </b:NameList>
      </b:Author>
    </b:Author>
    <b:JournalName>Am J Public Health</b:JournalName>
    <b:RefOrder>2</b:RefOrder>
  </b:Source>
  <b:Source>
    <b:Tag>Hom96</b:Tag>
    <b:SourceType>JournalArticle</b:SourceType>
    <b:Guid>{7AAA5A12-1755-4F03-A5BC-69162D2B754A}</b:Guid>
    <b:Author>
      <b:Author>
        <b:NameList>
          <b:Person>
            <b:Last>Homer</b:Last>
            <b:First>Jack</b:First>
            <b:Middle>B.</b:Middle>
          </b:Person>
        </b:NameList>
      </b:Author>
    </b:Author>
    <b:Title>Why we iterate:  scientific modeling in theory and practice</b:Title>
    <b:JournalName>Syst Dyn Rev</b:JournalName>
    <b:Year>1996</b:Year>
    <b:Pages>1-9</b:Pages>
    <b:Volume>12</b:Volume>
    <b:RefOrder>3</b:RefOrder>
  </b:Source>
  <b:Source>
    <b:Tag>For71</b:Tag>
    <b:SourceType>Book</b:SourceType>
    <b:Guid>{E2FEF1FF-BEFE-4736-8982-91E5E5989A7C}</b:Guid>
    <b:Title>World Dynamics</b:Title>
    <b:Year>1971</b:Year>
    <b:Author>
      <b:Author>
        <b:NameList>
          <b:Person>
            <b:Last>Forrester</b:Last>
            <b:First>Jay</b:First>
            <b:Middle>W.</b:Middle>
          </b:Person>
        </b:NameList>
      </b:Author>
    </b:Author>
    <b:City>Cambridge, MA</b:City>
    <b:Publisher>Wright-Allen Press</b:Publisher>
    <b:RefOrder>4</b:RefOrder>
  </b:Source>
  <b:Source>
    <b:Tag>Mea72</b:Tag>
    <b:SourceType>Book</b:SourceType>
    <b:Guid>{2F996A53-32BB-42CB-B37E-A4B4C95EDA27}</b:Guid>
    <b:Author>
      <b:Author>
        <b:NameList>
          <b:Person>
            <b:Last>Meadows</b:Last>
            <b:First>Donella</b:First>
            <b:Middle>H., et al</b:Middle>
          </b:Person>
        </b:NameList>
      </b:Author>
    </b:Author>
    <b:Title>The Limits to Growth</b:Title>
    <b:Year>1972</b:Year>
    <b:City>New York</b:City>
    <b:Publisher>Universe Books</b:Publisher>
    <b:RefOrder>5</b:RefOrder>
  </b:Source>
  <b:Source>
    <b:Tag>Cli12</b:Tag>
    <b:SourceType>InternetSite</b:SourceType>
    <b:Guid>{EA474572-EFD1-48C7-A759-CE637DE29D44}</b:Guid>
    <b:Title>http://climateinteractive.org/about</b:Title>
    <b:Year>2012</b:Year>
    <b:Author>
      <b:Author>
        <b:Corporate>Climate Interactive</b:Corporate>
      </b:Author>
    </b:Author>
    <b:InternetSiteTitle>Climate Interactive</b:InternetSiteTitle>
    <b:Month>10</b:Month>
    <b:Day>09</b:Day>
    <b:YearAccessed>2012</b:YearAccessed>
    <b:MonthAccessed>10</b:MonthAccessed>
    <b:DayAccessed>09</b:DayAccessed>
    <b:URL>http://climateinteractive.org/about</b:URL>
    <b:RefOrder>6</b:RefOrder>
  </b:Source>
</b:Sources>
</file>

<file path=customXml/itemProps1.xml><?xml version="1.0" encoding="utf-8"?>
<ds:datastoreItem xmlns:ds="http://schemas.openxmlformats.org/officeDocument/2006/customXml" ds:itemID="{1249E3CF-6898-464C-AF2C-BEC045ED8E69}">
  <ds:schemaRefs>
    <ds:schemaRef ds:uri="http://schemas.openxmlformats.org/officeDocument/2006/bibliography"/>
  </ds:schemaRefs>
</ds:datastoreItem>
</file>

<file path=customXml/itemProps2.xml><?xml version="1.0" encoding="utf-8"?>
<ds:datastoreItem xmlns:ds="http://schemas.openxmlformats.org/officeDocument/2006/customXml" ds:itemID="{7E44219E-D480-4FB4-99D7-6316E43C1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14</Pages>
  <Words>4915</Words>
  <Characters>28021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shavig</dc:creator>
  <cp:lastModifiedBy>ewarner</cp:lastModifiedBy>
  <cp:revision>7</cp:revision>
  <dcterms:created xsi:type="dcterms:W3CDTF">2012-11-16T17:09:00Z</dcterms:created>
  <dcterms:modified xsi:type="dcterms:W3CDTF">2012-12-07T21:15:00Z</dcterms:modified>
</cp:coreProperties>
</file>