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9F1AE" w14:textId="6792FB8C" w:rsidR="00373C61" w:rsidRPr="00373C61" w:rsidRDefault="005A355F" w:rsidP="00737D83">
      <w:pPr>
        <w:pStyle w:val="Heading1"/>
      </w:pPr>
      <w:bookmarkStart w:id="0" w:name="_Toc307504965"/>
      <w:r>
        <w:t xml:space="preserve">1 </w:t>
      </w:r>
      <w:r w:rsidR="00373C61">
        <w:t>Introduction</w:t>
      </w:r>
      <w:bookmarkEnd w:id="0"/>
    </w:p>
    <w:p w14:paraId="68CE62C2" w14:textId="78AAF2C3" w:rsidR="00373C61" w:rsidRDefault="00CA2DAF" w:rsidP="00737D83">
      <w:r>
        <w:t xml:space="preserve">This document details the </w:t>
      </w:r>
      <w:r w:rsidR="00373C61">
        <w:t xml:space="preserve">modeling assumptions </w:t>
      </w:r>
      <w:r>
        <w:t xml:space="preserve">for the dGen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w:t>
      </w:r>
      <w:r w:rsidR="00A8635D">
        <w:t>two</w:t>
      </w:r>
      <w:r w:rsidR="00373C61">
        <w:t xml:space="preserv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Pr="00F0303B" w:rsidRDefault="0087336A" w:rsidP="00737D83">
      <w:pPr>
        <w:pStyle w:val="ListParagraph"/>
        <w:numPr>
          <w:ilvl w:val="0"/>
          <w:numId w:val="4"/>
        </w:numPr>
        <w:rPr>
          <w:highlight w:val="green"/>
        </w:rPr>
      </w:pPr>
      <w:r w:rsidRPr="00F0303B">
        <w:rPr>
          <w:highlight w:val="green"/>
        </w:rPr>
        <w:t xml:space="preserve">Non-Economic Drivers of Customer </w:t>
      </w:r>
      <w:commentRangeStart w:id="1"/>
      <w:r w:rsidRPr="00F0303B">
        <w:rPr>
          <w:highlight w:val="green"/>
        </w:rPr>
        <w:t>Adoption</w:t>
      </w:r>
      <w:commentRangeEnd w:id="1"/>
      <w:r w:rsidR="00F0303B">
        <w:rPr>
          <w:rStyle w:val="CommentReference"/>
        </w:rPr>
        <w:commentReference w:id="1"/>
      </w:r>
    </w:p>
    <w:p w14:paraId="20C8AF09" w14:textId="77777777" w:rsidR="0087336A" w:rsidRDefault="0087336A" w:rsidP="00737D83"/>
    <w:p w14:paraId="657C8619" w14:textId="6E0CFC9B" w:rsidR="002561EF" w:rsidRDefault="005738D3" w:rsidP="00737D83">
      <w:r>
        <w:t>In both sections</w:t>
      </w:r>
      <w:r w:rsidR="00CA2DAF">
        <w:t xml:space="preserve">, </w:t>
      </w:r>
      <w:r w:rsidR="009838C3">
        <w:t xml:space="preserve">the following information is </w:t>
      </w:r>
      <w:r w:rsidR="00CA2DAF">
        <w:t>provided</w:t>
      </w:r>
      <w:r w:rsidR="00BF5EDE">
        <w:t xml:space="preserve"> for individual model </w:t>
      </w:r>
      <w:r w:rsidR="00EB51C5">
        <w:t>settings</w:t>
      </w:r>
      <w:r w:rsidR="009838C3">
        <w:t>:</w:t>
      </w:r>
    </w:p>
    <w:p w14:paraId="534097F5" w14:textId="1D1F564C" w:rsidR="00960227" w:rsidRDefault="00960227" w:rsidP="00737D83">
      <w:pPr>
        <w:pStyle w:val="ListParagraph"/>
        <w:numPr>
          <w:ilvl w:val="0"/>
          <w:numId w:val="8"/>
        </w:numPr>
      </w:pPr>
      <w:r>
        <w:t xml:space="preserve">An indication whether the </w:t>
      </w:r>
      <w:r w:rsidR="00E046CE">
        <w:t>setting and corresponding assumptions are</w:t>
      </w:r>
      <w:r>
        <w:t xml:space="preserve"> specific to wind </w:t>
      </w:r>
      <w:r w:rsidR="00F968E8">
        <w:t>or technology agnostic (i.e.,</w:t>
      </w:r>
      <w:r w:rsidR="00FE4495">
        <w:t xml:space="preserve"> also used in solar modeling</w:t>
      </w:r>
      <w:r w:rsidR="00F968E8">
        <w:t>)</w:t>
      </w:r>
    </w:p>
    <w:p w14:paraId="20C57C5C" w14:textId="4ED387B9" w:rsidR="00960227" w:rsidRDefault="009838C3" w:rsidP="00F968E8">
      <w:pPr>
        <w:pStyle w:val="ListParagraph"/>
        <w:numPr>
          <w:ilvl w:val="0"/>
          <w:numId w:val="8"/>
        </w:numPr>
      </w:pPr>
      <w:r>
        <w:t>A brief summary</w:t>
      </w:r>
      <w:r w:rsidR="005B58FB">
        <w:t xml:space="preserve"> describing the setting and available options</w:t>
      </w:r>
    </w:p>
    <w:p w14:paraId="7102051C" w14:textId="5815E5CB" w:rsidR="00CA2DAF" w:rsidRDefault="00495B0C" w:rsidP="00737D83">
      <w:pPr>
        <w:pStyle w:val="ListParagraph"/>
        <w:numPr>
          <w:ilvl w:val="0"/>
          <w:numId w:val="8"/>
        </w:numPr>
      </w:pPr>
      <w:r>
        <w:t xml:space="preserve">The </w:t>
      </w:r>
      <w:r w:rsidR="00CA2DAF">
        <w:t>default settings for the assumption</w:t>
      </w:r>
      <w:r>
        <w:t xml:space="preserve"> in model distributed wind</w:t>
      </w:r>
    </w:p>
    <w:p w14:paraId="6E360C6A" w14:textId="53EDFAFB" w:rsidR="00CA2DAF" w:rsidRDefault="00CA2DAF" w:rsidP="00737D83">
      <w:pPr>
        <w:pStyle w:val="ListParagraph"/>
        <w:numPr>
          <w:ilvl w:val="1"/>
          <w:numId w:val="8"/>
        </w:numPr>
      </w:pPr>
      <w:r>
        <w:t xml:space="preserve">If applicable, these settings are broken out into </w:t>
      </w:r>
      <w:r w:rsidR="0037109B">
        <w:t>separate discussions by time period (e.g., near-term and future projections)</w:t>
      </w:r>
    </w:p>
    <w:p w14:paraId="120EABED" w14:textId="5EFC3736" w:rsidR="00D47804" w:rsidRDefault="00CA2DAF" w:rsidP="00737D83">
      <w:pPr>
        <w:pStyle w:val="ListParagraph"/>
        <w:numPr>
          <w:ilvl w:val="1"/>
          <w:numId w:val="8"/>
        </w:numPr>
      </w:pPr>
      <w:r>
        <w:t xml:space="preserve">Assumptions with </w:t>
      </w:r>
      <w:r w:rsidR="00F13CCE">
        <w:t>nontrivial</w:t>
      </w:r>
      <w:r>
        <w:t xml:space="preserve"> uncertainty</w:t>
      </w:r>
      <w:r w:rsidR="00775088">
        <w:t xml:space="preserve">, </w:t>
      </w:r>
      <w:r>
        <w:t>insufficient empirical support</w:t>
      </w:r>
      <w:r w:rsidR="00775088">
        <w:t>, or planned improvements</w:t>
      </w:r>
      <w:r>
        <w:t xml:space="preserve"> </w:t>
      </w:r>
      <w:r w:rsidR="00D47804">
        <w:t xml:space="preserve">are </w:t>
      </w:r>
      <w:r w:rsidR="00C059B9">
        <w:t>specifically noted</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0BCF24BA" w14:textId="032186AA" w:rsidR="00017FEA" w:rsidRDefault="00474DE9" w:rsidP="00737D83">
      <w:pPr>
        <w:pStyle w:val="Heading1"/>
      </w:pPr>
      <w:bookmarkStart w:id="2" w:name="_Toc307504966"/>
      <w:r>
        <w:t xml:space="preserve">2 </w:t>
      </w:r>
      <w:r w:rsidR="00515FE0">
        <w:t>Contents</w:t>
      </w:r>
      <w:bookmarkEnd w:id="2"/>
    </w:p>
    <w:p w14:paraId="680A123E" w14:textId="77777777" w:rsidR="003F14E8" w:rsidRDefault="00474DE9">
      <w:pPr>
        <w:pStyle w:val="TOC1"/>
        <w:tabs>
          <w:tab w:val="right" w:leader="dot" w:pos="8630"/>
        </w:tabs>
        <w:rPr>
          <w:noProof/>
          <w:lang w:eastAsia="ja-JP"/>
        </w:rPr>
      </w:pPr>
      <w:r>
        <w:fldChar w:fldCharType="begin"/>
      </w:r>
      <w:r>
        <w:instrText xml:space="preserve"> TOC \o "1-3" </w:instrText>
      </w:r>
      <w:r>
        <w:fldChar w:fldCharType="separate"/>
      </w:r>
      <w:r w:rsidR="003F14E8">
        <w:rPr>
          <w:noProof/>
        </w:rPr>
        <w:t>1 Introduction</w:t>
      </w:r>
      <w:r w:rsidR="003F14E8">
        <w:rPr>
          <w:noProof/>
        </w:rPr>
        <w:tab/>
      </w:r>
      <w:r w:rsidR="003F14E8">
        <w:rPr>
          <w:noProof/>
        </w:rPr>
        <w:fldChar w:fldCharType="begin"/>
      </w:r>
      <w:r w:rsidR="003F14E8">
        <w:rPr>
          <w:noProof/>
        </w:rPr>
        <w:instrText xml:space="preserve"> PAGEREF _Toc307504965 \h </w:instrText>
      </w:r>
      <w:r w:rsidR="003F14E8">
        <w:rPr>
          <w:noProof/>
        </w:rPr>
      </w:r>
      <w:r w:rsidR="003F14E8">
        <w:rPr>
          <w:noProof/>
        </w:rPr>
        <w:fldChar w:fldCharType="separate"/>
      </w:r>
      <w:r w:rsidR="003F14E8">
        <w:rPr>
          <w:noProof/>
        </w:rPr>
        <w:t>1</w:t>
      </w:r>
      <w:r w:rsidR="003F14E8">
        <w:rPr>
          <w:noProof/>
        </w:rPr>
        <w:fldChar w:fldCharType="end"/>
      </w:r>
    </w:p>
    <w:p w14:paraId="656ACF67" w14:textId="77777777" w:rsidR="003F14E8" w:rsidRDefault="003F14E8">
      <w:pPr>
        <w:pStyle w:val="TOC1"/>
        <w:tabs>
          <w:tab w:val="right" w:leader="dot" w:pos="8630"/>
        </w:tabs>
        <w:rPr>
          <w:noProof/>
          <w:lang w:eastAsia="ja-JP"/>
        </w:rPr>
      </w:pPr>
      <w:r>
        <w:rPr>
          <w:noProof/>
        </w:rPr>
        <w:t>2 Contents</w:t>
      </w:r>
      <w:r>
        <w:rPr>
          <w:noProof/>
        </w:rPr>
        <w:tab/>
      </w:r>
      <w:r>
        <w:rPr>
          <w:noProof/>
        </w:rPr>
        <w:fldChar w:fldCharType="begin"/>
      </w:r>
      <w:r>
        <w:rPr>
          <w:noProof/>
        </w:rPr>
        <w:instrText xml:space="preserve"> PAGEREF _Toc307504966 \h </w:instrText>
      </w:r>
      <w:r>
        <w:rPr>
          <w:noProof/>
        </w:rPr>
      </w:r>
      <w:r>
        <w:rPr>
          <w:noProof/>
        </w:rPr>
        <w:fldChar w:fldCharType="separate"/>
      </w:r>
      <w:r>
        <w:rPr>
          <w:noProof/>
        </w:rPr>
        <w:t>1</w:t>
      </w:r>
      <w:r>
        <w:rPr>
          <w:noProof/>
        </w:rPr>
        <w:fldChar w:fldCharType="end"/>
      </w:r>
    </w:p>
    <w:p w14:paraId="4DA39E6C" w14:textId="77777777" w:rsidR="003F14E8" w:rsidRDefault="003F14E8">
      <w:pPr>
        <w:pStyle w:val="TOC1"/>
        <w:tabs>
          <w:tab w:val="right" w:leader="dot" w:pos="8630"/>
        </w:tabs>
        <w:rPr>
          <w:noProof/>
          <w:lang w:eastAsia="ja-JP"/>
        </w:rPr>
      </w:pPr>
      <w:r>
        <w:rPr>
          <w:noProof/>
        </w:rPr>
        <w:t>2 Economic Drivers of Customer Adoption</w:t>
      </w:r>
      <w:r>
        <w:rPr>
          <w:noProof/>
        </w:rPr>
        <w:tab/>
      </w:r>
      <w:r>
        <w:rPr>
          <w:noProof/>
        </w:rPr>
        <w:fldChar w:fldCharType="begin"/>
      </w:r>
      <w:r>
        <w:rPr>
          <w:noProof/>
        </w:rPr>
        <w:instrText xml:space="preserve"> PAGEREF _Toc307504967 \h </w:instrText>
      </w:r>
      <w:r>
        <w:rPr>
          <w:noProof/>
        </w:rPr>
      </w:r>
      <w:r>
        <w:rPr>
          <w:noProof/>
        </w:rPr>
        <w:fldChar w:fldCharType="separate"/>
      </w:r>
      <w:r>
        <w:rPr>
          <w:noProof/>
        </w:rPr>
        <w:t>2</w:t>
      </w:r>
      <w:r>
        <w:rPr>
          <w:noProof/>
        </w:rPr>
        <w:fldChar w:fldCharType="end"/>
      </w:r>
    </w:p>
    <w:p w14:paraId="190186AE" w14:textId="77777777" w:rsidR="003F14E8" w:rsidRDefault="003F14E8">
      <w:pPr>
        <w:pStyle w:val="TOC2"/>
        <w:tabs>
          <w:tab w:val="right" w:leader="dot" w:pos="8630"/>
        </w:tabs>
        <w:rPr>
          <w:noProof/>
          <w:lang w:eastAsia="ja-JP"/>
        </w:rPr>
      </w:pPr>
      <w:r>
        <w:rPr>
          <w:noProof/>
        </w:rPr>
        <w:t>2.1 System Financing (Wind-Specific)</w:t>
      </w:r>
      <w:r>
        <w:rPr>
          <w:noProof/>
        </w:rPr>
        <w:tab/>
      </w:r>
      <w:r>
        <w:rPr>
          <w:noProof/>
        </w:rPr>
        <w:fldChar w:fldCharType="begin"/>
      </w:r>
      <w:r>
        <w:rPr>
          <w:noProof/>
        </w:rPr>
        <w:instrText xml:space="preserve"> PAGEREF _Toc307504968 \h </w:instrText>
      </w:r>
      <w:r>
        <w:rPr>
          <w:noProof/>
        </w:rPr>
      </w:r>
      <w:r>
        <w:rPr>
          <w:noProof/>
        </w:rPr>
        <w:fldChar w:fldCharType="separate"/>
      </w:r>
      <w:r>
        <w:rPr>
          <w:noProof/>
        </w:rPr>
        <w:t>2</w:t>
      </w:r>
      <w:r>
        <w:rPr>
          <w:noProof/>
        </w:rPr>
        <w:fldChar w:fldCharType="end"/>
      </w:r>
    </w:p>
    <w:p w14:paraId="6A9874D6" w14:textId="77777777" w:rsidR="003F14E8" w:rsidRDefault="003F14E8">
      <w:pPr>
        <w:pStyle w:val="TOC2"/>
        <w:tabs>
          <w:tab w:val="right" w:leader="dot" w:pos="8630"/>
        </w:tabs>
        <w:rPr>
          <w:noProof/>
          <w:lang w:eastAsia="ja-JP"/>
        </w:rPr>
      </w:pPr>
      <w:r>
        <w:rPr>
          <w:noProof/>
        </w:rPr>
        <w:t>2.2 System Installation Costs (Wind-Specific)</w:t>
      </w:r>
      <w:r>
        <w:rPr>
          <w:noProof/>
        </w:rPr>
        <w:tab/>
      </w:r>
      <w:r>
        <w:rPr>
          <w:noProof/>
        </w:rPr>
        <w:fldChar w:fldCharType="begin"/>
      </w:r>
      <w:r>
        <w:rPr>
          <w:noProof/>
        </w:rPr>
        <w:instrText xml:space="preserve"> PAGEREF _Toc307504969 \h </w:instrText>
      </w:r>
      <w:r>
        <w:rPr>
          <w:noProof/>
        </w:rPr>
      </w:r>
      <w:r>
        <w:rPr>
          <w:noProof/>
        </w:rPr>
        <w:fldChar w:fldCharType="separate"/>
      </w:r>
      <w:r>
        <w:rPr>
          <w:noProof/>
        </w:rPr>
        <w:t>4</w:t>
      </w:r>
      <w:r>
        <w:rPr>
          <w:noProof/>
        </w:rPr>
        <w:fldChar w:fldCharType="end"/>
      </w:r>
    </w:p>
    <w:p w14:paraId="75C71559" w14:textId="77777777" w:rsidR="003F14E8" w:rsidRDefault="003F14E8">
      <w:pPr>
        <w:pStyle w:val="TOC2"/>
        <w:tabs>
          <w:tab w:val="right" w:leader="dot" w:pos="8630"/>
        </w:tabs>
        <w:rPr>
          <w:noProof/>
          <w:lang w:eastAsia="ja-JP"/>
        </w:rPr>
      </w:pPr>
      <w:r>
        <w:rPr>
          <w:noProof/>
        </w:rPr>
        <w:t>2.3 System Operation and Maintenance (O&amp;M) Costs (Wind-Specific)</w:t>
      </w:r>
      <w:r>
        <w:rPr>
          <w:noProof/>
        </w:rPr>
        <w:tab/>
      </w:r>
      <w:r>
        <w:rPr>
          <w:noProof/>
        </w:rPr>
        <w:fldChar w:fldCharType="begin"/>
      </w:r>
      <w:r>
        <w:rPr>
          <w:noProof/>
        </w:rPr>
        <w:instrText xml:space="preserve"> PAGEREF _Toc307504970 \h </w:instrText>
      </w:r>
      <w:r>
        <w:rPr>
          <w:noProof/>
        </w:rPr>
      </w:r>
      <w:r>
        <w:rPr>
          <w:noProof/>
        </w:rPr>
        <w:fldChar w:fldCharType="separate"/>
      </w:r>
      <w:r>
        <w:rPr>
          <w:noProof/>
        </w:rPr>
        <w:t>6</w:t>
      </w:r>
      <w:r>
        <w:rPr>
          <w:noProof/>
        </w:rPr>
        <w:fldChar w:fldCharType="end"/>
      </w:r>
    </w:p>
    <w:p w14:paraId="718AEED7" w14:textId="77777777" w:rsidR="003F14E8" w:rsidRDefault="003F14E8">
      <w:pPr>
        <w:pStyle w:val="TOC2"/>
        <w:tabs>
          <w:tab w:val="right" w:leader="dot" w:pos="8630"/>
        </w:tabs>
        <w:rPr>
          <w:noProof/>
          <w:lang w:eastAsia="ja-JP"/>
        </w:rPr>
      </w:pPr>
      <w:r>
        <w:rPr>
          <w:noProof/>
        </w:rPr>
        <w:t>2.4 Current and Future Technology Performance (Wind-Specific)</w:t>
      </w:r>
      <w:r>
        <w:rPr>
          <w:noProof/>
        </w:rPr>
        <w:tab/>
      </w:r>
      <w:r>
        <w:rPr>
          <w:noProof/>
        </w:rPr>
        <w:fldChar w:fldCharType="begin"/>
      </w:r>
      <w:r>
        <w:rPr>
          <w:noProof/>
        </w:rPr>
        <w:instrText xml:space="preserve"> PAGEREF _Toc307504971 \h </w:instrText>
      </w:r>
      <w:r>
        <w:rPr>
          <w:noProof/>
        </w:rPr>
      </w:r>
      <w:r>
        <w:rPr>
          <w:noProof/>
        </w:rPr>
        <w:fldChar w:fldCharType="separate"/>
      </w:r>
      <w:r>
        <w:rPr>
          <w:noProof/>
        </w:rPr>
        <w:t>8</w:t>
      </w:r>
      <w:r>
        <w:rPr>
          <w:noProof/>
        </w:rPr>
        <w:fldChar w:fldCharType="end"/>
      </w:r>
    </w:p>
    <w:p w14:paraId="79F9A384" w14:textId="77777777" w:rsidR="003F14E8" w:rsidRDefault="003F14E8">
      <w:pPr>
        <w:pStyle w:val="TOC2"/>
        <w:tabs>
          <w:tab w:val="right" w:leader="dot" w:pos="8630"/>
        </w:tabs>
        <w:rPr>
          <w:noProof/>
          <w:lang w:eastAsia="ja-JP"/>
        </w:rPr>
      </w:pPr>
      <w:r>
        <w:rPr>
          <w:noProof/>
        </w:rPr>
        <w:t>2.6 Electricity Rates and Rate Escalations (Technology Agnostic)</w:t>
      </w:r>
      <w:r>
        <w:rPr>
          <w:noProof/>
        </w:rPr>
        <w:tab/>
      </w:r>
      <w:r>
        <w:rPr>
          <w:noProof/>
        </w:rPr>
        <w:fldChar w:fldCharType="begin"/>
      </w:r>
      <w:r>
        <w:rPr>
          <w:noProof/>
        </w:rPr>
        <w:instrText xml:space="preserve"> PAGEREF _Toc307504972 \h </w:instrText>
      </w:r>
      <w:r>
        <w:rPr>
          <w:noProof/>
        </w:rPr>
      </w:r>
      <w:r>
        <w:rPr>
          <w:noProof/>
        </w:rPr>
        <w:fldChar w:fldCharType="separate"/>
      </w:r>
      <w:r>
        <w:rPr>
          <w:noProof/>
        </w:rPr>
        <w:t>12</w:t>
      </w:r>
      <w:r>
        <w:rPr>
          <w:noProof/>
        </w:rPr>
        <w:fldChar w:fldCharType="end"/>
      </w:r>
    </w:p>
    <w:p w14:paraId="7902F111" w14:textId="77777777" w:rsidR="003F14E8" w:rsidRDefault="003F14E8">
      <w:pPr>
        <w:pStyle w:val="TOC2"/>
        <w:tabs>
          <w:tab w:val="right" w:leader="dot" w:pos="8630"/>
        </w:tabs>
        <w:rPr>
          <w:noProof/>
          <w:lang w:eastAsia="ja-JP"/>
        </w:rPr>
      </w:pPr>
      <w:r>
        <w:rPr>
          <w:noProof/>
        </w:rPr>
        <w:t>2.7 Wind Incentives (Wind-Specific)</w:t>
      </w:r>
      <w:r>
        <w:rPr>
          <w:noProof/>
        </w:rPr>
        <w:tab/>
      </w:r>
      <w:r>
        <w:rPr>
          <w:noProof/>
        </w:rPr>
        <w:fldChar w:fldCharType="begin"/>
      </w:r>
      <w:r>
        <w:rPr>
          <w:noProof/>
        </w:rPr>
        <w:instrText xml:space="preserve"> PAGEREF _Toc307504973 \h </w:instrText>
      </w:r>
      <w:r>
        <w:rPr>
          <w:noProof/>
        </w:rPr>
      </w:r>
      <w:r>
        <w:rPr>
          <w:noProof/>
        </w:rPr>
        <w:fldChar w:fldCharType="separate"/>
      </w:r>
      <w:r>
        <w:rPr>
          <w:noProof/>
        </w:rPr>
        <w:t>14</w:t>
      </w:r>
      <w:r>
        <w:rPr>
          <w:noProof/>
        </w:rPr>
        <w:fldChar w:fldCharType="end"/>
      </w:r>
    </w:p>
    <w:p w14:paraId="00E70B98" w14:textId="77777777" w:rsidR="003F14E8" w:rsidRDefault="003F14E8">
      <w:pPr>
        <w:pStyle w:val="TOC2"/>
        <w:tabs>
          <w:tab w:val="right" w:leader="dot" w:pos="8630"/>
        </w:tabs>
        <w:rPr>
          <w:noProof/>
          <w:lang w:eastAsia="ja-JP"/>
        </w:rPr>
      </w:pPr>
      <w:r>
        <w:rPr>
          <w:noProof/>
        </w:rPr>
        <w:t>2.9 Net Energy Metering Policies (Technology Agnostic)</w:t>
      </w:r>
      <w:r>
        <w:rPr>
          <w:noProof/>
        </w:rPr>
        <w:tab/>
      </w:r>
      <w:r>
        <w:rPr>
          <w:noProof/>
        </w:rPr>
        <w:fldChar w:fldCharType="begin"/>
      </w:r>
      <w:r>
        <w:rPr>
          <w:noProof/>
        </w:rPr>
        <w:instrText xml:space="preserve"> PAGEREF _Toc307504974 \h </w:instrText>
      </w:r>
      <w:r>
        <w:rPr>
          <w:noProof/>
        </w:rPr>
      </w:r>
      <w:r>
        <w:rPr>
          <w:noProof/>
        </w:rPr>
        <w:fldChar w:fldCharType="separate"/>
      </w:r>
      <w:r>
        <w:rPr>
          <w:noProof/>
        </w:rPr>
        <w:t>15</w:t>
      </w:r>
      <w:r>
        <w:rPr>
          <w:noProof/>
        </w:rPr>
        <w:fldChar w:fldCharType="end"/>
      </w:r>
    </w:p>
    <w:p w14:paraId="3AB487C8" w14:textId="77777777" w:rsidR="003F14E8" w:rsidRDefault="003F14E8">
      <w:pPr>
        <w:pStyle w:val="TOC2"/>
        <w:tabs>
          <w:tab w:val="right" w:leader="dot" w:pos="8630"/>
        </w:tabs>
        <w:rPr>
          <w:noProof/>
          <w:lang w:eastAsia="ja-JP"/>
        </w:rPr>
      </w:pPr>
      <w:r>
        <w:rPr>
          <w:noProof/>
        </w:rPr>
        <w:t>2.10 Maximum Market Share Curves (Technology Agnostic)</w:t>
      </w:r>
      <w:r>
        <w:rPr>
          <w:noProof/>
        </w:rPr>
        <w:tab/>
      </w:r>
      <w:r>
        <w:rPr>
          <w:noProof/>
        </w:rPr>
        <w:fldChar w:fldCharType="begin"/>
      </w:r>
      <w:r>
        <w:rPr>
          <w:noProof/>
        </w:rPr>
        <w:instrText xml:space="preserve"> PAGEREF _Toc307504975 \h </w:instrText>
      </w:r>
      <w:r>
        <w:rPr>
          <w:noProof/>
        </w:rPr>
      </w:r>
      <w:r>
        <w:rPr>
          <w:noProof/>
        </w:rPr>
        <w:fldChar w:fldCharType="separate"/>
      </w:r>
      <w:r>
        <w:rPr>
          <w:noProof/>
        </w:rPr>
        <w:t>18</w:t>
      </w:r>
      <w:r>
        <w:rPr>
          <w:noProof/>
        </w:rPr>
        <w:fldChar w:fldCharType="end"/>
      </w:r>
    </w:p>
    <w:p w14:paraId="3AC9DB06" w14:textId="77777777" w:rsidR="003F14E8" w:rsidRDefault="003F14E8">
      <w:pPr>
        <w:pStyle w:val="TOC1"/>
        <w:tabs>
          <w:tab w:val="right" w:leader="dot" w:pos="8630"/>
        </w:tabs>
        <w:rPr>
          <w:noProof/>
          <w:lang w:eastAsia="ja-JP"/>
        </w:rPr>
      </w:pPr>
      <w:r>
        <w:rPr>
          <w:noProof/>
        </w:rPr>
        <w:t>3 Non-Economic Drivers of Customer Adoption</w:t>
      </w:r>
      <w:r>
        <w:rPr>
          <w:noProof/>
        </w:rPr>
        <w:tab/>
      </w:r>
      <w:r>
        <w:rPr>
          <w:noProof/>
        </w:rPr>
        <w:fldChar w:fldCharType="begin"/>
      </w:r>
      <w:r>
        <w:rPr>
          <w:noProof/>
        </w:rPr>
        <w:instrText xml:space="preserve"> PAGEREF _Toc307504976 \h </w:instrText>
      </w:r>
      <w:r>
        <w:rPr>
          <w:noProof/>
        </w:rPr>
      </w:r>
      <w:r>
        <w:rPr>
          <w:noProof/>
        </w:rPr>
        <w:fldChar w:fldCharType="separate"/>
      </w:r>
      <w:r>
        <w:rPr>
          <w:noProof/>
        </w:rPr>
        <w:t>20</w:t>
      </w:r>
      <w:r>
        <w:rPr>
          <w:noProof/>
        </w:rPr>
        <w:fldChar w:fldCharType="end"/>
      </w:r>
    </w:p>
    <w:p w14:paraId="7208774D" w14:textId="1AAD901D" w:rsidR="00880E58" w:rsidRPr="00182FBA" w:rsidRDefault="00474DE9" w:rsidP="00737D83">
      <w:pPr>
        <w:pStyle w:val="Heading1"/>
      </w:pPr>
      <w:r>
        <w:fldChar w:fldCharType="end"/>
      </w:r>
      <w:r w:rsidR="00CB7458">
        <w:br w:type="column"/>
      </w:r>
      <w:bookmarkStart w:id="3" w:name="_Toc307504967"/>
      <w:r w:rsidR="005A355F">
        <w:lastRenderedPageBreak/>
        <w:t xml:space="preserve">2 </w:t>
      </w:r>
      <w:r w:rsidR="00880E58" w:rsidRPr="00182FBA">
        <w:t xml:space="preserve">Economic Drivers of </w:t>
      </w:r>
      <w:r w:rsidR="00341B5E">
        <w:t xml:space="preserve">Customer </w:t>
      </w:r>
      <w:r w:rsidR="00880E58" w:rsidRPr="00182FBA">
        <w:t>Adoption</w:t>
      </w:r>
      <w:bookmarkEnd w:id="3"/>
    </w:p>
    <w:p w14:paraId="3B10443F" w14:textId="09A15CB2" w:rsidR="00880E58" w:rsidRPr="004F18D3" w:rsidRDefault="007216D9" w:rsidP="00F367D2">
      <w:pPr>
        <w:pStyle w:val="Heading2"/>
      </w:pPr>
      <w:bookmarkStart w:id="4" w:name="_Toc307504968"/>
      <w:commentRangeStart w:id="5"/>
      <w:r w:rsidRPr="00154C82">
        <w:rPr>
          <w:highlight w:val="lightGray"/>
        </w:rPr>
        <w:t xml:space="preserve">2.1 </w:t>
      </w:r>
      <w:r w:rsidR="00784801" w:rsidRPr="00154C82">
        <w:rPr>
          <w:highlight w:val="lightGray"/>
        </w:rPr>
        <w:t xml:space="preserve">System </w:t>
      </w:r>
      <w:r w:rsidR="00880E58" w:rsidRPr="00154C82">
        <w:rPr>
          <w:highlight w:val="lightGray"/>
        </w:rPr>
        <w:t>Financing</w:t>
      </w:r>
      <w:commentRangeEnd w:id="5"/>
      <w:r w:rsidR="00471AA6" w:rsidRPr="00154C82">
        <w:rPr>
          <w:rStyle w:val="CommentReference"/>
          <w:rFonts w:asciiTheme="minorHAnsi" w:eastAsiaTheme="minorEastAsia" w:hAnsiTheme="minorHAnsi" w:cstheme="minorBidi"/>
          <w:b w:val="0"/>
          <w:bCs w:val="0"/>
          <w:color w:val="auto"/>
          <w:highlight w:val="lightGray"/>
        </w:rPr>
        <w:commentReference w:id="5"/>
      </w:r>
      <w:r w:rsidR="00AD3F67" w:rsidRPr="00154C82">
        <w:rPr>
          <w:highlight w:val="lightGray"/>
        </w:rPr>
        <w:t xml:space="preserve"> (Wind-Specific)</w:t>
      </w:r>
      <w:bookmarkEnd w:id="4"/>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dGen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59B5B1B4" w14:textId="070BD54E" w:rsidR="00E362F1" w:rsidRPr="0037109B" w:rsidRDefault="00E362F1" w:rsidP="00737D83">
      <w:pPr>
        <w:pStyle w:val="NRELTableCaption"/>
        <w:numPr>
          <w:ilvl w:val="0"/>
          <w:numId w:val="2"/>
        </w:numPr>
        <w:jc w:val="left"/>
        <w:rPr>
          <w:rFonts w:ascii="Cambria" w:hAnsi="Cambria"/>
          <w:b w:val="0"/>
          <w:sz w:val="24"/>
          <w:szCs w:val="24"/>
        </w:rPr>
      </w:pPr>
      <w:r w:rsidRPr="0037109B">
        <w:rPr>
          <w:rFonts w:ascii="Cambria" w:hAnsi="Cambria"/>
          <w:b w:val="0"/>
          <w:sz w:val="24"/>
          <w:szCs w:val="24"/>
        </w:rPr>
        <w:t>Host-owned: 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1D468A49" w:rsidR="007E0EFD" w:rsidRPr="00154C82" w:rsidRDefault="001151E4" w:rsidP="00737D83">
      <w:pPr>
        <w:rPr>
          <w:color w:val="FF0000"/>
          <w:highlight w:val="lightGray"/>
        </w:rPr>
      </w:pPr>
      <w:r>
        <w:t>The default settings for</w:t>
      </w:r>
      <w:r w:rsidR="0037109B">
        <w:t xml:space="preserve"> near-term</w:t>
      </w:r>
      <w:r>
        <w:t xml:space="preserve">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 xml:space="preserve">model years </w:t>
      </w:r>
      <w:commentRangeStart w:id="6"/>
      <w:r w:rsidR="00E07C17" w:rsidRPr="00154C82">
        <w:rPr>
          <w:color w:val="FF0000"/>
          <w:highlight w:val="lightGray"/>
        </w:rPr>
        <w:t xml:space="preserve">2014-2020. </w:t>
      </w:r>
    </w:p>
    <w:p w14:paraId="448E3ABD" w14:textId="77777777" w:rsidR="007E0EFD" w:rsidRPr="00154C82" w:rsidRDefault="007E0EFD" w:rsidP="00737D83">
      <w:pPr>
        <w:rPr>
          <w:color w:val="FF0000"/>
          <w:highlight w:val="lightGray"/>
        </w:rPr>
      </w:pPr>
    </w:p>
    <w:p w14:paraId="222ABAF5" w14:textId="7CD9A4A5" w:rsidR="00F2071F" w:rsidRPr="00154C82" w:rsidRDefault="00E07C17" w:rsidP="00737D83">
      <w:pPr>
        <w:rPr>
          <w:color w:val="FF0000"/>
          <w:highlight w:val="lightGray"/>
        </w:rPr>
      </w:pPr>
      <w:r w:rsidRPr="00154C82">
        <w:rPr>
          <w:color w:val="FF0000"/>
          <w:highlight w:val="lightGray"/>
        </w:rPr>
        <w:t xml:space="preserve">These settings are based on… </w:t>
      </w:r>
    </w:p>
    <w:p w14:paraId="5E13F3B5" w14:textId="0933B380" w:rsidR="00E07C17" w:rsidRPr="00154C82" w:rsidRDefault="00E07C17" w:rsidP="00737D83">
      <w:pPr>
        <w:pStyle w:val="ListParagraph"/>
        <w:numPr>
          <w:ilvl w:val="0"/>
          <w:numId w:val="6"/>
        </w:numPr>
        <w:rPr>
          <w:color w:val="FF0000"/>
          <w:highlight w:val="lightGray"/>
        </w:rPr>
      </w:pPr>
      <w:r w:rsidRPr="00154C82">
        <w:rPr>
          <w:color w:val="FF0000"/>
          <w:highlight w:val="lightGray"/>
        </w:rPr>
        <w:t>Commercial/industrial Loans: Based on a 12-year historical average of real yields of corporate bonds rated Aa and A by Moody’s (SIFMA 2010).</w:t>
      </w:r>
    </w:p>
    <w:p w14:paraId="1F79F62A" w14:textId="3747087D" w:rsidR="00E07C17" w:rsidRPr="00154C82" w:rsidRDefault="00E07C17" w:rsidP="00737D83">
      <w:pPr>
        <w:pStyle w:val="ListParagraph"/>
        <w:numPr>
          <w:ilvl w:val="0"/>
          <w:numId w:val="6"/>
        </w:numPr>
        <w:rPr>
          <w:color w:val="FF0000"/>
          <w:highlight w:val="lightGray"/>
        </w:rPr>
      </w:pPr>
      <w:r w:rsidRPr="00154C82">
        <w:rPr>
          <w:color w:val="FF0000"/>
          <w:highlight w:val="lightGray"/>
        </w:rPr>
        <w:t xml:space="preserve">Residential Loans: Based on a 3-year historical average of real rates for $30,000 U.S. home equity loans. Accessed January 20, 2010: </w:t>
      </w:r>
      <w:hyperlink r:id="rId9" w:history="1">
        <w:r w:rsidRPr="00154C82">
          <w:rPr>
            <w:rStyle w:val="Hyperlink"/>
            <w:highlight w:val="lightGray"/>
          </w:rPr>
          <w:t>www.wsjprimerate.us/home_equity_loan_rates.htm</w:t>
        </w:r>
      </w:hyperlink>
      <w:r w:rsidRPr="00154C82">
        <w:rPr>
          <w:color w:val="FF0000"/>
          <w:highlight w:val="lightGray"/>
        </w:rPr>
        <w:t>.</w:t>
      </w:r>
    </w:p>
    <w:p w14:paraId="47A51E1A" w14:textId="709A4F3D" w:rsidR="003965B1" w:rsidRPr="00154C82" w:rsidRDefault="003965B1" w:rsidP="00737D83">
      <w:pPr>
        <w:pStyle w:val="ListParagraph"/>
        <w:numPr>
          <w:ilvl w:val="0"/>
          <w:numId w:val="6"/>
        </w:numPr>
        <w:rPr>
          <w:color w:val="FF0000"/>
          <w:highlight w:val="lightGray"/>
        </w:rPr>
      </w:pPr>
      <w:r w:rsidRPr="00154C82">
        <w:rPr>
          <w:color w:val="FF0000"/>
          <w:highlight w:val="lightGray"/>
        </w:rPr>
        <w:t>Leasing hurdle rate</w:t>
      </w:r>
      <w:r w:rsidR="0064090E" w:rsidRPr="00154C82">
        <w:rPr>
          <w:color w:val="FF0000"/>
          <w:highlight w:val="lightGray"/>
        </w:rPr>
        <w:t xml:space="preserve"> and term</w:t>
      </w:r>
      <w:r w:rsidR="00A764BD" w:rsidRPr="00154C82">
        <w:rPr>
          <w:color w:val="FF0000"/>
          <w:highlight w:val="lightGray"/>
        </w:rPr>
        <w:t>*</w:t>
      </w:r>
      <w:r w:rsidR="00E07C17" w:rsidRPr="00154C82">
        <w:rPr>
          <w:color w:val="FF0000"/>
          <w:highlight w:val="lightGray"/>
        </w:rPr>
        <w:t>:</w:t>
      </w:r>
    </w:p>
    <w:p w14:paraId="4841A72F" w14:textId="38324207" w:rsidR="00E07C17" w:rsidRPr="00154C82" w:rsidRDefault="0064090E" w:rsidP="00737D83">
      <w:pPr>
        <w:pStyle w:val="ListParagraph"/>
        <w:numPr>
          <w:ilvl w:val="1"/>
          <w:numId w:val="6"/>
        </w:numPr>
        <w:rPr>
          <w:color w:val="FF0000"/>
          <w:highlight w:val="lightGray"/>
        </w:rPr>
      </w:pPr>
      <w:r w:rsidRPr="00154C82">
        <w:rPr>
          <w:color w:val="FF0000"/>
          <w:highlight w:val="lightGray"/>
        </w:rPr>
        <w:t>Some source..?</w:t>
      </w:r>
    </w:p>
    <w:p w14:paraId="496EBC15" w14:textId="78A11414" w:rsidR="0064090E" w:rsidRPr="00154C82" w:rsidRDefault="0064090E" w:rsidP="00737D83">
      <w:pPr>
        <w:pStyle w:val="ListParagraph"/>
        <w:numPr>
          <w:ilvl w:val="0"/>
          <w:numId w:val="6"/>
        </w:numPr>
        <w:rPr>
          <w:color w:val="FF0000"/>
          <w:highlight w:val="lightGray"/>
        </w:rPr>
      </w:pPr>
      <w:r w:rsidRPr="00154C82">
        <w:rPr>
          <w:color w:val="FF0000"/>
          <w:highlight w:val="lightGray"/>
        </w:rPr>
        <w:t>Discount Rate</w:t>
      </w:r>
    </w:p>
    <w:commentRangeEnd w:id="6"/>
    <w:p w14:paraId="5D7D46A2" w14:textId="77777777" w:rsidR="00E07C17" w:rsidRDefault="00154C82" w:rsidP="00737D83">
      <w:pPr>
        <w:rPr>
          <w:bCs/>
        </w:rPr>
      </w:pPr>
      <w:r>
        <w:rPr>
          <w:rStyle w:val="CommentReference"/>
        </w:rPr>
        <w:commentReference w:id="6"/>
      </w: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015E2F43" w14:textId="4398A7C7" w:rsidR="000576C1" w:rsidRPr="00F367D2" w:rsidRDefault="00A764BD" w:rsidP="00737D83">
      <w:pPr>
        <w:rPr>
          <w:color w:val="FF0000"/>
        </w:rPr>
      </w:pPr>
      <w:r w:rsidRPr="00A764BD">
        <w:rPr>
          <w:color w:val="FF0000"/>
        </w:rPr>
        <w:t xml:space="preserve">Add </w:t>
      </w:r>
      <w:r>
        <w:rPr>
          <w:color w:val="FF0000"/>
        </w:rPr>
        <w:t xml:space="preserve">tables giving assumptions and supporting </w:t>
      </w:r>
      <w:r w:rsidRPr="00A764BD">
        <w:rPr>
          <w:color w:val="FF0000"/>
        </w:rPr>
        <w:t>text here</w:t>
      </w:r>
    </w:p>
    <w:p w14:paraId="7CE0ED97" w14:textId="2EC8DB1D" w:rsidR="000576C1" w:rsidRPr="000576C1" w:rsidRDefault="000576C1" w:rsidP="00737D83">
      <w:pPr>
        <w:pStyle w:val="Heading4"/>
      </w:pPr>
      <w:r w:rsidRPr="000576C1">
        <w:t>Planned Future Work:</w:t>
      </w:r>
    </w:p>
    <w:p w14:paraId="0A7C416A" w14:textId="52694F90" w:rsidR="000576C1" w:rsidRDefault="003A6345" w:rsidP="00737D83">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p>
    <w:p w14:paraId="7766BA36" w14:textId="13DA840C" w:rsidR="00893A77" w:rsidRPr="00CB7458" w:rsidRDefault="00D579C8" w:rsidP="00F367D2">
      <w:pPr>
        <w:pStyle w:val="Heading2"/>
      </w:pPr>
      <w:r>
        <w:br w:type="column"/>
      </w:r>
      <w:bookmarkStart w:id="8" w:name="_Toc307504969"/>
      <w:r w:rsidR="00D45231" w:rsidRPr="00CB7458">
        <w:t xml:space="preserve">2.2 </w:t>
      </w:r>
      <w:r w:rsidR="00893A77" w:rsidRPr="00CB7458">
        <w:t>System Installation Costs</w:t>
      </w:r>
      <w:r w:rsidR="00B35CD1">
        <w:t xml:space="preserve"> (Wind-Specific)</w:t>
      </w:r>
      <w:bookmarkEnd w:id="8"/>
    </w:p>
    <w:p w14:paraId="1B12EF98" w14:textId="74DE1832" w:rsidR="00CB7458" w:rsidRDefault="00CB7458" w:rsidP="00737D83">
      <w:pPr>
        <w:pStyle w:val="Heading4"/>
      </w:pPr>
      <w:r>
        <w:t>Summary</w:t>
      </w:r>
    </w:p>
    <w:p w14:paraId="00795851" w14:textId="624242BD" w:rsidR="00996AF4" w:rsidRDefault="00996AF4" w:rsidP="00737D83">
      <w:r>
        <w:t xml:space="preserve">Distributed wind system installation costs are </w:t>
      </w:r>
      <w:r w:rsidR="00F367D2">
        <w:t xml:space="preserve">parameterized in dGen </w:t>
      </w:r>
      <w:r w:rsidR="009A43EE">
        <w:t>with</w:t>
      </w:r>
      <w:r>
        <w:t xml:space="preserve"> three </w:t>
      </w:r>
      <w:r w:rsidR="00F367D2">
        <w:t>inputs</w:t>
      </w:r>
      <w:r>
        <w:t xml:space="preserve">: capital costs ($/kw), default tower height (hub height in m), and </w:t>
      </w:r>
      <w:r w:rsidR="00847526">
        <w:t xml:space="preserve">marginal </w:t>
      </w:r>
      <w:r>
        <w:t>cost</w:t>
      </w:r>
      <w:r w:rsidR="00847526">
        <w:t>s</w:t>
      </w:r>
      <w:r>
        <w:t xml:space="preserve"> for higher towers above the default height (</w:t>
      </w:r>
      <w:r w:rsidR="00ED6B82">
        <w:t xml:space="preserve">$/kw/m). </w:t>
      </w:r>
      <w:r>
        <w:t xml:space="preserve">Costs are </w:t>
      </w:r>
      <w:r w:rsidR="0037109B">
        <w:t>customizable for</w:t>
      </w:r>
      <w:r w:rsidR="00D458AD">
        <w:t xml:space="preserve"> each rated turbine size </w:t>
      </w:r>
      <w:r>
        <w:t>(2.5, 5, 10, 20, 50, 100, 250, 500, 750, 1000, and 1500 kw) and model year.</w:t>
      </w:r>
      <w:r w:rsidR="00ED6B82" w:rsidRPr="00ED6B82">
        <w:t xml:space="preserve"> </w:t>
      </w:r>
    </w:p>
    <w:p w14:paraId="3E265D63" w14:textId="2783B3AE" w:rsidR="00996AF4" w:rsidRDefault="00E333A3" w:rsidP="00E333A3">
      <w:pPr>
        <w:pStyle w:val="Heading4"/>
      </w:pPr>
      <w:r>
        <w:t>Default Settings (</w:t>
      </w:r>
      <w:r w:rsidR="00583EB3">
        <w:t>2014</w:t>
      </w:r>
      <w:r>
        <w:t>)</w:t>
      </w:r>
    </w:p>
    <w:p w14:paraId="3069A0B2" w14:textId="77777777" w:rsidR="009503B9" w:rsidRDefault="00E333A3" w:rsidP="00454A90">
      <w:r>
        <w:t xml:space="preserve">Initial system costs </w:t>
      </w:r>
      <w:r w:rsidR="003404A0">
        <w:t xml:space="preserve">for the first model year (2014) are detailed in </w:t>
      </w:r>
      <w:r w:rsidR="00454A90">
        <w:t>the table below</w:t>
      </w:r>
      <w:r w:rsidR="003404A0">
        <w:t>.</w:t>
      </w:r>
      <w:r w:rsidR="00454A90">
        <w:t xml:space="preserve"> </w:t>
      </w:r>
    </w:p>
    <w:p w14:paraId="227B06CD" w14:textId="77777777" w:rsidR="00166AD3" w:rsidRDefault="00166AD3" w:rsidP="00454A9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166AD3" w:rsidRPr="00800AF2" w14:paraId="209A9301" w14:textId="77777777" w:rsidTr="00FF036B">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636090F5" w14:textId="77777777" w:rsidR="00166AD3" w:rsidRPr="00CD62B9" w:rsidRDefault="00166AD3" w:rsidP="00FF036B">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0AA60410"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1DF6935C" w14:textId="77777777" w:rsidR="00166AD3"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177FF715"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23369F1F" w14:textId="072E6413" w:rsidR="00166AD3" w:rsidRPr="00CD62B9" w:rsidRDefault="006071CE"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Default (minimum)</w:t>
            </w:r>
            <w:r w:rsidR="00166AD3" w:rsidRPr="00CD62B9">
              <w:rPr>
                <w:rFonts w:asciiTheme="minorHAnsi" w:hAnsiTheme="minorHAnsi"/>
                <w:b/>
                <w:bCs/>
                <w:sz w:val="20"/>
                <w:szCs w:val="20"/>
              </w:rPr>
              <w:t xml:space="preserve"> Hub </w:t>
            </w:r>
            <w:r w:rsidR="00166AD3">
              <w:rPr>
                <w:rFonts w:asciiTheme="minorHAnsi" w:hAnsiTheme="minorHAnsi"/>
                <w:b/>
                <w:bCs/>
                <w:sz w:val="20"/>
                <w:szCs w:val="20"/>
              </w:rPr>
              <w:t>Height</w:t>
            </w:r>
            <w:r w:rsidR="00166AD3" w:rsidRPr="00CD62B9">
              <w:rPr>
                <w:rFonts w:asciiTheme="minorHAnsi" w:hAnsiTheme="minorHAnsi"/>
                <w:b/>
                <w:bCs/>
                <w:sz w:val="20"/>
                <w:szCs w:val="20"/>
              </w:rPr>
              <w:t xml:space="preserve"> </w:t>
            </w:r>
            <w:r w:rsidR="00166AD3">
              <w:rPr>
                <w:rFonts w:asciiTheme="minorHAnsi" w:hAnsiTheme="minorHAnsi"/>
                <w:b/>
                <w:bCs/>
                <w:sz w:val="20"/>
                <w:szCs w:val="20"/>
              </w:rPr>
              <w:t>(</w:t>
            </w:r>
            <w:r w:rsidR="00166AD3" w:rsidRPr="00CD62B9">
              <w:rPr>
                <w:rFonts w:asciiTheme="minorHAnsi" w:hAnsiTheme="minorHAnsi"/>
                <w:b/>
                <w:bCs/>
                <w:sz w:val="20"/>
                <w:szCs w:val="20"/>
              </w:rPr>
              <w:t>m</w:t>
            </w:r>
            <w:r w:rsidR="00166AD3">
              <w:rPr>
                <w:rFonts w:asciiTheme="minorHAnsi" w:hAnsiTheme="minorHAnsi"/>
                <w:b/>
                <w:bCs/>
                <w:sz w:val="20"/>
                <w:szCs w:val="20"/>
              </w:rPr>
              <w:t>)</w:t>
            </w:r>
          </w:p>
        </w:tc>
        <w:tc>
          <w:tcPr>
            <w:tcW w:w="1349" w:type="dxa"/>
          </w:tcPr>
          <w:p w14:paraId="01832E79" w14:textId="77777777" w:rsidR="00166AD3" w:rsidRPr="00800AF2" w:rsidRDefault="00166AD3" w:rsidP="00FF036B">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166AD3" w:rsidRPr="00800AF2" w14:paraId="17DAA0BA"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650645EF"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3CB5CC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25728D5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36A5D3D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12BDD680"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166AD3" w:rsidRPr="00800AF2" w14:paraId="45D94934"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54CA3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4DDDD1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4E76CD8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3EB6E97D"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A284485"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166AD3" w:rsidRPr="00800AF2" w14:paraId="249A3F1F"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BDA342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3D0F4AA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0EAEDE8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659AB06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A6F8DA7"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166AD3" w:rsidRPr="00800AF2" w14:paraId="6F3FF62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C74610D"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27BC12E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752EFAD1"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659134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24514E9"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166AD3" w:rsidRPr="00800AF2" w14:paraId="04298DE3"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3D20E68"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2C7F6B19"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2F3C6437"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3ADD6C6B"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5B9527ED"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166AD3" w:rsidRPr="00800AF2" w14:paraId="732DF1E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934E85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0DC18E1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557515AB"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07CD30F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65DD3B04"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166AD3" w:rsidRPr="00800AF2" w14:paraId="163FE070"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4A50E0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0B17A22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4B528F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54F20B7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AE8562" w14:textId="03D2C283"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r w:rsidR="00436206">
              <w:rPr>
                <w:rFonts w:asciiTheme="minorHAnsi" w:hAnsiTheme="minorHAnsi"/>
                <w:color w:val="000000"/>
                <w:sz w:val="20"/>
              </w:rPr>
              <w:t>*</w:t>
            </w:r>
          </w:p>
        </w:tc>
      </w:tr>
      <w:tr w:rsidR="00166AD3" w:rsidRPr="00800AF2" w14:paraId="38BC39A3"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B91E861"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178C93DA"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0710D80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2C3C697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24A71423" w14:textId="477CC2ED"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r w:rsidR="00436206">
              <w:rPr>
                <w:rFonts w:asciiTheme="minorHAnsi" w:hAnsiTheme="minorHAnsi"/>
                <w:color w:val="000000"/>
                <w:sz w:val="20"/>
              </w:rPr>
              <w:t>*</w:t>
            </w:r>
          </w:p>
        </w:tc>
      </w:tr>
      <w:tr w:rsidR="00166AD3" w:rsidRPr="00800AF2" w14:paraId="736BAA22"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7FC0187"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9D34D52"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0A49FBE3"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5350F6AD"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142210" w14:textId="184EE5CD"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r w:rsidR="00436206">
              <w:rPr>
                <w:rFonts w:asciiTheme="minorHAnsi" w:hAnsiTheme="minorHAnsi"/>
                <w:color w:val="000000"/>
                <w:sz w:val="20"/>
              </w:rPr>
              <w:t>*</w:t>
            </w:r>
          </w:p>
        </w:tc>
      </w:tr>
      <w:tr w:rsidR="00166AD3" w:rsidRPr="00800AF2" w14:paraId="19096A25"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46AD0E4"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10DC7C1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7591603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6524D9FF"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1CBF882"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166AD3" w:rsidRPr="00800AF2" w14:paraId="3C0838E2" w14:textId="77777777" w:rsidTr="00FF036B">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939DBE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5BB59A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60F46D0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1C076130"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62283864"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3BA27A00" w14:textId="77777777" w:rsidR="00117EA4" w:rsidRDefault="00117EA4" w:rsidP="00855181"/>
    <w:p w14:paraId="71B98CDB" w14:textId="297E0C88" w:rsidR="00117EA4" w:rsidRDefault="00117EA4" w:rsidP="00855181">
      <w:r>
        <w:rPr>
          <w:rStyle w:val="CommentReference"/>
        </w:rPr>
        <w:commentReference w:id="9"/>
      </w:r>
      <w:r w:rsidR="007860FB">
        <w:t xml:space="preserve">NREL determined these costs through </w:t>
      </w:r>
      <w:r w:rsidR="00995633">
        <w:t xml:space="preserve">a methodology described in detail in the </w:t>
      </w:r>
      <w:r w:rsidR="007860FB">
        <w:t>dGen</w:t>
      </w:r>
      <w:r w:rsidR="00995633">
        <w:t xml:space="preserve"> documentation </w:t>
      </w:r>
      <w:r w:rsidR="008B3823">
        <w:t xml:space="preserve"> (Appendix B, Section B4)</w:t>
      </w:r>
      <w:r w:rsidR="00403E1A">
        <w:t xml:space="preserve"> </w:t>
      </w:r>
      <w:r w:rsidR="00995633">
        <w:t>(</w:t>
      </w:r>
      <w:commentRangeStart w:id="10"/>
      <w:r w:rsidR="00CA32E6" w:rsidRPr="00CA32E6">
        <w:t>Sigrin et al., 2015</w:t>
      </w:r>
      <w:commentRangeEnd w:id="10"/>
      <w:r w:rsidR="00CA32E6" w:rsidRPr="00CA32E6">
        <w:rPr>
          <w:rStyle w:val="CommentReference"/>
        </w:rPr>
        <w:commentReference w:id="10"/>
      </w:r>
      <w:r w:rsidR="00995633">
        <w:t xml:space="preserve">). In summary, </w:t>
      </w:r>
      <w:r w:rsidR="0079129F">
        <w:t>this</w:t>
      </w:r>
      <w:r w:rsidR="00995633">
        <w:t xml:space="preserve"> analysis included:</w:t>
      </w:r>
    </w:p>
    <w:p w14:paraId="68293574" w14:textId="77777777" w:rsidR="001D25B1" w:rsidRDefault="00995633" w:rsidP="00995633">
      <w:pPr>
        <w:pStyle w:val="ListParagraph"/>
        <w:numPr>
          <w:ilvl w:val="0"/>
          <w:numId w:val="9"/>
        </w:numPr>
      </w:pPr>
      <w:r>
        <w:t xml:space="preserve">Reviewing and analyzing multiple data sets with project cost information and determining adjusted costs ($ per kw of rated power) for each of the 11 turbine sizes evaluated in the model. Specific data sources used include: </w:t>
      </w:r>
    </w:p>
    <w:p w14:paraId="34A69FC3" w14:textId="77777777" w:rsidR="001D25B1" w:rsidRPr="001D25B1" w:rsidRDefault="001D25B1" w:rsidP="001D25B1">
      <w:pPr>
        <w:pStyle w:val="ListParagraph"/>
        <w:numPr>
          <w:ilvl w:val="0"/>
          <w:numId w:val="10"/>
        </w:numPr>
      </w:pPr>
      <w:r>
        <w:rPr>
          <w:color w:val="FF0000"/>
        </w:rPr>
        <w:t>A</w:t>
      </w:r>
      <w:r w:rsidRPr="001D074A">
        <w:rPr>
          <w:color w:val="FF0000"/>
        </w:rPr>
        <w:t xml:space="preserve"> non-public database of project-level characteristics funded under the US Department of Treasury 1603 program</w:t>
      </w:r>
      <w:r w:rsidRPr="00995633">
        <w:rPr>
          <w:color w:val="FF0000"/>
        </w:rPr>
        <w:t xml:space="preserve"> </w:t>
      </w:r>
    </w:p>
    <w:p w14:paraId="319627F8" w14:textId="774BD1B4" w:rsidR="00995633" w:rsidRDefault="00995633" w:rsidP="001D25B1">
      <w:pPr>
        <w:pStyle w:val="ListParagraph"/>
        <w:numPr>
          <w:ilvl w:val="0"/>
          <w:numId w:val="10"/>
        </w:numPr>
      </w:pPr>
      <w:commentRangeStart w:id="11"/>
      <w:r w:rsidRPr="00995633">
        <w:rPr>
          <w:color w:val="FF0000"/>
        </w:rPr>
        <w:t>…</w:t>
      </w:r>
      <w:r>
        <w:t xml:space="preserve"> </w:t>
      </w:r>
      <w:commentRangeEnd w:id="11"/>
      <w:r w:rsidR="001D25B1">
        <w:rPr>
          <w:rStyle w:val="CommentReference"/>
        </w:rPr>
        <w:commentReference w:id="11"/>
      </w:r>
      <w:r>
        <w:t>.</w:t>
      </w:r>
    </w:p>
    <w:p w14:paraId="28207CB4" w14:textId="71139CC5" w:rsidR="00995633" w:rsidRDefault="00436206" w:rsidP="00995633">
      <w:pPr>
        <w:pStyle w:val="ListParagraph"/>
        <w:numPr>
          <w:ilvl w:val="0"/>
          <w:numId w:val="9"/>
        </w:numPr>
      </w:pPr>
      <w:r>
        <w:t>Interviewing several turbine and tower manufacturers to determine tower prices for various turbine sizes, then fitting a piecewise, best-fit curve to the empirical data to estimate marginal tower height costs. Only sparse data was available for turbines in the range of 250-750 kw.</w:t>
      </w:r>
      <w:r w:rsidR="003459E6">
        <w:t xml:space="preserve"> Industry sources for data included: </w:t>
      </w:r>
      <w:commentRangeStart w:id="12"/>
      <w:r w:rsidR="003459E6" w:rsidRPr="006071CE">
        <w:rPr>
          <w:color w:val="FF0000"/>
        </w:rPr>
        <w:t>…</w:t>
      </w:r>
      <w:r w:rsidR="003459E6">
        <w:t xml:space="preserve"> </w:t>
      </w:r>
      <w:commentRangeEnd w:id="12"/>
      <w:r w:rsidR="003459E6">
        <w:rPr>
          <w:rStyle w:val="CommentReference"/>
        </w:rPr>
        <w:commentReference w:id="12"/>
      </w:r>
      <w:r w:rsidR="003459E6">
        <w:t>.</w:t>
      </w:r>
    </w:p>
    <w:p w14:paraId="71AFB45E" w14:textId="0F575957" w:rsidR="00995633" w:rsidRDefault="006071CE" w:rsidP="006071CE">
      <w:pPr>
        <w:pStyle w:val="ListParagraph"/>
        <w:numPr>
          <w:ilvl w:val="0"/>
          <w:numId w:val="9"/>
        </w:numPr>
      </w:pPr>
      <w:r>
        <w:t xml:space="preserve">Adjusting project cost data from step 1 using the marginal tower height </w:t>
      </w:r>
      <w:r w:rsidR="003459E6">
        <w:t>costs from step 2 to determine</w:t>
      </w:r>
      <w:r>
        <w:t xml:space="preserve"> adjusted costs for</w:t>
      </w:r>
      <w:r w:rsidR="003459E6">
        <w:t xml:space="preserve"> each turbine size at the</w:t>
      </w:r>
      <w:r>
        <w:t xml:space="preserve"> default (minimum) hub height.</w:t>
      </w:r>
    </w:p>
    <w:p w14:paraId="320C3248" w14:textId="18F1B2F3" w:rsidR="00A9673C" w:rsidRPr="00A9673C" w:rsidRDefault="003F58DE" w:rsidP="00A9673C">
      <w:pPr>
        <w:pStyle w:val="Heading4"/>
      </w:pPr>
      <w:r>
        <w:t>Future Projections (2016 – 2050)</w:t>
      </w:r>
    </w:p>
    <w:p w14:paraId="1AA367AE" w14:textId="329C94DB" w:rsidR="00C820CF" w:rsidRPr="00680B96" w:rsidRDefault="00496529" w:rsidP="00E333A3">
      <w:pPr>
        <w:rPr>
          <w:color w:val="FF0000"/>
        </w:rPr>
      </w:pPr>
      <w:r w:rsidRPr="00680B96">
        <w:rPr>
          <w:color w:val="FF0000"/>
        </w:rPr>
        <w:t>[ need to come up with a justification for this ]</w:t>
      </w:r>
      <w:r w:rsidR="0064162F">
        <w:rPr>
          <w:color w:val="FF0000"/>
        </w:rPr>
        <w:t xml:space="preserve"> [ learning curves?]</w:t>
      </w:r>
    </w:p>
    <w:p w14:paraId="09CD2C12" w14:textId="77777777" w:rsidR="00C820CF" w:rsidRDefault="00C820CF" w:rsidP="00C820CF">
      <w:pPr>
        <w:pStyle w:val="Heading4"/>
      </w:pPr>
      <w:r w:rsidRPr="000576C1">
        <w:t>Planned Future Work:</w:t>
      </w:r>
    </w:p>
    <w:p w14:paraId="45099060" w14:textId="77777777" w:rsidR="00680B96" w:rsidRDefault="00680B96" w:rsidP="00C820CF">
      <w:r>
        <w:t>We plan to perform the following work to develop further empirical support for the following assumptions</w:t>
      </w:r>
      <w:r w:rsidR="00960482">
        <w:t xml:space="preserve">: </w:t>
      </w:r>
    </w:p>
    <w:p w14:paraId="2F6F4832" w14:textId="34B41D5A" w:rsidR="00680B96" w:rsidRDefault="00960482" w:rsidP="00680B96">
      <w:pPr>
        <w:pStyle w:val="ListParagraph"/>
        <w:numPr>
          <w:ilvl w:val="0"/>
          <w:numId w:val="11"/>
        </w:numPr>
      </w:pPr>
      <w:r>
        <w:t>Marginal tower height costs for mid-</w:t>
      </w:r>
      <w:r w:rsidR="00680B96">
        <w:t>size turbines (250-750 kw)</w:t>
      </w:r>
    </w:p>
    <w:p w14:paraId="4A677B92" w14:textId="6ED3ED3D" w:rsidR="00680B96" w:rsidRPr="00680B96" w:rsidRDefault="00680B96" w:rsidP="00680B96">
      <w:pPr>
        <w:pStyle w:val="ListParagraph"/>
        <w:numPr>
          <w:ilvl w:val="0"/>
          <w:numId w:val="12"/>
        </w:numPr>
        <w:rPr>
          <w:color w:val="FF0000"/>
        </w:rPr>
      </w:pPr>
      <w:r w:rsidRPr="00680B96">
        <w:rPr>
          <w:color w:val="FF0000"/>
        </w:rPr>
        <w:t xml:space="preserve">Add </w:t>
      </w:r>
      <w:r w:rsidR="00585425">
        <w:rPr>
          <w:color w:val="FF0000"/>
        </w:rPr>
        <w:t>description</w:t>
      </w:r>
    </w:p>
    <w:p w14:paraId="394E7A43" w14:textId="773B8AF0" w:rsidR="00C820CF" w:rsidRDefault="00680B96" w:rsidP="00680B96">
      <w:pPr>
        <w:pStyle w:val="ListParagraph"/>
        <w:numPr>
          <w:ilvl w:val="0"/>
          <w:numId w:val="11"/>
        </w:numPr>
      </w:pPr>
      <w:r>
        <w:t>F</w:t>
      </w:r>
      <w:r w:rsidR="00960482">
        <w:t>uture projections of costs</w:t>
      </w:r>
    </w:p>
    <w:p w14:paraId="1CEF253D" w14:textId="2D32AD89" w:rsidR="00680B96" w:rsidRPr="003851EE" w:rsidRDefault="00680B96" w:rsidP="00680B96">
      <w:pPr>
        <w:pStyle w:val="ListParagraph"/>
        <w:numPr>
          <w:ilvl w:val="0"/>
          <w:numId w:val="13"/>
        </w:numPr>
        <w:rPr>
          <w:color w:val="FF0000"/>
        </w:rPr>
      </w:pPr>
      <w:r w:rsidRPr="00680B96">
        <w:rPr>
          <w:color w:val="FF0000"/>
        </w:rPr>
        <w:t xml:space="preserve">Add </w:t>
      </w:r>
      <w:r w:rsidR="00585425">
        <w:rPr>
          <w:color w:val="FF0000"/>
        </w:rPr>
        <w:t>description</w:t>
      </w:r>
    </w:p>
    <w:p w14:paraId="43BD824B" w14:textId="3E464E6E" w:rsidR="00680B96" w:rsidRPr="00C820CF" w:rsidRDefault="00B2065B" w:rsidP="00727CCA">
      <w:pPr>
        <w:pStyle w:val="Heading2"/>
      </w:pPr>
      <w:r>
        <w:br w:type="column"/>
      </w:r>
      <w:bookmarkStart w:id="13" w:name="_Toc307504970"/>
      <w:r w:rsidR="0060008E" w:rsidRPr="00CB7458">
        <w:t>2.</w:t>
      </w:r>
      <w:r w:rsidR="0060008E">
        <w:t>3</w:t>
      </w:r>
      <w:r w:rsidR="0060008E" w:rsidRPr="00CB7458">
        <w:t xml:space="preserve"> System </w:t>
      </w:r>
      <w:r w:rsidR="0060008E">
        <w:t>Operation and Maintenance (O</w:t>
      </w:r>
      <w:r w:rsidR="00727CCA">
        <w:t>&amp;</w:t>
      </w:r>
      <w:r w:rsidR="0060008E">
        <w:t>M)</w:t>
      </w:r>
      <w:r w:rsidR="0060008E" w:rsidRPr="00CB7458">
        <w:t xml:space="preserve"> Costs</w:t>
      </w:r>
      <w:r w:rsidR="00B35CD1">
        <w:t xml:space="preserve"> (Wind-Specific)</w:t>
      </w:r>
      <w:bookmarkEnd w:id="13"/>
    </w:p>
    <w:p w14:paraId="220D9AC1" w14:textId="77777777" w:rsidR="00727CCA" w:rsidRDefault="00727CCA" w:rsidP="00727CCA">
      <w:pPr>
        <w:pStyle w:val="Heading4"/>
      </w:pPr>
      <w:r>
        <w:t>Summary</w:t>
      </w:r>
    </w:p>
    <w:p w14:paraId="67C2B575" w14:textId="162C9A1D" w:rsidR="0080348D" w:rsidRDefault="00727CCA" w:rsidP="00E333A3">
      <w:r>
        <w:t xml:space="preserve">The dGen model considers two types of O&amp;M costs: scheduled </w:t>
      </w:r>
      <w:r w:rsidR="00EB6D7E">
        <w:t>(i.e., p</w:t>
      </w:r>
      <w:r>
        <w:t xml:space="preserve">reventative) and unscheduled </w:t>
      </w:r>
      <w:r w:rsidR="00EB6D7E">
        <w:t xml:space="preserve">(i.e., </w:t>
      </w:r>
      <w:r>
        <w:t>repair) maintenance costs.</w:t>
      </w:r>
      <w:r w:rsidR="0080348D">
        <w:t xml:space="preserve"> </w:t>
      </w:r>
      <w:r w:rsidR="00EB6D7E">
        <w:t xml:space="preserve">Both of these costs are treated as fixed annual costs and given in terms of the $/kw. </w:t>
      </w:r>
      <w:commentRangeStart w:id="14"/>
      <w:r w:rsidR="00EB6D7E" w:rsidRPr="00EB6D7E">
        <w:rPr>
          <w:color w:val="FF0000"/>
        </w:rPr>
        <w:t>The model assumes no variable  O&amp;M costs because … .</w:t>
      </w:r>
      <w:commentRangeEnd w:id="14"/>
      <w:r w:rsidR="00EB6D7E">
        <w:rPr>
          <w:rStyle w:val="CommentReference"/>
        </w:rPr>
        <w:commentReference w:id="14"/>
      </w:r>
      <w:r w:rsidR="00EB6D7E">
        <w:t xml:space="preserve"> Fixed O&amp;M costs </w:t>
      </w:r>
      <w:r w:rsidR="0080348D">
        <w:t xml:space="preserve">are input to the model separately for each turbine rated size (kw) and model year. </w:t>
      </w:r>
    </w:p>
    <w:p w14:paraId="2C577209" w14:textId="77777777" w:rsidR="00CE1483" w:rsidRDefault="00CE1483" w:rsidP="00CE1483">
      <w:pPr>
        <w:pStyle w:val="Heading4"/>
      </w:pPr>
      <w:r>
        <w:t>Default Settings (2014)</w:t>
      </w:r>
    </w:p>
    <w:p w14:paraId="0FD4B226" w14:textId="72B1C659" w:rsidR="000A3E43" w:rsidRDefault="000A3E43" w:rsidP="000A3E43">
      <w:r>
        <w:t xml:space="preserve">Initial O&amp;M costs for the first model year (2014) are detailed in the table below. </w:t>
      </w:r>
    </w:p>
    <w:p w14:paraId="29132C42" w14:textId="77777777" w:rsidR="000A3E43" w:rsidRDefault="000A3E43" w:rsidP="000A3E43"/>
    <w:p w14:paraId="089CC8CF" w14:textId="77777777" w:rsidR="00EB6D7E" w:rsidRPr="009B743D" w:rsidRDefault="00EB6D7E" w:rsidP="00EB6D7E">
      <w:pPr>
        <w:pStyle w:val="NRELTableCaption"/>
      </w:pPr>
      <w:r w:rsidRPr="009B743D">
        <w:t>Operation and Maintenance Cost Assumptions</w:t>
      </w:r>
    </w:p>
    <w:tbl>
      <w:tblPr>
        <w:tblStyle w:val="MediumList21"/>
        <w:tblW w:w="5107" w:type="dxa"/>
        <w:jc w:val="center"/>
        <w:tblLook w:val="04A0" w:firstRow="1" w:lastRow="0" w:firstColumn="1" w:lastColumn="0" w:noHBand="0" w:noVBand="1"/>
      </w:tblPr>
      <w:tblGrid>
        <w:gridCol w:w="964"/>
        <w:gridCol w:w="1477"/>
        <w:gridCol w:w="1404"/>
        <w:gridCol w:w="1410"/>
      </w:tblGrid>
      <w:tr w:rsidR="00EB6D7E" w:rsidRPr="00E935FF" w14:paraId="3FFDABC9" w14:textId="77777777" w:rsidTr="00EB6D7E">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100" w:firstRow="0" w:lastRow="0" w:firstColumn="1" w:lastColumn="0" w:oddVBand="0" w:evenVBand="0" w:oddHBand="0" w:evenHBand="0" w:firstRowFirstColumn="1" w:firstRowLastColumn="0" w:lastRowFirstColumn="0" w:lastRowLastColumn="0"/>
            <w:tcW w:w="816" w:type="dxa"/>
            <w:hideMark/>
          </w:tcPr>
          <w:p w14:paraId="629C2F7A" w14:textId="1CD64067" w:rsidR="008069CB" w:rsidRDefault="008069CB" w:rsidP="00041367">
            <w:pPr>
              <w:jc w:val="center"/>
              <w:rPr>
                <w:rFonts w:asciiTheme="minorHAnsi" w:hAnsiTheme="minorHAnsi"/>
                <w:b/>
                <w:color w:val="000000"/>
                <w:sz w:val="20"/>
                <w:szCs w:val="20"/>
              </w:rPr>
            </w:pPr>
            <w:r>
              <w:rPr>
                <w:rFonts w:asciiTheme="minorHAnsi" w:hAnsiTheme="minorHAnsi"/>
                <w:b/>
                <w:color w:val="000000"/>
                <w:sz w:val="20"/>
                <w:szCs w:val="20"/>
              </w:rPr>
              <w:t>Turbine</w:t>
            </w:r>
          </w:p>
          <w:p w14:paraId="01D06F11" w14:textId="77777777" w:rsidR="00EB6D7E" w:rsidRPr="00E935FF" w:rsidRDefault="00EB6D7E" w:rsidP="00041367">
            <w:pPr>
              <w:jc w:val="center"/>
              <w:rPr>
                <w:rFonts w:asciiTheme="minorHAnsi" w:hAnsiTheme="minorHAnsi"/>
                <w:b/>
                <w:color w:val="000000"/>
                <w:sz w:val="20"/>
                <w:szCs w:val="20"/>
              </w:rPr>
            </w:pPr>
            <w:r w:rsidRPr="00E935FF">
              <w:rPr>
                <w:rFonts w:asciiTheme="minorHAnsi" w:hAnsiTheme="minorHAnsi"/>
                <w:b/>
                <w:color w:val="000000"/>
                <w:sz w:val="20"/>
                <w:szCs w:val="20"/>
              </w:rPr>
              <w:t>Rating (kW)</w:t>
            </w:r>
          </w:p>
        </w:tc>
        <w:tc>
          <w:tcPr>
            <w:tcW w:w="1477" w:type="dxa"/>
            <w:hideMark/>
          </w:tcPr>
          <w:p w14:paraId="344185B1" w14:textId="40255E87" w:rsidR="00EB6D7E" w:rsidRPr="00E935FF" w:rsidRDefault="00EB6D7E" w:rsidP="00D406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 xml:space="preserve">Total </w:t>
            </w:r>
            <w:r w:rsidR="00D406F5">
              <w:rPr>
                <w:rFonts w:asciiTheme="minorHAnsi" w:hAnsiTheme="minorHAnsi"/>
                <w:b/>
                <w:color w:val="000000"/>
                <w:sz w:val="20"/>
                <w:szCs w:val="20"/>
              </w:rPr>
              <w:t>Fixed O&amp;M</w:t>
            </w:r>
            <w:r w:rsidRPr="00E935FF">
              <w:rPr>
                <w:rFonts w:asciiTheme="minorHAnsi" w:hAnsiTheme="minorHAnsi"/>
                <w:b/>
                <w:color w:val="000000"/>
                <w:sz w:val="20"/>
                <w:szCs w:val="20"/>
              </w:rPr>
              <w:t xml:space="preserve"> ($/kW)</w:t>
            </w:r>
          </w:p>
        </w:tc>
        <w:tc>
          <w:tcPr>
            <w:tcW w:w="1404" w:type="dxa"/>
            <w:hideMark/>
          </w:tcPr>
          <w:p w14:paraId="50B298B7"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Scheduled Maintenance ($/kW)</w:t>
            </w:r>
          </w:p>
        </w:tc>
        <w:tc>
          <w:tcPr>
            <w:tcW w:w="1410" w:type="dxa"/>
            <w:hideMark/>
          </w:tcPr>
          <w:p w14:paraId="6E9984E9"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Unscheduled Maintenance ($/kW)</w:t>
            </w:r>
          </w:p>
        </w:tc>
      </w:tr>
      <w:tr w:rsidR="00EB6D7E" w:rsidRPr="00E935FF" w14:paraId="5A7A4AD6"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1B414CA"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w:t>
            </w:r>
          </w:p>
        </w:tc>
        <w:tc>
          <w:tcPr>
            <w:tcW w:w="1477" w:type="dxa"/>
            <w:noWrap/>
            <w:hideMark/>
          </w:tcPr>
          <w:p w14:paraId="748E49E5" w14:textId="58E9F27B"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$38.94</w:t>
            </w:r>
            <w:r w:rsidR="00AE4095">
              <w:rPr>
                <w:rFonts w:asciiTheme="minorHAnsi" w:hAnsiTheme="minorHAnsi"/>
                <w:color w:val="000000"/>
                <w:sz w:val="20"/>
                <w:szCs w:val="20"/>
              </w:rPr>
              <w:t>*</w:t>
            </w:r>
          </w:p>
        </w:tc>
        <w:tc>
          <w:tcPr>
            <w:tcW w:w="1404" w:type="dxa"/>
            <w:noWrap/>
            <w:hideMark/>
          </w:tcPr>
          <w:p w14:paraId="11B5BF19"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$27.64</w:t>
            </w:r>
          </w:p>
        </w:tc>
        <w:tc>
          <w:tcPr>
            <w:tcW w:w="1410" w:type="dxa"/>
            <w:noWrap/>
            <w:hideMark/>
          </w:tcPr>
          <w:p w14:paraId="0470D1A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7050C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095D4E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w:t>
            </w:r>
          </w:p>
        </w:tc>
        <w:tc>
          <w:tcPr>
            <w:tcW w:w="1477" w:type="dxa"/>
            <w:noWrap/>
            <w:hideMark/>
          </w:tcPr>
          <w:p w14:paraId="2F165221" w14:textId="22084B8D"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$38.92</w:t>
            </w:r>
            <w:r w:rsidR="00AE4095">
              <w:rPr>
                <w:rFonts w:asciiTheme="minorHAnsi" w:hAnsiTheme="minorHAnsi"/>
                <w:color w:val="000000"/>
                <w:sz w:val="20"/>
                <w:szCs w:val="20"/>
              </w:rPr>
              <w:t>*</w:t>
            </w:r>
          </w:p>
        </w:tc>
        <w:tc>
          <w:tcPr>
            <w:tcW w:w="1404" w:type="dxa"/>
            <w:noWrap/>
            <w:hideMark/>
          </w:tcPr>
          <w:p w14:paraId="0659812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$27.62</w:t>
            </w:r>
          </w:p>
        </w:tc>
        <w:tc>
          <w:tcPr>
            <w:tcW w:w="1410" w:type="dxa"/>
            <w:noWrap/>
            <w:hideMark/>
          </w:tcPr>
          <w:p w14:paraId="32BC5B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F5EA0D"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9D7BAE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w:t>
            </w:r>
          </w:p>
        </w:tc>
        <w:tc>
          <w:tcPr>
            <w:tcW w:w="1477" w:type="dxa"/>
            <w:noWrap/>
            <w:hideMark/>
          </w:tcPr>
          <w:p w14:paraId="242B3818"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$38.88</w:t>
            </w:r>
          </w:p>
        </w:tc>
        <w:tc>
          <w:tcPr>
            <w:tcW w:w="1404" w:type="dxa"/>
            <w:noWrap/>
            <w:hideMark/>
          </w:tcPr>
          <w:p w14:paraId="2913BF52"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$27.58</w:t>
            </w:r>
          </w:p>
        </w:tc>
        <w:tc>
          <w:tcPr>
            <w:tcW w:w="1410" w:type="dxa"/>
            <w:noWrap/>
            <w:hideMark/>
          </w:tcPr>
          <w:p w14:paraId="759F7504"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02436B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F20E4F7"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20</w:t>
            </w:r>
          </w:p>
        </w:tc>
        <w:tc>
          <w:tcPr>
            <w:tcW w:w="1477" w:type="dxa"/>
            <w:noWrap/>
            <w:hideMark/>
          </w:tcPr>
          <w:p w14:paraId="6BFCC0C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$38.80</w:t>
            </w:r>
          </w:p>
        </w:tc>
        <w:tc>
          <w:tcPr>
            <w:tcW w:w="1404" w:type="dxa"/>
            <w:noWrap/>
            <w:hideMark/>
          </w:tcPr>
          <w:p w14:paraId="5A7C85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$27.50</w:t>
            </w:r>
          </w:p>
        </w:tc>
        <w:tc>
          <w:tcPr>
            <w:tcW w:w="1410" w:type="dxa"/>
            <w:noWrap/>
            <w:hideMark/>
          </w:tcPr>
          <w:p w14:paraId="7618BA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7E9A2FC3"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852EF62"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w:t>
            </w:r>
          </w:p>
        </w:tc>
        <w:tc>
          <w:tcPr>
            <w:tcW w:w="1477" w:type="dxa"/>
            <w:noWrap/>
            <w:hideMark/>
          </w:tcPr>
          <w:p w14:paraId="40B636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$38.56</w:t>
            </w:r>
          </w:p>
        </w:tc>
        <w:tc>
          <w:tcPr>
            <w:tcW w:w="1404" w:type="dxa"/>
            <w:noWrap/>
            <w:hideMark/>
          </w:tcPr>
          <w:p w14:paraId="294B2EA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$27.27</w:t>
            </w:r>
          </w:p>
        </w:tc>
        <w:tc>
          <w:tcPr>
            <w:tcW w:w="1410" w:type="dxa"/>
            <w:noWrap/>
            <w:hideMark/>
          </w:tcPr>
          <w:p w14:paraId="444A9A5C"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$11.29</w:t>
            </w:r>
          </w:p>
        </w:tc>
      </w:tr>
      <w:tr w:rsidR="00EB6D7E" w:rsidRPr="00E935FF" w14:paraId="654E918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7C273B68"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100</w:t>
            </w:r>
          </w:p>
        </w:tc>
        <w:tc>
          <w:tcPr>
            <w:tcW w:w="1477" w:type="dxa"/>
            <w:noWrap/>
            <w:hideMark/>
          </w:tcPr>
          <w:p w14:paraId="081EF0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$38.15</w:t>
            </w:r>
          </w:p>
        </w:tc>
        <w:tc>
          <w:tcPr>
            <w:tcW w:w="1404" w:type="dxa"/>
            <w:noWrap/>
            <w:hideMark/>
          </w:tcPr>
          <w:p w14:paraId="25FB6CB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$26.87</w:t>
            </w:r>
          </w:p>
        </w:tc>
        <w:tc>
          <w:tcPr>
            <w:tcW w:w="1410" w:type="dxa"/>
            <w:noWrap/>
            <w:hideMark/>
          </w:tcPr>
          <w:p w14:paraId="39870C90"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$11.28</w:t>
            </w:r>
          </w:p>
        </w:tc>
      </w:tr>
      <w:tr w:rsidR="00EB6D7E" w:rsidRPr="00E935FF" w14:paraId="6B9E12FC"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231DD4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250</w:t>
            </w:r>
          </w:p>
        </w:tc>
        <w:tc>
          <w:tcPr>
            <w:tcW w:w="1477" w:type="dxa"/>
            <w:noWrap/>
            <w:hideMark/>
          </w:tcPr>
          <w:p w14:paraId="1E03DD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$36.94</w:t>
            </w:r>
          </w:p>
        </w:tc>
        <w:tc>
          <w:tcPr>
            <w:tcW w:w="1404" w:type="dxa"/>
            <w:noWrap/>
            <w:hideMark/>
          </w:tcPr>
          <w:p w14:paraId="1553054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$25.69</w:t>
            </w:r>
          </w:p>
        </w:tc>
        <w:tc>
          <w:tcPr>
            <w:tcW w:w="1410" w:type="dxa"/>
            <w:noWrap/>
            <w:hideMark/>
          </w:tcPr>
          <w:p w14:paraId="2CFF3F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$11.25</w:t>
            </w:r>
          </w:p>
        </w:tc>
      </w:tr>
      <w:tr w:rsidR="00EB6D7E" w:rsidRPr="00E935FF" w14:paraId="5C7EF86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A4B4FD9"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500</w:t>
            </w:r>
          </w:p>
        </w:tc>
        <w:tc>
          <w:tcPr>
            <w:tcW w:w="1477" w:type="dxa"/>
            <w:noWrap/>
            <w:hideMark/>
          </w:tcPr>
          <w:p w14:paraId="26430CE1"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$34.91</w:t>
            </w:r>
          </w:p>
        </w:tc>
        <w:tc>
          <w:tcPr>
            <w:tcW w:w="1404" w:type="dxa"/>
            <w:noWrap/>
            <w:hideMark/>
          </w:tcPr>
          <w:p w14:paraId="7551CD6E"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$23.71</w:t>
            </w:r>
          </w:p>
        </w:tc>
        <w:tc>
          <w:tcPr>
            <w:tcW w:w="1410" w:type="dxa"/>
            <w:noWrap/>
            <w:hideMark/>
          </w:tcPr>
          <w:p w14:paraId="5E42EFE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$11.20</w:t>
            </w:r>
          </w:p>
        </w:tc>
      </w:tr>
      <w:tr w:rsidR="00EB6D7E" w:rsidRPr="00E935FF" w14:paraId="28453AEA"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E0B511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750</w:t>
            </w:r>
          </w:p>
        </w:tc>
        <w:tc>
          <w:tcPr>
            <w:tcW w:w="1477" w:type="dxa"/>
            <w:noWrap/>
            <w:hideMark/>
          </w:tcPr>
          <w:p w14:paraId="6333C85C" w14:textId="33472528"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$32.89</w:t>
            </w:r>
            <w:r w:rsidR="00AE4095">
              <w:rPr>
                <w:rFonts w:asciiTheme="minorHAnsi" w:hAnsiTheme="minorHAnsi"/>
                <w:color w:val="000000"/>
                <w:sz w:val="20"/>
                <w:szCs w:val="20"/>
              </w:rPr>
              <w:t>*</w:t>
            </w:r>
          </w:p>
        </w:tc>
        <w:tc>
          <w:tcPr>
            <w:tcW w:w="1404" w:type="dxa"/>
            <w:noWrap/>
            <w:hideMark/>
          </w:tcPr>
          <w:p w14:paraId="549A50C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$21.74</w:t>
            </w:r>
          </w:p>
        </w:tc>
        <w:tc>
          <w:tcPr>
            <w:tcW w:w="1410" w:type="dxa"/>
            <w:noWrap/>
            <w:hideMark/>
          </w:tcPr>
          <w:p w14:paraId="3F1AD1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$11.15</w:t>
            </w:r>
          </w:p>
        </w:tc>
      </w:tr>
      <w:tr w:rsidR="00EB6D7E" w:rsidRPr="00E935FF" w14:paraId="42223A49"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2F1F6B6"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000</w:t>
            </w:r>
          </w:p>
        </w:tc>
        <w:tc>
          <w:tcPr>
            <w:tcW w:w="1477" w:type="dxa"/>
            <w:noWrap/>
            <w:hideMark/>
          </w:tcPr>
          <w:p w14:paraId="1792441D" w14:textId="4B694D91"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$30.86</w:t>
            </w:r>
            <w:r w:rsidR="00AE4095">
              <w:rPr>
                <w:rFonts w:asciiTheme="minorHAnsi" w:hAnsiTheme="minorHAnsi"/>
                <w:color w:val="000000"/>
                <w:sz w:val="20"/>
                <w:szCs w:val="20"/>
              </w:rPr>
              <w:t>*</w:t>
            </w:r>
          </w:p>
        </w:tc>
        <w:tc>
          <w:tcPr>
            <w:tcW w:w="1404" w:type="dxa"/>
            <w:noWrap/>
            <w:hideMark/>
          </w:tcPr>
          <w:p w14:paraId="614BD584"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$19.76</w:t>
            </w:r>
          </w:p>
        </w:tc>
        <w:tc>
          <w:tcPr>
            <w:tcW w:w="1410" w:type="dxa"/>
            <w:noWrap/>
            <w:hideMark/>
          </w:tcPr>
          <w:p w14:paraId="354B16A6"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$11.10</w:t>
            </w:r>
          </w:p>
        </w:tc>
      </w:tr>
      <w:tr w:rsidR="00EB6D7E" w:rsidRPr="00E935FF" w14:paraId="7096188E" w14:textId="77777777" w:rsidTr="00EB6D7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622E74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500</w:t>
            </w:r>
          </w:p>
        </w:tc>
        <w:tc>
          <w:tcPr>
            <w:tcW w:w="1477" w:type="dxa"/>
            <w:noWrap/>
            <w:hideMark/>
          </w:tcPr>
          <w:p w14:paraId="74103436" w14:textId="21D18BF2"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$26.81</w:t>
            </w:r>
            <w:r w:rsidR="00AE4095">
              <w:rPr>
                <w:rFonts w:asciiTheme="minorHAnsi" w:hAnsiTheme="minorHAnsi"/>
                <w:color w:val="000000"/>
                <w:sz w:val="20"/>
                <w:szCs w:val="20"/>
              </w:rPr>
              <w:t>*</w:t>
            </w:r>
          </w:p>
        </w:tc>
        <w:tc>
          <w:tcPr>
            <w:tcW w:w="1404" w:type="dxa"/>
            <w:noWrap/>
            <w:hideMark/>
          </w:tcPr>
          <w:p w14:paraId="2CAFE126"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$15.81</w:t>
            </w:r>
          </w:p>
        </w:tc>
        <w:tc>
          <w:tcPr>
            <w:tcW w:w="1410" w:type="dxa"/>
            <w:noWrap/>
            <w:hideMark/>
          </w:tcPr>
          <w:p w14:paraId="725D2713"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$11.00</w:t>
            </w:r>
          </w:p>
        </w:tc>
      </w:tr>
    </w:tbl>
    <w:p w14:paraId="78A1A0BC" w14:textId="77777777" w:rsidR="00CE1483" w:rsidRDefault="00CE1483" w:rsidP="00E333A3"/>
    <w:p w14:paraId="0E563BC5" w14:textId="77777777" w:rsidR="007F44A2" w:rsidRDefault="007D7067" w:rsidP="00E333A3">
      <w:r>
        <w:t>NREL derived these estimates for fixed O&amp;M costs through statistical analysis of O&amp;M estimates provided by a variety of sources, including manufacturers (</w:t>
      </w:r>
      <w:r w:rsidRPr="007D7067">
        <w:rPr>
          <w:color w:val="FF0000"/>
        </w:rPr>
        <w:t>add refs</w:t>
      </w:r>
      <w:r>
        <w:t>), leasing companies (</w:t>
      </w:r>
      <w:r w:rsidRPr="007D7067">
        <w:rPr>
          <w:color w:val="FF0000"/>
        </w:rPr>
        <w:t>add refs</w:t>
      </w:r>
      <w:r>
        <w:t>), installers (</w:t>
      </w:r>
      <w:r w:rsidRPr="007D7067">
        <w:rPr>
          <w:color w:val="FF0000"/>
        </w:rPr>
        <w:t>add refs</w:t>
      </w:r>
      <w:r>
        <w:t>), and consultants (</w:t>
      </w:r>
      <w:r w:rsidRPr="007D7067">
        <w:rPr>
          <w:color w:val="FF0000"/>
        </w:rPr>
        <w:t>add refs</w:t>
      </w:r>
      <w:r>
        <w:t>).</w:t>
      </w:r>
      <w:r w:rsidR="008B50E6">
        <w:t xml:space="preserve"> </w:t>
      </w:r>
      <w:r w:rsidR="007F44A2">
        <w:t>Specifically, NREL fit a linear regression to the various cost estimates, predicting scheduled and unscheduled maintenance costs as a function of turbine rated size.</w:t>
      </w:r>
    </w:p>
    <w:p w14:paraId="75CBBA62" w14:textId="1D3F9FE1" w:rsidR="007F44A2" w:rsidRDefault="007F44A2" w:rsidP="00E333A3">
      <w:r>
        <w:t xml:space="preserve"> </w:t>
      </w:r>
    </w:p>
    <w:p w14:paraId="03CD1DC8" w14:textId="3BD9F8B9" w:rsidR="00EB6D7E" w:rsidRDefault="00464E65" w:rsidP="00E333A3">
      <w:r>
        <w:t>Appendix B, Section B4 of the</w:t>
      </w:r>
      <w:r w:rsidR="004F2E31">
        <w:t xml:space="preserve"> dGen Model Documentation (Sigrin et al. 2015) provides </w:t>
      </w:r>
      <w:r w:rsidR="007F44A2">
        <w:t>a detailed discussion of the caveats and limitations of cost estimates received. The primary weaknesses noted in this document are:</w:t>
      </w:r>
    </w:p>
    <w:p w14:paraId="2CE52DC4" w14:textId="11F02523" w:rsidR="007F44A2" w:rsidRDefault="00510875" w:rsidP="002370C1">
      <w:pPr>
        <w:pStyle w:val="ListParagraph"/>
        <w:numPr>
          <w:ilvl w:val="0"/>
          <w:numId w:val="14"/>
        </w:numPr>
      </w:pPr>
      <w:r>
        <w:t>Total l</w:t>
      </w:r>
      <w:r w:rsidR="002370C1">
        <w:t xml:space="preserve">ack of data for unscheduled maintenance for </w:t>
      </w:r>
      <w:r>
        <w:t xml:space="preserve">small </w:t>
      </w:r>
      <w:r w:rsidR="002370C1">
        <w:t>turbines less than 10 kw</w:t>
      </w:r>
    </w:p>
    <w:p w14:paraId="6A178153" w14:textId="6DE554B9" w:rsidR="002370C1" w:rsidRDefault="00510875" w:rsidP="002370C1">
      <w:pPr>
        <w:pStyle w:val="ListParagraph"/>
        <w:numPr>
          <w:ilvl w:val="0"/>
          <w:numId w:val="14"/>
        </w:numPr>
      </w:pPr>
      <w:r>
        <w:t>Minimal data for unscheduled maintenance for turbines &gt; 660 kw.</w:t>
      </w:r>
    </w:p>
    <w:p w14:paraId="706AE494" w14:textId="4CF98167" w:rsidR="00510875" w:rsidRDefault="00510875" w:rsidP="00510875">
      <w:pPr>
        <w:pStyle w:val="ListParagraph"/>
        <w:numPr>
          <w:ilvl w:val="0"/>
          <w:numId w:val="14"/>
        </w:numPr>
      </w:pPr>
      <w:r>
        <w:t xml:space="preserve">The single best-fit regression line may not account for important mechanical transitions </w:t>
      </w:r>
      <w:r w:rsidR="00794037">
        <w:t xml:space="preserve">in turbine design </w:t>
      </w:r>
      <w:r w:rsidR="00A02A62">
        <w:t xml:space="preserve">around 2.5 and 50-100 kw </w:t>
      </w:r>
      <w:r w:rsidR="00794037">
        <w:t>that may affect O&amp;M costs in a non-linear fashion.</w:t>
      </w:r>
    </w:p>
    <w:p w14:paraId="6BA03C9D" w14:textId="77777777" w:rsidR="00CE1483" w:rsidRPr="00A9673C" w:rsidRDefault="00CE1483" w:rsidP="00CE1483">
      <w:pPr>
        <w:pStyle w:val="Heading4"/>
      </w:pPr>
      <w:r>
        <w:t>Future Projections (2016 – 2050)</w:t>
      </w:r>
    </w:p>
    <w:p w14:paraId="62706B6A" w14:textId="4C5472FD" w:rsidR="00CE1483" w:rsidRPr="00AE4095" w:rsidRDefault="00CE1483" w:rsidP="00E333A3">
      <w:pPr>
        <w:rPr>
          <w:color w:val="FF0000"/>
        </w:rPr>
      </w:pPr>
      <w:r w:rsidRPr="00680B96">
        <w:rPr>
          <w:color w:val="FF0000"/>
        </w:rPr>
        <w:t>[ need to come up with</w:t>
      </w:r>
      <w:r w:rsidR="00AE4095">
        <w:rPr>
          <w:color w:val="FF0000"/>
        </w:rPr>
        <w:t xml:space="preserve"> plan and</w:t>
      </w:r>
      <w:r w:rsidRPr="00680B96">
        <w:rPr>
          <w:color w:val="FF0000"/>
        </w:rPr>
        <w:t xml:space="preserve"> justification for this ]</w:t>
      </w:r>
    </w:p>
    <w:p w14:paraId="0DD5A77D" w14:textId="77777777" w:rsidR="00CE1483" w:rsidRDefault="00CE1483" w:rsidP="00CE1483">
      <w:pPr>
        <w:pStyle w:val="Heading4"/>
      </w:pPr>
      <w:r w:rsidRPr="000576C1">
        <w:t>Planned Future Work:</w:t>
      </w:r>
    </w:p>
    <w:p w14:paraId="10188431" w14:textId="4AB3A9B5" w:rsidR="00041367" w:rsidRDefault="00041367" w:rsidP="00CE1483">
      <w:commentRangeStart w:id="15"/>
      <w:r>
        <w:t xml:space="preserve">In order to better support the caveats noted above, we plan to perform a second round of O&amp;M data collection and interviews, focused primarily on the extreme sizes (2.5-5 kw and 750-1500 kw), where initial empirical support was lacking. In addition, if we </w:t>
      </w:r>
      <w:r w:rsidR="00AE7A36">
        <w:t xml:space="preserve">are able to increase </w:t>
      </w:r>
      <w:r>
        <w:t>sample size</w:t>
      </w:r>
      <w:r w:rsidR="00AE7A36">
        <w:t xml:space="preserve"> sufficiently</w:t>
      </w:r>
      <w:r>
        <w:t xml:space="preserve">, we may try to </w:t>
      </w:r>
      <w:r w:rsidR="00AE7A36">
        <w:t xml:space="preserve">split the data at the system sizes corresponding to important mechanical transition and </w:t>
      </w:r>
      <w:r>
        <w:t>f</w:t>
      </w:r>
      <w:r w:rsidR="00AE7A36">
        <w:t>it separate regressions for each subset of data.</w:t>
      </w:r>
      <w:commentRangeEnd w:id="15"/>
      <w:r w:rsidR="00AE7A36">
        <w:rPr>
          <w:rStyle w:val="CommentReference"/>
        </w:rPr>
        <w:commentReference w:id="15"/>
      </w:r>
    </w:p>
    <w:p w14:paraId="22346075" w14:textId="47566435" w:rsidR="006C590D" w:rsidRDefault="00B2065B" w:rsidP="002C129E">
      <w:pPr>
        <w:pStyle w:val="Heading2"/>
      </w:pPr>
      <w:r>
        <w:br w:type="column"/>
      </w:r>
      <w:bookmarkStart w:id="16" w:name="_Toc307504971"/>
      <w:r w:rsidR="002C129E">
        <w:t>2.4</w:t>
      </w:r>
      <w:r w:rsidR="001B0882">
        <w:t xml:space="preserve"> </w:t>
      </w:r>
      <w:r w:rsidR="0044670F">
        <w:t xml:space="preserve">Current and Future </w:t>
      </w:r>
      <w:r w:rsidR="001B0882">
        <w:t xml:space="preserve">Technology Performance </w:t>
      </w:r>
      <w:r w:rsidR="0044670F">
        <w:t>(Wind-Specific)</w:t>
      </w:r>
      <w:bookmarkEnd w:id="16"/>
    </w:p>
    <w:p w14:paraId="6F8BFDD3" w14:textId="77777777" w:rsidR="006C590D" w:rsidRPr="003C3760" w:rsidRDefault="006C590D" w:rsidP="00C77F92">
      <w:pPr>
        <w:pStyle w:val="Heading4"/>
      </w:pPr>
      <w:r w:rsidRPr="003C3760">
        <w:t>Summary</w:t>
      </w:r>
    </w:p>
    <w:p w14:paraId="425E1531" w14:textId="62E13192" w:rsidR="00ED20CA" w:rsidRDefault="00ED20CA" w:rsidP="0062263F">
      <w:r>
        <w:t>T</w:t>
      </w:r>
      <w:r w:rsidR="0027378D">
        <w:t xml:space="preserve">he dGen model </w:t>
      </w:r>
      <w:r>
        <w:t>uses eight</w:t>
      </w:r>
      <w:r w:rsidR="0027378D">
        <w:t xml:space="preserve"> turbine power curves</w:t>
      </w:r>
      <w:r>
        <w:t xml:space="preserve"> to </w:t>
      </w:r>
      <w:r w:rsidR="00646CF4">
        <w:t>represent differences</w:t>
      </w:r>
      <w:r>
        <w:t xml:space="preserve"> in turbine performance </w:t>
      </w:r>
      <w:r w:rsidR="00646CF4">
        <w:t xml:space="preserve">across size classes and into the future. </w:t>
      </w:r>
      <w:r w:rsidR="00A245DE">
        <w:t>Users of the model must assign one of the power curves to each of the turbine size classes (2.5 – 1500 kw) and model years (2014 – 2050). This approach allows for transitions in turbine performance over time and across size classes at varying rates.</w:t>
      </w:r>
    </w:p>
    <w:p w14:paraId="47314048" w14:textId="7B502234" w:rsidR="006C590D" w:rsidRPr="003C3760" w:rsidRDefault="006C590D" w:rsidP="003C3760">
      <w:pPr>
        <w:pStyle w:val="Heading4"/>
      </w:pPr>
      <w:r w:rsidRPr="003C3760">
        <w:t>Default Settings</w:t>
      </w:r>
      <w:r w:rsidR="00B3007C" w:rsidRPr="003C3760">
        <w:t xml:space="preserve"> (2014)</w:t>
      </w:r>
    </w:p>
    <w:p w14:paraId="6DD7C5CE" w14:textId="59D9D325" w:rsidR="00C2479B" w:rsidRDefault="00C2479B" w:rsidP="00C2479B">
      <w:r>
        <w:t xml:space="preserve">Four of the eight power curves in the dGen model are used to represent current (2014) wind turbine technology. NREL derived these power curves using the methodology detailed in Appendix B, Section B2 of the dGen Model Documentation (Sigrin et al. 2015). This process was based on </w:t>
      </w:r>
      <w:r w:rsidR="00423ADE">
        <w:t xml:space="preserve">a detailed review </w:t>
      </w:r>
      <w:r>
        <w:t xml:space="preserve">and subsequent analysis </w:t>
      </w:r>
      <w:r w:rsidR="00423ADE">
        <w:t xml:space="preserve">of existing turbine power curves, spanning the range of turbine sizes used in the model. </w:t>
      </w:r>
      <w:commentRangeStart w:id="17"/>
      <w:r w:rsidRPr="00C2479B">
        <w:rPr>
          <w:color w:val="FF0000"/>
        </w:rPr>
        <w:t>Data sources used in this review include: …</w:t>
      </w:r>
      <w:r>
        <w:t xml:space="preserve"> </w:t>
      </w:r>
      <w:commentRangeEnd w:id="17"/>
      <w:r>
        <w:rPr>
          <w:rStyle w:val="CommentReference"/>
        </w:rPr>
        <w:commentReference w:id="17"/>
      </w:r>
      <w:r>
        <w:t>.</w:t>
      </w:r>
      <w:r w:rsidR="00B5735B">
        <w:t xml:space="preserve"> This analysis resulted in four generic power curves, each associated with a different size class, outlined in the table below:</w:t>
      </w:r>
    </w:p>
    <w:tbl>
      <w:tblPr>
        <w:tblStyle w:val="MediumList21"/>
        <w:tblW w:w="0" w:type="auto"/>
        <w:jc w:val="center"/>
        <w:tblLook w:val="04A0" w:firstRow="1" w:lastRow="0" w:firstColumn="1" w:lastColumn="0" w:noHBand="0" w:noVBand="1"/>
      </w:tblPr>
      <w:tblGrid>
        <w:gridCol w:w="2034"/>
        <w:gridCol w:w="1530"/>
        <w:gridCol w:w="1620"/>
        <w:gridCol w:w="1764"/>
      </w:tblGrid>
      <w:tr w:rsidR="009C1817" w:rsidRPr="0007680F" w14:paraId="1FAF73F5" w14:textId="77777777" w:rsidTr="00FB5D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39BA181D" w14:textId="1B65CD7A" w:rsidR="00B5735B" w:rsidRPr="0007680F" w:rsidRDefault="00E561F8" w:rsidP="00FB5D65">
            <w:pPr>
              <w:pStyle w:val="NRELBodyText"/>
              <w:jc w:val="center"/>
            </w:pPr>
            <w:r>
              <w:t>Power Curve</w:t>
            </w:r>
          </w:p>
        </w:tc>
        <w:tc>
          <w:tcPr>
            <w:tcW w:w="1530" w:type="dxa"/>
          </w:tcPr>
          <w:p w14:paraId="333BF1F1" w14:textId="77777777" w:rsidR="00B5735B" w:rsidRPr="0007680F" w:rsidRDefault="00B5735B" w:rsidP="00747C28">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1DBD897D" w14:textId="178C4248" w:rsidR="00B5735B" w:rsidRPr="0007680F" w:rsidRDefault="00FB5D65" w:rsidP="00747C28">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0B503936" w14:textId="2F333EE7" w:rsidR="00B5735B" w:rsidRPr="0007680F" w:rsidRDefault="00B5735B" w:rsidP="00F44E05">
            <w:pPr>
              <w:pStyle w:val="NRELBodyText"/>
              <w:jc w:val="center"/>
              <w:cnfStyle w:val="100000000000" w:firstRow="1" w:lastRow="0" w:firstColumn="0" w:lastColumn="0" w:oddVBand="0" w:evenVBand="0" w:oddHBand="0" w:evenHBand="0" w:firstRowFirstColumn="0" w:firstRowLastColumn="0" w:lastRowFirstColumn="0" w:lastRowLastColumn="0"/>
            </w:pPr>
            <w:r>
              <w:t>Power Curve</w:t>
            </w:r>
            <w:r w:rsidR="009C1817">
              <w:t xml:space="preserve"> ID</w:t>
            </w:r>
          </w:p>
        </w:tc>
      </w:tr>
      <w:tr w:rsidR="009C1817" w:rsidRPr="0007680F" w14:paraId="6C80D461" w14:textId="77777777" w:rsidTr="00FB5D65">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29003F58" w14:textId="2465FABF" w:rsidR="00B5735B" w:rsidRPr="0007680F" w:rsidRDefault="00FB5D65" w:rsidP="00747C28">
            <w:pPr>
              <w:pStyle w:val="NRELBodyText"/>
              <w:jc w:val="center"/>
            </w:pPr>
            <w:r>
              <w:t xml:space="preserve">Current </w:t>
            </w:r>
            <w:r w:rsidR="009C1817">
              <w:t xml:space="preserve">Small </w:t>
            </w:r>
            <w:r w:rsidR="00B5735B">
              <w:t>Residential</w:t>
            </w:r>
            <w:r w:rsidR="009A0C04">
              <w:t xml:space="preserve"> (2.5</w:t>
            </w:r>
            <w:r w:rsidR="009A0C04">
              <w:noBreakHyphen/>
            </w:r>
            <w:r w:rsidR="00B5735B">
              <w:t>20 kw)</w:t>
            </w:r>
          </w:p>
        </w:tc>
        <w:tc>
          <w:tcPr>
            <w:tcW w:w="1530" w:type="dxa"/>
          </w:tcPr>
          <w:p w14:paraId="098AD56F"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3.07 m</w:t>
            </w:r>
            <w:r w:rsidRPr="0007680F">
              <w:rPr>
                <w:vertAlign w:val="superscript"/>
              </w:rPr>
              <w:t>2</w:t>
            </w:r>
            <w:r w:rsidRPr="0007680F">
              <w:t>/kWp</w:t>
            </w:r>
          </w:p>
        </w:tc>
        <w:tc>
          <w:tcPr>
            <w:tcW w:w="1620" w:type="dxa"/>
          </w:tcPr>
          <w:p w14:paraId="2E2ABB39"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29.0% </w:t>
            </w:r>
          </w:p>
        </w:tc>
        <w:tc>
          <w:tcPr>
            <w:tcW w:w="1764" w:type="dxa"/>
          </w:tcPr>
          <w:p w14:paraId="385D4084"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1</w:t>
            </w:r>
          </w:p>
        </w:tc>
      </w:tr>
      <w:tr w:rsidR="009C1817" w:rsidRPr="0007680F" w14:paraId="5D4959B4" w14:textId="77777777" w:rsidTr="00FB5D65">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25607192" w14:textId="77513425" w:rsidR="00B5735B" w:rsidRPr="0007680F" w:rsidRDefault="00FB5D65" w:rsidP="00747C28">
            <w:pPr>
              <w:pStyle w:val="NRELBodyText"/>
              <w:jc w:val="center"/>
            </w:pPr>
            <w:r>
              <w:t xml:space="preserve">Current </w:t>
            </w:r>
            <w:r w:rsidR="00B5735B">
              <w:t xml:space="preserve">Small </w:t>
            </w:r>
            <w:r w:rsidR="009C1817">
              <w:t xml:space="preserve">Commercial </w:t>
            </w:r>
            <w:r w:rsidR="00B5735B">
              <w:t>(50</w:t>
            </w:r>
            <w:r w:rsidR="00B5735B">
              <w:noBreakHyphen/>
            </w:r>
            <w:r w:rsidR="00174D45">
              <w:t>100  </w:t>
            </w:r>
            <w:r w:rsidR="00B5735B">
              <w:t>kw)</w:t>
            </w:r>
          </w:p>
        </w:tc>
        <w:tc>
          <w:tcPr>
            <w:tcW w:w="1530" w:type="dxa"/>
          </w:tcPr>
          <w:p w14:paraId="7FF1A9E7"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75100823"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37.5% </w:t>
            </w:r>
          </w:p>
        </w:tc>
        <w:tc>
          <w:tcPr>
            <w:tcW w:w="1764" w:type="dxa"/>
          </w:tcPr>
          <w:p w14:paraId="0315256C"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2</w:t>
            </w:r>
          </w:p>
        </w:tc>
      </w:tr>
      <w:tr w:rsidR="009C1817" w:rsidRPr="0007680F" w14:paraId="43E53343" w14:textId="77777777" w:rsidTr="00FB5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62033472" w14:textId="014A6994" w:rsidR="00B5735B" w:rsidRPr="0007680F" w:rsidRDefault="00FB5D65" w:rsidP="00747C28">
            <w:pPr>
              <w:pStyle w:val="NRELBodyText"/>
              <w:jc w:val="center"/>
            </w:pPr>
            <w:r>
              <w:t xml:space="preserve">Current </w:t>
            </w:r>
            <w:r w:rsidR="00B5735B">
              <w:t>Midsize</w:t>
            </w:r>
            <w:r w:rsidR="00174D45">
              <w:t xml:space="preserve"> (250</w:t>
            </w:r>
            <w:r w:rsidR="00174D45">
              <w:noBreakHyphen/>
              <w:t>1000 kw)</w:t>
            </w:r>
          </w:p>
        </w:tc>
        <w:tc>
          <w:tcPr>
            <w:tcW w:w="1530" w:type="dxa"/>
          </w:tcPr>
          <w:p w14:paraId="2FFFD308"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t xml:space="preserve">3.1 </w:t>
            </w:r>
            <w:r w:rsidRPr="0007680F">
              <w:t>m</w:t>
            </w:r>
            <w:r w:rsidRPr="0007680F">
              <w:rPr>
                <w:vertAlign w:val="superscript"/>
              </w:rPr>
              <w:t>2</w:t>
            </w:r>
            <w:r w:rsidRPr="0007680F">
              <w:t>/kWp</w:t>
            </w:r>
          </w:p>
        </w:tc>
        <w:tc>
          <w:tcPr>
            <w:tcW w:w="1620" w:type="dxa"/>
          </w:tcPr>
          <w:p w14:paraId="044F96AD"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42.0% </w:t>
            </w:r>
          </w:p>
        </w:tc>
        <w:tc>
          <w:tcPr>
            <w:tcW w:w="1764" w:type="dxa"/>
          </w:tcPr>
          <w:p w14:paraId="7C542A3C"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w:t>
            </w:r>
          </w:p>
        </w:tc>
      </w:tr>
      <w:tr w:rsidR="009C1817" w:rsidRPr="0007680F" w14:paraId="06509E48" w14:textId="77777777" w:rsidTr="00FB5D65">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4AEC67BB" w14:textId="4F928F2F" w:rsidR="00B5735B" w:rsidRPr="0007680F" w:rsidRDefault="00FB5D65" w:rsidP="00747C28">
            <w:pPr>
              <w:pStyle w:val="NRELBodyText"/>
              <w:jc w:val="center"/>
            </w:pPr>
            <w:r>
              <w:t xml:space="preserve">Current </w:t>
            </w:r>
            <w:r w:rsidR="00B5735B">
              <w:t>Large</w:t>
            </w:r>
            <w:r>
              <w:t xml:space="preserve"> (1500 </w:t>
            </w:r>
            <w:r w:rsidR="00174D45">
              <w:t>kw)</w:t>
            </w:r>
          </w:p>
        </w:tc>
        <w:tc>
          <w:tcPr>
            <w:tcW w:w="1530" w:type="dxa"/>
          </w:tcPr>
          <w:p w14:paraId="6A545B54"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4140A305"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38.5% </w:t>
            </w:r>
          </w:p>
        </w:tc>
        <w:tc>
          <w:tcPr>
            <w:tcW w:w="1764" w:type="dxa"/>
          </w:tcPr>
          <w:p w14:paraId="67BADA2B"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w:t>
            </w:r>
          </w:p>
        </w:tc>
      </w:tr>
    </w:tbl>
    <w:p w14:paraId="4BA025E0" w14:textId="77777777" w:rsidR="00B5735B" w:rsidRDefault="00B5735B" w:rsidP="00C2479B"/>
    <w:p w14:paraId="7F77E978" w14:textId="53CC47E5" w:rsidR="00C2479B" w:rsidRDefault="00F44E05" w:rsidP="00423ADE">
      <w:r>
        <w:t xml:space="preserve">NREL uses these power curves as the default </w:t>
      </w:r>
      <w:r w:rsidR="00F7602B">
        <w:t>settings</w:t>
      </w:r>
      <w:r>
        <w:t xml:space="preserve"> for the first model year (2014).</w:t>
      </w:r>
    </w:p>
    <w:p w14:paraId="00E64933" w14:textId="6989CB95" w:rsidR="00B3007C" w:rsidRDefault="00B3007C" w:rsidP="003C3760">
      <w:pPr>
        <w:pStyle w:val="Heading4"/>
      </w:pPr>
      <w:r>
        <w:t>Future Projections (2016 – 2050)</w:t>
      </w:r>
    </w:p>
    <w:p w14:paraId="056F0687" w14:textId="6A4289AD" w:rsidR="009C1817" w:rsidRDefault="009C1817" w:rsidP="00350D89">
      <w:r>
        <w:t xml:space="preserve">The remaining four turbine power curves used in the dGen model </w:t>
      </w:r>
      <w:r w:rsidR="00350D89">
        <w:t>were derived by NREL to</w:t>
      </w:r>
      <w:r>
        <w:t xml:space="preserve"> </w:t>
      </w:r>
      <w:r w:rsidR="00350D89">
        <w:t>represent future technology performance in both the</w:t>
      </w:r>
      <w:r>
        <w:t xml:space="preserve"> near term (</w:t>
      </w:r>
      <w:commentRangeStart w:id="18"/>
      <w:r>
        <w:t>5 – 15 year</w:t>
      </w:r>
      <w:commentRangeEnd w:id="18"/>
      <w:r>
        <w:rPr>
          <w:rStyle w:val="CommentReference"/>
        </w:rPr>
        <w:commentReference w:id="18"/>
      </w:r>
      <w:r>
        <w:t>) and long term (</w:t>
      </w:r>
      <w:r w:rsidR="00747C28">
        <w:t>10 – 35)</w:t>
      </w:r>
      <w:r w:rsidR="00350D89">
        <w:t xml:space="preserve">. </w:t>
      </w:r>
      <w:r w:rsidR="003655A6">
        <w:t xml:space="preserve">These power curves were derived based assumptions about the maturity of existing technology at different turbine size classes, along with engineering judgment regarding the technical factors limiting future technology improvements.  </w:t>
      </w:r>
      <w:r w:rsidR="00350D89">
        <w:t>Refer to Appendix B, Section B2 of the</w:t>
      </w:r>
      <w:r w:rsidR="003655A6">
        <w:t xml:space="preserve"> dGen model documentation for a thorough </w:t>
      </w:r>
      <w:r w:rsidR="00350D89">
        <w:t xml:space="preserve">description of the methodology and assumptions used in development of these four power curves. </w:t>
      </w:r>
      <w:r w:rsidR="00FB5D65">
        <w:t>The resulting near and far future power curves are described in the table below.</w:t>
      </w:r>
    </w:p>
    <w:p w14:paraId="4AF31391" w14:textId="77777777" w:rsidR="00FB5D65" w:rsidRDefault="00FB5D65" w:rsidP="00350D89">
      <w:commentRangeStart w:id="19"/>
    </w:p>
    <w:tbl>
      <w:tblPr>
        <w:tblStyle w:val="MediumList21"/>
        <w:tblW w:w="0" w:type="auto"/>
        <w:jc w:val="center"/>
        <w:tblLook w:val="04A0" w:firstRow="1" w:lastRow="0" w:firstColumn="1" w:lastColumn="0" w:noHBand="0" w:noVBand="1"/>
      </w:tblPr>
      <w:tblGrid>
        <w:gridCol w:w="2034"/>
        <w:gridCol w:w="1530"/>
        <w:gridCol w:w="1620"/>
        <w:gridCol w:w="1764"/>
      </w:tblGrid>
      <w:tr w:rsidR="00FB5D65" w:rsidRPr="0007680F" w14:paraId="03B97639" w14:textId="77777777" w:rsidTr="004C69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1C7AF785" w14:textId="0A7A31B8" w:rsidR="00FB5D65" w:rsidRPr="0007680F" w:rsidRDefault="00E561F8" w:rsidP="00E561F8">
            <w:pPr>
              <w:pStyle w:val="NRELBodyText"/>
              <w:jc w:val="center"/>
            </w:pPr>
            <w:r>
              <w:t>Power Curve</w:t>
            </w:r>
          </w:p>
        </w:tc>
        <w:tc>
          <w:tcPr>
            <w:tcW w:w="1530" w:type="dxa"/>
          </w:tcPr>
          <w:p w14:paraId="347663B0"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3CDB1D85"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3D085534"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commentRangeEnd w:id="19"/>
      <w:tr w:rsidR="00FB5D65" w:rsidRPr="0007680F" w14:paraId="404BB125" w14:textId="77777777" w:rsidTr="004C6934">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7CF9235F" w14:textId="25AE0FA8" w:rsidR="00FB5D65" w:rsidRPr="0007680F" w:rsidRDefault="00C17F41" w:rsidP="004C6934">
            <w:pPr>
              <w:pStyle w:val="NRELBodyText"/>
              <w:jc w:val="center"/>
            </w:pPr>
            <w:r>
              <w:rPr>
                <w:rStyle w:val="CommentReference"/>
                <w:rFonts w:asciiTheme="minorHAnsi" w:eastAsiaTheme="minorEastAsia" w:hAnsiTheme="minorHAnsi" w:cstheme="minorBidi"/>
                <w:color w:val="auto"/>
              </w:rPr>
              <w:commentReference w:id="19"/>
            </w:r>
            <w:r w:rsidR="00962B67">
              <w:t xml:space="preserve">Near Future </w:t>
            </w:r>
            <w:r w:rsidR="00FB5D65">
              <w:t>Small Residential (2.5</w:t>
            </w:r>
            <w:r w:rsidR="00FB5D65">
              <w:noBreakHyphen/>
            </w:r>
            <w:r w:rsidR="00962B67">
              <w:t>20 </w:t>
            </w:r>
            <w:r w:rsidR="00FB5D65">
              <w:t>kw)</w:t>
            </w:r>
          </w:p>
        </w:tc>
        <w:tc>
          <w:tcPr>
            <w:tcW w:w="1530" w:type="dxa"/>
          </w:tcPr>
          <w:p w14:paraId="7CCEFC54" w14:textId="056A85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4.</w:t>
            </w:r>
            <w:r w:rsidRPr="0000069B">
              <w:t>0</w:t>
            </w:r>
            <w:r>
              <w:t xml:space="preserve"> </w:t>
            </w:r>
            <w:r w:rsidR="00FB5D65" w:rsidRPr="0007680F">
              <w:t>m</w:t>
            </w:r>
            <w:r w:rsidR="00FB5D65" w:rsidRPr="0007680F">
              <w:rPr>
                <w:vertAlign w:val="superscript"/>
              </w:rPr>
              <w:t>2</w:t>
            </w:r>
            <w:r w:rsidR="00FB5D65" w:rsidRPr="0007680F">
              <w:t>/kWp</w:t>
            </w:r>
          </w:p>
        </w:tc>
        <w:tc>
          <w:tcPr>
            <w:tcW w:w="1620" w:type="dxa"/>
          </w:tcPr>
          <w:p w14:paraId="2BB3166E" w14:textId="762C6E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38.5</w:t>
            </w:r>
            <w:r w:rsidR="00FB5D65" w:rsidRPr="0007680F">
              <w:t xml:space="preserve">% </w:t>
            </w:r>
          </w:p>
        </w:tc>
        <w:tc>
          <w:tcPr>
            <w:tcW w:w="1764" w:type="dxa"/>
          </w:tcPr>
          <w:p w14:paraId="107053CE" w14:textId="233BD323"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5</w:t>
            </w:r>
          </w:p>
        </w:tc>
      </w:tr>
      <w:tr w:rsidR="00FB5D65" w:rsidRPr="0007680F" w14:paraId="7062C743" w14:textId="77777777" w:rsidTr="004C6934">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32D7B1D5" w14:textId="4A8B6423" w:rsidR="00FB5D65" w:rsidRPr="0007680F" w:rsidRDefault="00A57D5F" w:rsidP="004C6934">
            <w:pPr>
              <w:pStyle w:val="NRELBodyText"/>
              <w:jc w:val="center"/>
            </w:pPr>
            <w:r>
              <w:t>Far Future Small Residential</w:t>
            </w:r>
            <w:r w:rsidR="00FB5D65">
              <w:t xml:space="preserve"> </w:t>
            </w:r>
            <w:r>
              <w:t>(2.5</w:t>
            </w:r>
            <w:r>
              <w:noBreakHyphen/>
              <w:t>20 kw)</w:t>
            </w:r>
          </w:p>
        </w:tc>
        <w:tc>
          <w:tcPr>
            <w:tcW w:w="1530" w:type="dxa"/>
          </w:tcPr>
          <w:p w14:paraId="17CE069B" w14:textId="1C37174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5.2</w:t>
            </w:r>
            <w:r w:rsidR="00FB5D65" w:rsidRPr="0007680F">
              <w:t xml:space="preserve"> m</w:t>
            </w:r>
            <w:r w:rsidR="00FB5D65" w:rsidRPr="0007680F">
              <w:rPr>
                <w:vertAlign w:val="superscript"/>
              </w:rPr>
              <w:t>2</w:t>
            </w:r>
            <w:r w:rsidR="00FB5D65" w:rsidRPr="0007680F">
              <w:t>/kWp</w:t>
            </w:r>
          </w:p>
        </w:tc>
        <w:tc>
          <w:tcPr>
            <w:tcW w:w="1620" w:type="dxa"/>
          </w:tcPr>
          <w:p w14:paraId="55E0340F" w14:textId="35720B5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40.0%</w:t>
            </w:r>
            <w:r w:rsidR="00FB5D65" w:rsidRPr="0007680F">
              <w:t xml:space="preserve"> </w:t>
            </w:r>
          </w:p>
        </w:tc>
        <w:tc>
          <w:tcPr>
            <w:tcW w:w="1764" w:type="dxa"/>
          </w:tcPr>
          <w:p w14:paraId="153A15CB" w14:textId="491FB9EF"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6</w:t>
            </w:r>
          </w:p>
        </w:tc>
      </w:tr>
      <w:tr w:rsidR="00FB5D65" w:rsidRPr="0007680F" w14:paraId="233C6298" w14:textId="77777777" w:rsidTr="004C69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1883503A" w14:textId="2A5F9046" w:rsidR="004C6934" w:rsidRPr="0007680F" w:rsidRDefault="004C6934" w:rsidP="004C6934">
            <w:pPr>
              <w:pStyle w:val="NRELBodyText"/>
              <w:jc w:val="center"/>
            </w:pPr>
            <w:r>
              <w:t>Near Future Small Commercial, Midsize, and Large (50-1500 kw)</w:t>
            </w:r>
          </w:p>
        </w:tc>
        <w:tc>
          <w:tcPr>
            <w:tcW w:w="1530" w:type="dxa"/>
          </w:tcPr>
          <w:p w14:paraId="00A9705B" w14:textId="710C423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 xml:space="preserve">4.2 </w:t>
            </w:r>
            <w:r w:rsidRPr="0007680F">
              <w:t>m</w:t>
            </w:r>
            <w:r w:rsidRPr="0007680F">
              <w:rPr>
                <w:vertAlign w:val="superscript"/>
              </w:rPr>
              <w:t>2</w:t>
            </w:r>
            <w:r w:rsidRPr="0007680F">
              <w:t>/kWp</w:t>
            </w:r>
          </w:p>
        </w:tc>
        <w:tc>
          <w:tcPr>
            <w:tcW w:w="1620" w:type="dxa"/>
          </w:tcPr>
          <w:p w14:paraId="7F47F7C5" w14:textId="7E563DA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43.0%</w:t>
            </w:r>
          </w:p>
        </w:tc>
        <w:tc>
          <w:tcPr>
            <w:tcW w:w="1764" w:type="dxa"/>
          </w:tcPr>
          <w:p w14:paraId="06F940EC" w14:textId="4D893179"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7</w:t>
            </w:r>
          </w:p>
        </w:tc>
      </w:tr>
      <w:tr w:rsidR="00FB5D65" w:rsidRPr="0007680F" w14:paraId="4D376E4A" w14:textId="77777777" w:rsidTr="004C6934">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5E9F3849" w14:textId="77777777" w:rsidR="00FB5D65" w:rsidRPr="0007680F" w:rsidRDefault="00FB5D65" w:rsidP="004C6934">
            <w:pPr>
              <w:pStyle w:val="NRELBodyText"/>
              <w:jc w:val="center"/>
            </w:pPr>
            <w:r>
              <w:t>Large (1500 kw)</w:t>
            </w:r>
          </w:p>
        </w:tc>
        <w:tc>
          <w:tcPr>
            <w:tcW w:w="1530" w:type="dxa"/>
          </w:tcPr>
          <w:p w14:paraId="1D3F24E9" w14:textId="1B1D192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 xml:space="preserve">5.2 </w:t>
            </w:r>
            <w:r w:rsidRPr="0007680F">
              <w:t>m</w:t>
            </w:r>
            <w:r w:rsidRPr="0007680F">
              <w:rPr>
                <w:vertAlign w:val="superscript"/>
              </w:rPr>
              <w:t>2</w:t>
            </w:r>
            <w:r w:rsidRPr="0007680F">
              <w:t>/kWp</w:t>
            </w:r>
          </w:p>
        </w:tc>
        <w:tc>
          <w:tcPr>
            <w:tcW w:w="1620" w:type="dxa"/>
          </w:tcPr>
          <w:p w14:paraId="1A77B0B3" w14:textId="30F2BAF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44.0%</w:t>
            </w:r>
          </w:p>
        </w:tc>
        <w:tc>
          <w:tcPr>
            <w:tcW w:w="1764" w:type="dxa"/>
          </w:tcPr>
          <w:p w14:paraId="7CC28363" w14:textId="612CE5F5"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8</w:t>
            </w:r>
          </w:p>
        </w:tc>
      </w:tr>
    </w:tbl>
    <w:p w14:paraId="04263BDF" w14:textId="77777777" w:rsidR="00E561F8" w:rsidRDefault="00E561F8" w:rsidP="00737D83"/>
    <w:p w14:paraId="629CE44E" w14:textId="61057934" w:rsidR="00893A77" w:rsidRPr="00F42F4F" w:rsidRDefault="00E561F8" w:rsidP="00737D83">
      <w:pPr>
        <w:rPr>
          <w:color w:val="FF0000"/>
        </w:rPr>
      </w:pPr>
      <w:r>
        <w:t>Although the names of the power curves indicate their applicability to general time periods (current, near future, far future), the schedule by which transitions between power curves occurs is defined on an annual basis</w:t>
      </w:r>
      <w:r w:rsidR="001076CF">
        <w:t xml:space="preserve">. </w:t>
      </w:r>
      <w:commentRangeStart w:id="20"/>
      <w:r w:rsidR="001076CF" w:rsidRPr="00F42F4F">
        <w:rPr>
          <w:color w:val="FF0000"/>
        </w:rPr>
        <w:t>NREL determined the default settings for the schedule of power curve transitions by …</w:t>
      </w:r>
      <w:r w:rsidR="001076CF">
        <w:t xml:space="preserve"> </w:t>
      </w:r>
      <w:commentRangeEnd w:id="20"/>
      <w:r w:rsidR="00F42F4F">
        <w:rPr>
          <w:rStyle w:val="CommentReference"/>
        </w:rPr>
        <w:commentReference w:id="20"/>
      </w:r>
      <w:r w:rsidR="001076CF">
        <w:t xml:space="preserve">. </w:t>
      </w:r>
      <w:commentRangeStart w:id="21"/>
      <w:r w:rsidR="001076CF" w:rsidRPr="00F42F4F">
        <w:rPr>
          <w:color w:val="FF0000"/>
        </w:rPr>
        <w:t>The default settings for power curve transitions are show in the table below.</w:t>
      </w:r>
      <w:commentRangeEnd w:id="21"/>
      <w:r w:rsidR="00F42F4F">
        <w:rPr>
          <w:rStyle w:val="CommentReference"/>
        </w:rPr>
        <w:commentReference w:id="21"/>
      </w:r>
    </w:p>
    <w:tbl>
      <w:tblPr>
        <w:tblW w:w="7600" w:type="dxa"/>
        <w:tblInd w:w="93" w:type="dxa"/>
        <w:tblLook w:val="04A0" w:firstRow="1" w:lastRow="0" w:firstColumn="1" w:lastColumn="0" w:noHBand="0" w:noVBand="1"/>
      </w:tblPr>
      <w:tblGrid>
        <w:gridCol w:w="840"/>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1076CF" w:rsidRPr="001076CF" w14:paraId="791DE71A" w14:textId="77777777" w:rsidTr="001076CF">
        <w:trPr>
          <w:trHeight w:val="760"/>
        </w:trPr>
        <w:tc>
          <w:tcPr>
            <w:tcW w:w="764" w:type="dxa"/>
            <w:tcBorders>
              <w:top w:val="dashed" w:sz="8" w:space="0" w:color="F79646"/>
              <w:left w:val="single" w:sz="12" w:space="0" w:color="auto"/>
              <w:bottom w:val="single" w:sz="12" w:space="0" w:color="auto"/>
              <w:right w:val="nil"/>
            </w:tcBorders>
            <w:shd w:val="clear" w:color="000000" w:fill="99CCFF"/>
            <w:vAlign w:val="bottom"/>
            <w:hideMark/>
          </w:tcPr>
          <w:p w14:paraId="45829AE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Turbine Size (kw)</w:t>
            </w:r>
          </w:p>
        </w:tc>
        <w:tc>
          <w:tcPr>
            <w:tcW w:w="359" w:type="dxa"/>
            <w:tcBorders>
              <w:top w:val="dashed" w:sz="8" w:space="0" w:color="F79646"/>
              <w:left w:val="single" w:sz="12" w:space="0" w:color="auto"/>
              <w:bottom w:val="single" w:sz="12" w:space="0" w:color="auto"/>
              <w:right w:val="nil"/>
            </w:tcBorders>
            <w:shd w:val="clear" w:color="000000" w:fill="99CCFF"/>
            <w:textDirection w:val="tbRl"/>
            <w:vAlign w:val="bottom"/>
            <w:hideMark/>
          </w:tcPr>
          <w:p w14:paraId="3E7D42CB"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2014</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66784C65"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2016</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3017B9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2018</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1922F2F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CCF3C3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5456E41"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3A3AC0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90B38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E72045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71D719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F9BB4F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4379BB3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01057BE"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E02EC4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512FABAC"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CD9C8C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9F7D48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3A12A4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2048</w:t>
            </w:r>
          </w:p>
        </w:tc>
        <w:tc>
          <w:tcPr>
            <w:tcW w:w="360" w:type="dxa"/>
            <w:tcBorders>
              <w:top w:val="dashed" w:sz="8" w:space="0" w:color="F79646"/>
              <w:left w:val="nil"/>
              <w:bottom w:val="single" w:sz="12" w:space="0" w:color="auto"/>
              <w:right w:val="dashed" w:sz="8" w:space="0" w:color="F79646"/>
            </w:tcBorders>
            <w:shd w:val="clear" w:color="000000" w:fill="99CCFF"/>
            <w:textDirection w:val="tbRl"/>
            <w:vAlign w:val="bottom"/>
            <w:hideMark/>
          </w:tcPr>
          <w:p w14:paraId="08DF49C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2050</w:t>
            </w:r>
          </w:p>
        </w:tc>
      </w:tr>
      <w:tr w:rsidR="001076CF" w:rsidRPr="001076CF" w14:paraId="1BB3ACDF" w14:textId="77777777" w:rsidTr="001076CF">
        <w:trPr>
          <w:trHeight w:val="340"/>
        </w:trPr>
        <w:tc>
          <w:tcPr>
            <w:tcW w:w="764" w:type="dxa"/>
            <w:tcBorders>
              <w:top w:val="nil"/>
              <w:left w:val="dashed" w:sz="8" w:space="0" w:color="F79646"/>
              <w:bottom w:val="nil"/>
              <w:right w:val="single" w:sz="12" w:space="0" w:color="auto"/>
            </w:tcBorders>
            <w:shd w:val="clear" w:color="000000" w:fill="000080"/>
            <w:vAlign w:val="bottom"/>
            <w:hideMark/>
          </w:tcPr>
          <w:p w14:paraId="0B37B6CD"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w:t>
            </w:r>
          </w:p>
        </w:tc>
        <w:tc>
          <w:tcPr>
            <w:tcW w:w="359" w:type="dxa"/>
            <w:tcBorders>
              <w:top w:val="nil"/>
              <w:left w:val="nil"/>
              <w:bottom w:val="nil"/>
              <w:right w:val="nil"/>
            </w:tcBorders>
            <w:shd w:val="clear" w:color="000000" w:fill="FCFCFF"/>
            <w:vAlign w:val="bottom"/>
            <w:hideMark/>
          </w:tcPr>
          <w:p w14:paraId="736C8EB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26ACF8A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54CCBCD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D7492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C145E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47979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332A9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A13C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9081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7C970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5F1947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FDA89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E28A3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6DE7F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0C9AD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003B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FEADB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05B6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D0248E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3A239F1C" w14:textId="77777777" w:rsidTr="001076CF">
        <w:trPr>
          <w:trHeight w:val="320"/>
        </w:trPr>
        <w:tc>
          <w:tcPr>
            <w:tcW w:w="764" w:type="dxa"/>
            <w:tcBorders>
              <w:top w:val="single" w:sz="12" w:space="0" w:color="auto"/>
              <w:left w:val="dashed" w:sz="8" w:space="0" w:color="F79646"/>
              <w:bottom w:val="nil"/>
              <w:right w:val="single" w:sz="12" w:space="0" w:color="auto"/>
            </w:tcBorders>
            <w:shd w:val="clear" w:color="000000" w:fill="000080"/>
            <w:vAlign w:val="bottom"/>
            <w:hideMark/>
          </w:tcPr>
          <w:p w14:paraId="56FBB084"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w:t>
            </w:r>
          </w:p>
        </w:tc>
        <w:tc>
          <w:tcPr>
            <w:tcW w:w="359" w:type="dxa"/>
            <w:tcBorders>
              <w:top w:val="nil"/>
              <w:left w:val="nil"/>
              <w:bottom w:val="nil"/>
              <w:right w:val="nil"/>
            </w:tcBorders>
            <w:shd w:val="clear" w:color="000000" w:fill="FCFCFF"/>
            <w:vAlign w:val="bottom"/>
            <w:hideMark/>
          </w:tcPr>
          <w:p w14:paraId="10AF99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3B8FBD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147403A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1BD10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D249D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50B05BD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C104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FC54D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F3ECF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AA86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40681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8AA569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C9B3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A02C4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74B123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07BE8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25DB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6375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7F9CB6F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12F13730"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039BC161"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w:t>
            </w:r>
          </w:p>
        </w:tc>
        <w:tc>
          <w:tcPr>
            <w:tcW w:w="359" w:type="dxa"/>
            <w:tcBorders>
              <w:top w:val="nil"/>
              <w:left w:val="nil"/>
              <w:bottom w:val="nil"/>
              <w:right w:val="nil"/>
            </w:tcBorders>
            <w:shd w:val="clear" w:color="000000" w:fill="FCFCFF"/>
            <w:vAlign w:val="bottom"/>
            <w:hideMark/>
          </w:tcPr>
          <w:p w14:paraId="09564F4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4F2D052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D2A9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5967F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1EF73D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E0B1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F525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CB21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39D29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51C4F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4FD78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AF308D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A7585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6F567A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F95A4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AC5EC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1AC0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B4C602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C11D3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089FAB7A"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ADEE28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20</w:t>
            </w:r>
          </w:p>
        </w:tc>
        <w:tc>
          <w:tcPr>
            <w:tcW w:w="359" w:type="dxa"/>
            <w:tcBorders>
              <w:top w:val="nil"/>
              <w:left w:val="nil"/>
              <w:bottom w:val="nil"/>
              <w:right w:val="nil"/>
            </w:tcBorders>
            <w:shd w:val="clear" w:color="000000" w:fill="FCFCFF"/>
            <w:vAlign w:val="bottom"/>
            <w:hideMark/>
          </w:tcPr>
          <w:p w14:paraId="63A5812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5F5897C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64C362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9DB4A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5B283E5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31ED4B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7665E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30718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7F8EB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5932A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DCA0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FF526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ADD9D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2EFFEF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C15C7F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AA50E0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18A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07A41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1A2E9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48E85792"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70820EA8"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w:t>
            </w:r>
          </w:p>
        </w:tc>
        <w:tc>
          <w:tcPr>
            <w:tcW w:w="359" w:type="dxa"/>
            <w:tcBorders>
              <w:top w:val="nil"/>
              <w:left w:val="nil"/>
              <w:bottom w:val="nil"/>
              <w:right w:val="nil"/>
            </w:tcBorders>
            <w:shd w:val="clear" w:color="000000" w:fill="E7F4ED"/>
            <w:vAlign w:val="bottom"/>
            <w:hideMark/>
          </w:tcPr>
          <w:p w14:paraId="48792A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B6930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D8060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010BF9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373FCC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B4A0E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8E92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F95CE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1CF45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D708D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A7B32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56688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F5FF0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C44A70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C86C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092D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F17E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2D8C9D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1C4E0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189844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47452A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w:t>
            </w:r>
          </w:p>
        </w:tc>
        <w:tc>
          <w:tcPr>
            <w:tcW w:w="359" w:type="dxa"/>
            <w:tcBorders>
              <w:top w:val="nil"/>
              <w:left w:val="nil"/>
              <w:bottom w:val="nil"/>
              <w:right w:val="nil"/>
            </w:tcBorders>
            <w:shd w:val="clear" w:color="000000" w:fill="E7F4ED"/>
            <w:vAlign w:val="bottom"/>
            <w:hideMark/>
          </w:tcPr>
          <w:p w14:paraId="4D93CF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A9E4E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62C384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4977C5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2E1755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6E5EF49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BD99C2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764905B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6C62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B1D8DB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7D3C7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296A82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8BD5D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3B7B0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8EC3B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9B2835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66BB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2EAF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7A03741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6A0D510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3A45D4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250</w:t>
            </w:r>
          </w:p>
        </w:tc>
        <w:tc>
          <w:tcPr>
            <w:tcW w:w="359" w:type="dxa"/>
            <w:tcBorders>
              <w:top w:val="nil"/>
              <w:left w:val="nil"/>
              <w:bottom w:val="nil"/>
              <w:right w:val="nil"/>
            </w:tcBorders>
            <w:shd w:val="clear" w:color="000000" w:fill="D1EBDA"/>
            <w:vAlign w:val="bottom"/>
            <w:hideMark/>
          </w:tcPr>
          <w:p w14:paraId="139A48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0E6BCA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4EE136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0F4BDC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21E0C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6B9D9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2EB82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0046F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052BA5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6FE71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E0118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B14BFE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141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B9656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7ADF8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1DD55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37D9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9EAA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1FD36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DE4138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BEA47C6"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500</w:t>
            </w:r>
          </w:p>
        </w:tc>
        <w:tc>
          <w:tcPr>
            <w:tcW w:w="359" w:type="dxa"/>
            <w:tcBorders>
              <w:top w:val="nil"/>
              <w:left w:val="nil"/>
              <w:bottom w:val="nil"/>
              <w:right w:val="nil"/>
            </w:tcBorders>
            <w:shd w:val="clear" w:color="000000" w:fill="D1EBDA"/>
            <w:vAlign w:val="bottom"/>
            <w:hideMark/>
          </w:tcPr>
          <w:p w14:paraId="05D0335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F4DBA1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03E7D9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709097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61AE28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070B14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E4EBE9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F2D57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57F317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3DD8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ACD7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8D6BB9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0E6F7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BD67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84839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DF335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C142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1E6E2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257468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18A87AD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31CED4BA"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750</w:t>
            </w:r>
          </w:p>
        </w:tc>
        <w:tc>
          <w:tcPr>
            <w:tcW w:w="359" w:type="dxa"/>
            <w:tcBorders>
              <w:top w:val="nil"/>
              <w:left w:val="nil"/>
              <w:bottom w:val="nil"/>
              <w:right w:val="nil"/>
            </w:tcBorders>
            <w:shd w:val="clear" w:color="000000" w:fill="D1EBDA"/>
            <w:vAlign w:val="bottom"/>
            <w:hideMark/>
          </w:tcPr>
          <w:p w14:paraId="66C3A8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7B271A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263ACB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8A5DE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E502F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5432D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267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8D2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AFB32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1CFDCF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E5BAB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DC086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E646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62B84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8420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F175A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3A696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EB161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3FBB89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867DC8B"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27E1142"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1000</w:t>
            </w:r>
          </w:p>
        </w:tc>
        <w:tc>
          <w:tcPr>
            <w:tcW w:w="359" w:type="dxa"/>
            <w:tcBorders>
              <w:top w:val="nil"/>
              <w:left w:val="nil"/>
              <w:bottom w:val="nil"/>
              <w:right w:val="nil"/>
            </w:tcBorders>
            <w:shd w:val="clear" w:color="000000" w:fill="D1EBDA"/>
            <w:vAlign w:val="bottom"/>
            <w:hideMark/>
          </w:tcPr>
          <w:p w14:paraId="0968C17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2D26CF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DABE4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36632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545B6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E7C902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BB271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7B512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488049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C8F2E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BF0122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F5DF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8C103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A56B1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AF2921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6DAC97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27040B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76F55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552E9D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091B549D" w14:textId="77777777" w:rsidTr="001076CF">
        <w:trPr>
          <w:trHeight w:val="320"/>
        </w:trPr>
        <w:tc>
          <w:tcPr>
            <w:tcW w:w="764" w:type="dxa"/>
            <w:tcBorders>
              <w:top w:val="single" w:sz="4" w:space="0" w:color="auto"/>
              <w:left w:val="dashed" w:sz="8" w:space="0" w:color="F79646"/>
              <w:bottom w:val="dashed" w:sz="8" w:space="0" w:color="F79646"/>
              <w:right w:val="single" w:sz="12" w:space="0" w:color="auto"/>
            </w:tcBorders>
            <w:shd w:val="clear" w:color="000000" w:fill="000080"/>
            <w:vAlign w:val="bottom"/>
            <w:hideMark/>
          </w:tcPr>
          <w:p w14:paraId="4384A70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1500</w:t>
            </w:r>
          </w:p>
        </w:tc>
        <w:tc>
          <w:tcPr>
            <w:tcW w:w="359" w:type="dxa"/>
            <w:tcBorders>
              <w:top w:val="nil"/>
              <w:left w:val="nil"/>
              <w:bottom w:val="dashed" w:sz="8" w:space="0" w:color="F79646"/>
              <w:right w:val="nil"/>
            </w:tcBorders>
            <w:shd w:val="clear" w:color="000000" w:fill="BBE2C7"/>
            <w:vAlign w:val="bottom"/>
            <w:hideMark/>
          </w:tcPr>
          <w:p w14:paraId="53077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5F891FE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2A9A618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7F9D16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60" w:type="dxa"/>
            <w:tcBorders>
              <w:top w:val="nil"/>
              <w:left w:val="nil"/>
              <w:bottom w:val="dashed" w:sz="8" w:space="0" w:color="F79646"/>
              <w:right w:val="nil"/>
            </w:tcBorders>
            <w:shd w:val="clear" w:color="000000" w:fill="63BE7B"/>
            <w:vAlign w:val="bottom"/>
            <w:hideMark/>
          </w:tcPr>
          <w:p w14:paraId="486C29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88CD4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CD685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C2882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1ECC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A9A7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083F5B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61761E8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B7F2C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8E71D3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5580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E2227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F45F5D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F502B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dashed" w:sz="8" w:space="0" w:color="F79646"/>
            </w:tcBorders>
            <w:shd w:val="clear" w:color="000000" w:fill="63BE7B"/>
            <w:vAlign w:val="bottom"/>
            <w:hideMark/>
          </w:tcPr>
          <w:p w14:paraId="6774DBA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bl>
    <w:p w14:paraId="425656E1" w14:textId="4F93751B" w:rsidR="00AF5F55" w:rsidRDefault="00AF5F55" w:rsidP="003C3760">
      <w:pPr>
        <w:pStyle w:val="Heading4"/>
      </w:pPr>
      <w:r>
        <w:t>Future Planned Work</w:t>
      </w:r>
    </w:p>
    <w:p w14:paraId="37EF6E49" w14:textId="716B3C34" w:rsidR="00893A77" w:rsidRPr="00442795" w:rsidRDefault="007233F6" w:rsidP="007233F6">
      <w:pPr>
        <w:rPr>
          <w:rStyle w:val="Heading2Char"/>
        </w:rPr>
      </w:pPr>
      <w:r>
        <w:t xml:space="preserve">NREL has performed substantial work, grounded in </w:t>
      </w:r>
      <w:r w:rsidR="00CC17B1">
        <w:t xml:space="preserve">both </w:t>
      </w:r>
      <w:r>
        <w:t>empirical data and experience</w:t>
      </w:r>
      <w:r w:rsidR="00890226">
        <w:t>d</w:t>
      </w:r>
      <w:r>
        <w:t xml:space="preserve"> engineering judgment, to develop the default assumptions for power curves a</w:t>
      </w:r>
      <w:r w:rsidR="00890226">
        <w:t xml:space="preserve">nd power curve transitions. </w:t>
      </w:r>
      <w:commentRangeStart w:id="22"/>
      <w:r w:rsidR="0066074C" w:rsidRPr="008315BC">
        <w:rPr>
          <w:color w:val="FF0000"/>
        </w:rPr>
        <w:t>Nonetheless, t</w:t>
      </w:r>
      <w:r w:rsidR="00890226" w:rsidRPr="008315BC">
        <w:rPr>
          <w:color w:val="FF0000"/>
        </w:rPr>
        <w:t xml:space="preserve">o ensure </w:t>
      </w:r>
      <w:r w:rsidR="0066074C" w:rsidRPr="008315BC">
        <w:rPr>
          <w:color w:val="FF0000"/>
        </w:rPr>
        <w:t>our full confidence in them,</w:t>
      </w:r>
      <w:r w:rsidRPr="008315BC">
        <w:rPr>
          <w:color w:val="FF0000"/>
        </w:rPr>
        <w:t xml:space="preserve"> we plan to submit these assumptions to review </w:t>
      </w:r>
      <w:r w:rsidR="0066074C" w:rsidRPr="008315BC">
        <w:rPr>
          <w:color w:val="FF0000"/>
        </w:rPr>
        <w:t>by a technical review committee.</w:t>
      </w:r>
      <w:commentRangeEnd w:id="22"/>
      <w:r w:rsidR="008315BC">
        <w:rPr>
          <w:rStyle w:val="CommentReference"/>
        </w:rPr>
        <w:commentReference w:id="22"/>
      </w:r>
      <w:r w:rsidR="00D364DD">
        <w:br w:type="column"/>
      </w:r>
      <w:r w:rsidR="00CF5A03" w:rsidRPr="00442795">
        <w:rPr>
          <w:rStyle w:val="Heading2Char"/>
        </w:rPr>
        <w:t>2.5 Load Growth</w:t>
      </w:r>
      <w:r w:rsidR="004B4652" w:rsidRPr="00442795">
        <w:rPr>
          <w:rStyle w:val="Heading2Char"/>
        </w:rPr>
        <w:t xml:space="preserve"> (Technology Agnostic)</w:t>
      </w:r>
    </w:p>
    <w:p w14:paraId="69C4FF1A" w14:textId="2CC3762C" w:rsidR="0072224F" w:rsidRDefault="0072224F" w:rsidP="003C3760">
      <w:pPr>
        <w:pStyle w:val="Heading4"/>
      </w:pPr>
      <w:r>
        <w:t>Summary</w:t>
      </w:r>
    </w:p>
    <w:p w14:paraId="74B52538" w14:textId="1A76B97D" w:rsidR="0098322B" w:rsidRDefault="0098322B" w:rsidP="0098322B">
      <w:r>
        <w:t xml:space="preserve">Growth in the aggregate consumption of electricity (i.e., load growth) in the dGen model is implemented as population growth: </w:t>
      </w:r>
      <w:r w:rsidR="003616B0">
        <w:t xml:space="preserve">individual household and business level consumption is kept constant, while total </w:t>
      </w:r>
      <w:r>
        <w:t xml:space="preserve">number of </w:t>
      </w:r>
      <w:r w:rsidR="003616B0">
        <w:t>hosueholds and businesses increases over time</w:t>
      </w:r>
      <w:r>
        <w:t xml:space="preserve">. This approach is </w:t>
      </w:r>
      <w:r w:rsidR="003616B0">
        <w:t xml:space="preserve">consistent with the </w:t>
      </w:r>
      <w:r w:rsidR="003616B0" w:rsidRPr="003616B0">
        <w:rPr>
          <w:color w:val="FF0000"/>
        </w:rPr>
        <w:t>SolarDS</w:t>
      </w:r>
      <w:r w:rsidRPr="003616B0">
        <w:rPr>
          <w:color w:val="FF0000"/>
        </w:rPr>
        <w:t xml:space="preserve"> </w:t>
      </w:r>
      <w:r w:rsidR="003616B0" w:rsidRPr="003616B0">
        <w:rPr>
          <w:color w:val="FF0000"/>
        </w:rPr>
        <w:t>(and REEDS?) models, used in NREL analyses like SunShot, Wind Vision, etc.</w:t>
      </w:r>
    </w:p>
    <w:p w14:paraId="02E0FAAE" w14:textId="77777777" w:rsidR="0098322B" w:rsidRDefault="0098322B" w:rsidP="0072224F"/>
    <w:p w14:paraId="44EA89CC" w14:textId="3389DFB3" w:rsidR="0098322B" w:rsidRDefault="0034636B" w:rsidP="0072224F">
      <w:r>
        <w:t>Load growth is applied</w:t>
      </w:r>
      <w:r w:rsidR="003012DD">
        <w:t xml:space="preserve"> by market sector</w:t>
      </w:r>
      <w:r>
        <w:t xml:space="preserve"> at a regional level (Census Divisions)</w:t>
      </w:r>
      <w:r w:rsidR="00EE2669">
        <w:t xml:space="preserve"> using projections from EIA’s Annual Electricity Outlook (</w:t>
      </w:r>
      <w:r w:rsidR="00EE2669" w:rsidRPr="00EE2669">
        <w:rPr>
          <w:color w:val="FF0000"/>
        </w:rPr>
        <w:t>add ref</w:t>
      </w:r>
      <w:r w:rsidR="00EE2669">
        <w:t>). Users may select from AEO’s 2014 or 2015 projections, including five options for each:</w:t>
      </w:r>
    </w:p>
    <w:p w14:paraId="4E450180" w14:textId="0E604472" w:rsidR="00EE2669" w:rsidRDefault="00EE2669" w:rsidP="00EE2669">
      <w:pPr>
        <w:pStyle w:val="ListParagraph"/>
        <w:numPr>
          <w:ilvl w:val="0"/>
          <w:numId w:val="15"/>
        </w:numPr>
      </w:pPr>
      <w:r>
        <w:t>No Load Growth After 2014</w:t>
      </w:r>
    </w:p>
    <w:p w14:paraId="2B6CF784" w14:textId="35FCD1AB" w:rsidR="00EE2669" w:rsidRDefault="00EE2669" w:rsidP="00EE2669">
      <w:pPr>
        <w:pStyle w:val="ListParagraph"/>
        <w:numPr>
          <w:ilvl w:val="0"/>
          <w:numId w:val="15"/>
        </w:numPr>
      </w:pPr>
      <w:r>
        <w:t>Low Growth Case</w:t>
      </w:r>
    </w:p>
    <w:p w14:paraId="1E2E7374" w14:textId="23E0E038" w:rsidR="00EE2669" w:rsidRDefault="00EE2669" w:rsidP="00EE2669">
      <w:pPr>
        <w:pStyle w:val="ListParagraph"/>
        <w:numPr>
          <w:ilvl w:val="0"/>
          <w:numId w:val="15"/>
        </w:numPr>
      </w:pPr>
      <w:r>
        <w:t>Reference Case</w:t>
      </w:r>
    </w:p>
    <w:p w14:paraId="3F045294" w14:textId="65603740" w:rsidR="00EE2669" w:rsidRDefault="00EE2669" w:rsidP="00EE2669">
      <w:pPr>
        <w:pStyle w:val="ListParagraph"/>
        <w:numPr>
          <w:ilvl w:val="0"/>
          <w:numId w:val="15"/>
        </w:numPr>
      </w:pPr>
      <w:r>
        <w:t>High Growth Case</w:t>
      </w:r>
    </w:p>
    <w:p w14:paraId="05067FC4" w14:textId="7498D831" w:rsidR="00EE2669" w:rsidRDefault="00EE2669" w:rsidP="00EE2669">
      <w:pPr>
        <w:pStyle w:val="ListParagraph"/>
        <w:numPr>
          <w:ilvl w:val="0"/>
          <w:numId w:val="15"/>
        </w:numPr>
      </w:pPr>
      <w:r>
        <w:t>2x Growth Rate of Reference Case</w:t>
      </w:r>
    </w:p>
    <w:p w14:paraId="399E998C" w14:textId="2C97654D" w:rsidR="00EE2669" w:rsidRDefault="00EE2669" w:rsidP="00EE2669">
      <w:r>
        <w:t>All 10 load growth scenarios are shown in the figure below. In all cases,</w:t>
      </w:r>
      <w:r w:rsidR="00BD0C54">
        <w:t xml:space="preserve"> the selected option is applied as a scalar multiplier </w:t>
      </w:r>
      <w:r>
        <w:t xml:space="preserve">on the initial number of customers in the starting model year (2012). </w:t>
      </w:r>
      <w:r w:rsidR="00BD0C54">
        <w:t>Only one option can be selected for each model run.</w:t>
      </w:r>
    </w:p>
    <w:p w14:paraId="016ACE95" w14:textId="77777777" w:rsidR="00EE2669" w:rsidRDefault="00EE2669" w:rsidP="0072224F"/>
    <w:p w14:paraId="6BBFB853" w14:textId="29B16D90" w:rsidR="00EE2669" w:rsidRPr="00EE2669" w:rsidRDefault="00EE2669" w:rsidP="0072224F">
      <w:pPr>
        <w:rPr>
          <w:color w:val="FF0000"/>
        </w:rPr>
      </w:pPr>
      <w:r w:rsidRPr="00EE2669">
        <w:rPr>
          <w:color w:val="FF0000"/>
        </w:rPr>
        <w:t>[ add figure?</w:t>
      </w:r>
      <w:r w:rsidR="00BD0C54">
        <w:rPr>
          <w:color w:val="FF0000"/>
        </w:rPr>
        <w:t xml:space="preserve"> </w:t>
      </w:r>
      <w:r w:rsidRPr="00EE2669">
        <w:rPr>
          <w:color w:val="FF0000"/>
        </w:rPr>
        <w:t>]</w:t>
      </w:r>
    </w:p>
    <w:p w14:paraId="6199390B" w14:textId="60F241C7" w:rsidR="0072224F" w:rsidRDefault="0072224F" w:rsidP="003C3760">
      <w:pPr>
        <w:pStyle w:val="Heading4"/>
      </w:pPr>
      <w:r>
        <w:t>Default Settings (All Years)</w:t>
      </w:r>
    </w:p>
    <w:p w14:paraId="3D087E17" w14:textId="2D104840" w:rsidR="0072224F" w:rsidRDefault="00373E6C" w:rsidP="0072224F">
      <w:r>
        <w:t>The default setting used by the dGen model is the AEO 2015 Reference Case. This is the most up-to-date projection available from AEO, which is presented by EIA as “a business-as-usual trend estimate, given known technology and technological and demographic trends” (</w:t>
      </w:r>
      <w:r w:rsidRPr="00373E6C">
        <w:rPr>
          <w:color w:val="FF0000"/>
        </w:rPr>
        <w:t>add reference, page iii of AEO2015 report</w:t>
      </w:r>
      <w:r>
        <w:t>).</w:t>
      </w:r>
      <w:r w:rsidR="009527FC">
        <w:t xml:space="preserve"> While these projections have significant uncertainty, they provide an objective, well-informed basis for estimating future load growth and are a standard input to other NREL models (</w:t>
      </w:r>
      <w:r w:rsidR="009527FC" w:rsidRPr="009527FC">
        <w:rPr>
          <w:color w:val="FF0000"/>
        </w:rPr>
        <w:t>e.g., REEdS, others?).</w:t>
      </w:r>
    </w:p>
    <w:p w14:paraId="4E2E4AA4" w14:textId="38A214E6" w:rsidR="0072224F" w:rsidRDefault="0072224F" w:rsidP="003C3760">
      <w:pPr>
        <w:pStyle w:val="Heading4"/>
      </w:pPr>
      <w:r>
        <w:t>Planned Future Work</w:t>
      </w:r>
    </w:p>
    <w:p w14:paraId="1D46AD69" w14:textId="21104A75" w:rsidR="00CF5A03" w:rsidRDefault="00CB38A7" w:rsidP="00737D83">
      <w:r>
        <w:t xml:space="preserve">We are highly confident in the empirical basis for the dGen load growth assumptions and </w:t>
      </w:r>
      <w:r w:rsidR="001A7CB6">
        <w:t>do not plan on performing additional work to support this assumption.</w:t>
      </w:r>
    </w:p>
    <w:p w14:paraId="6E06A0F1" w14:textId="34D25A04" w:rsidR="00CF5A03" w:rsidRDefault="00D364DD" w:rsidP="001D5C35">
      <w:pPr>
        <w:pStyle w:val="Heading2"/>
      </w:pPr>
      <w:r>
        <w:br w:type="column"/>
      </w:r>
      <w:bookmarkStart w:id="23" w:name="_Toc307504972"/>
      <w:r w:rsidR="00CF5A03">
        <w:t>2.6 Electricity Rates</w:t>
      </w:r>
      <w:r w:rsidR="00202C6F">
        <w:t xml:space="preserve"> and Rate Escalations</w:t>
      </w:r>
      <w:r w:rsidR="00BA7A79">
        <w:t xml:space="preserve"> (Technology Agnostic)</w:t>
      </w:r>
      <w:bookmarkEnd w:id="23"/>
    </w:p>
    <w:p w14:paraId="504AF791" w14:textId="67086158" w:rsidR="00202C6F" w:rsidRDefault="00202C6F" w:rsidP="00F37A73">
      <w:pPr>
        <w:pStyle w:val="Heading4"/>
      </w:pPr>
      <w:r>
        <w:t>Summary</w:t>
      </w:r>
    </w:p>
    <w:p w14:paraId="1ADAC63B" w14:textId="3E672815" w:rsidR="00ED0202" w:rsidRDefault="00222F54" w:rsidP="00222F54">
      <w:r>
        <w:t xml:space="preserve">The cost of electricity in the dGen model </w:t>
      </w:r>
      <w:r w:rsidR="00ED0202">
        <w:t xml:space="preserve">can be </w:t>
      </w:r>
      <w:r w:rsidR="00152B44">
        <w:t xml:space="preserve">evaluated </w:t>
      </w:r>
      <w:r w:rsidR="00FE6EB4">
        <w:t>using three different, location</w:t>
      </w:r>
      <w:r w:rsidR="00152B44">
        <w:t xml:space="preserve">-specific </w:t>
      </w:r>
      <w:r w:rsidR="00ED0202">
        <w:t xml:space="preserve">estimates of current </w:t>
      </w:r>
      <w:r w:rsidR="00B1348D">
        <w:t>(2014)</w:t>
      </w:r>
      <w:r w:rsidR="00BE4580">
        <w:t xml:space="preserve"> </w:t>
      </w:r>
      <w:r w:rsidR="00ED0202">
        <w:t>electricity rates:</w:t>
      </w:r>
    </w:p>
    <w:p w14:paraId="1F8F672B" w14:textId="4BCD9CBE" w:rsidR="00ED0202" w:rsidRDefault="00152B44" w:rsidP="00152B44">
      <w:pPr>
        <w:pStyle w:val="ListParagraph"/>
        <w:numPr>
          <w:ilvl w:val="0"/>
          <w:numId w:val="17"/>
        </w:numPr>
      </w:pPr>
      <w:r>
        <w:t>R</w:t>
      </w:r>
      <w:r w:rsidRPr="00D064D3">
        <w:t>eal-world tariffs based on the Utility Rate Database</w:t>
      </w:r>
      <w:r>
        <w:t xml:space="preserve"> (URDB)</w:t>
      </w:r>
      <w:r w:rsidRPr="00D064D3">
        <w:t xml:space="preserve"> (</w:t>
      </w:r>
      <w:commentRangeStart w:id="24"/>
      <w:r w:rsidRPr="00152B44">
        <w:rPr>
          <w:color w:val="FF0000"/>
        </w:rPr>
        <w:t>OpenEI 2014</w:t>
      </w:r>
      <w:commentRangeEnd w:id="24"/>
      <w:r>
        <w:rPr>
          <w:rStyle w:val="CommentReference"/>
        </w:rPr>
        <w:commentReference w:id="24"/>
      </w:r>
      <w:r w:rsidRPr="00D064D3">
        <w:t>)</w:t>
      </w:r>
    </w:p>
    <w:p w14:paraId="2A03139F" w14:textId="62EEBE73" w:rsidR="00152B44" w:rsidRDefault="00152B44" w:rsidP="00152B44">
      <w:pPr>
        <w:pStyle w:val="ListParagraph"/>
        <w:numPr>
          <w:ilvl w:val="0"/>
          <w:numId w:val="17"/>
        </w:numPr>
      </w:pPr>
      <w:r>
        <w:t>A</w:t>
      </w:r>
      <w:r w:rsidR="00B35F2D">
        <w:t>nnual average flat rates</w:t>
      </w:r>
      <w:r w:rsidRPr="00D064D3">
        <w:t xml:space="preserve"> by </w:t>
      </w:r>
      <w:r w:rsidR="001B169A">
        <w:t>county</w:t>
      </w:r>
      <w:r w:rsidRPr="00D064D3">
        <w:t xml:space="preserve"> ($/kWh)</w:t>
      </w:r>
      <w:r>
        <w:t xml:space="preserve"> from EIA 861 forms (</w:t>
      </w:r>
      <w:commentRangeStart w:id="25"/>
      <w:r w:rsidRPr="00152B44">
        <w:rPr>
          <w:color w:val="FF0000"/>
        </w:rPr>
        <w:t>EIA 2015a</w:t>
      </w:r>
      <w:commentRangeEnd w:id="25"/>
      <w:r>
        <w:rPr>
          <w:rStyle w:val="CommentReference"/>
        </w:rPr>
        <w:commentReference w:id="25"/>
      </w:r>
      <w:r>
        <w:t>)</w:t>
      </w:r>
    </w:p>
    <w:p w14:paraId="0CE3D9A0" w14:textId="1235D9BF" w:rsidR="00152B44" w:rsidRDefault="00152B44" w:rsidP="00152B44">
      <w:pPr>
        <w:pStyle w:val="ListParagraph"/>
        <w:numPr>
          <w:ilvl w:val="0"/>
          <w:numId w:val="17"/>
        </w:numPr>
      </w:pPr>
      <w:r>
        <w:t>User-defined</w:t>
      </w:r>
      <w:r w:rsidR="00B35F2D">
        <w:t xml:space="preserve"> </w:t>
      </w:r>
      <w:r>
        <w:t>flat rate structures</w:t>
      </w:r>
      <w:r w:rsidR="00B35F2D">
        <w:t xml:space="preserve"> by state</w:t>
      </w:r>
    </w:p>
    <w:p w14:paraId="167980CD" w14:textId="77777777" w:rsidR="00FE6EB4" w:rsidRDefault="00FE6EB4" w:rsidP="001B169A"/>
    <w:p w14:paraId="32D5C76C" w14:textId="77777777" w:rsidR="00475F39" w:rsidRDefault="00FE6EB4" w:rsidP="00475F39">
      <w:r>
        <w:t>These electricity rates are assumed to change over time according to</w:t>
      </w:r>
      <w:r w:rsidR="00475F39">
        <w:t xml:space="preserve"> the following rate escalation options:</w:t>
      </w:r>
    </w:p>
    <w:p w14:paraId="797150BA" w14:textId="6A224518" w:rsidR="00B43D43" w:rsidRDefault="00B43D43" w:rsidP="00475F39">
      <w:pPr>
        <w:pStyle w:val="ListParagraph"/>
        <w:numPr>
          <w:ilvl w:val="0"/>
          <w:numId w:val="22"/>
        </w:numPr>
      </w:pPr>
      <w:commentRangeStart w:id="26"/>
      <w:r>
        <w:t>AEO 2015</w:t>
      </w:r>
      <w:r w:rsidR="005A08B9">
        <w:t xml:space="preserve"> </w:t>
      </w:r>
      <w:commentRangeEnd w:id="26"/>
      <w:r w:rsidR="003E48EA">
        <w:t xml:space="preserve">Reference Case </w:t>
      </w:r>
      <w:r w:rsidR="009A4276">
        <w:rPr>
          <w:rStyle w:val="CommentReference"/>
        </w:rPr>
        <w:commentReference w:id="26"/>
      </w:r>
      <w:r w:rsidR="005A08B9">
        <w:t>(Constant after 2040)</w:t>
      </w:r>
    </w:p>
    <w:p w14:paraId="7B1A9E8E" w14:textId="32F3C74B" w:rsidR="00B43D43" w:rsidRDefault="00B43D43" w:rsidP="00475F39">
      <w:pPr>
        <w:pStyle w:val="ListParagraph"/>
        <w:numPr>
          <w:ilvl w:val="0"/>
          <w:numId w:val="22"/>
        </w:numPr>
      </w:pPr>
      <w:r>
        <w:t xml:space="preserve">AEO 2015 </w:t>
      </w:r>
      <w:r w:rsidR="003E48EA">
        <w:t xml:space="preserve">Reference Case </w:t>
      </w:r>
      <w:r w:rsidR="003E48EA">
        <w:rPr>
          <w:rStyle w:val="CommentReference"/>
        </w:rPr>
        <w:commentReference w:id="27"/>
      </w:r>
      <w:r w:rsidR="005A08B9">
        <w:t>(Projected after 2040)</w:t>
      </w:r>
    </w:p>
    <w:p w14:paraId="3FA359E3" w14:textId="25F3CB82" w:rsidR="00B43D43" w:rsidRDefault="00B43D43" w:rsidP="00475F39">
      <w:pPr>
        <w:pStyle w:val="ListParagraph"/>
        <w:numPr>
          <w:ilvl w:val="0"/>
          <w:numId w:val="22"/>
        </w:numPr>
      </w:pPr>
      <w:r>
        <w:t>AEO 2014</w:t>
      </w:r>
      <w:r w:rsidR="005A08B9">
        <w:t xml:space="preserve"> </w:t>
      </w:r>
      <w:r w:rsidR="003E48EA">
        <w:t xml:space="preserve">Reference Case </w:t>
      </w:r>
      <w:r w:rsidR="003E48EA">
        <w:rPr>
          <w:rStyle w:val="CommentReference"/>
        </w:rPr>
        <w:commentReference w:id="28"/>
      </w:r>
      <w:r w:rsidR="005A08B9">
        <w:t>(Constant after 2040)</w:t>
      </w:r>
    </w:p>
    <w:p w14:paraId="5CEBC515" w14:textId="0D24D465" w:rsidR="00475F39" w:rsidRDefault="00F567E8" w:rsidP="00475F39">
      <w:pPr>
        <w:pStyle w:val="ListParagraph"/>
        <w:numPr>
          <w:ilvl w:val="0"/>
          <w:numId w:val="22"/>
        </w:numPr>
      </w:pPr>
      <w:r>
        <w:t>AEO 2014</w:t>
      </w:r>
      <w:r w:rsidRPr="00F567E8">
        <w:t xml:space="preserve"> </w:t>
      </w:r>
      <w:r>
        <w:t xml:space="preserve">Reference Case </w:t>
      </w:r>
      <w:r>
        <w:rPr>
          <w:rStyle w:val="CommentReference"/>
        </w:rPr>
        <w:commentReference w:id="29"/>
      </w:r>
      <w:r w:rsidR="005A08B9">
        <w:t>(Projected after 2040)</w:t>
      </w:r>
    </w:p>
    <w:p w14:paraId="256EDC29" w14:textId="5BF49197" w:rsidR="00B43D43" w:rsidRDefault="00B43D43" w:rsidP="00475F39">
      <w:pPr>
        <w:pStyle w:val="ListParagraph"/>
        <w:numPr>
          <w:ilvl w:val="0"/>
          <w:numId w:val="22"/>
        </w:numPr>
      </w:pPr>
      <w:r>
        <w:t>No Change</w:t>
      </w:r>
    </w:p>
    <w:p w14:paraId="5ACB08A2" w14:textId="6D9C14C8" w:rsidR="00E70FEB" w:rsidRDefault="00312462" w:rsidP="0049032F">
      <w:r>
        <w:t xml:space="preserve">All options are applied </w:t>
      </w:r>
      <w:r w:rsidR="00842D0E">
        <w:t xml:space="preserve">by sector </w:t>
      </w:r>
      <w:r>
        <w:t>on a r</w:t>
      </w:r>
      <w:r w:rsidR="00842D0E">
        <w:t>egional (Census Division) basis.</w:t>
      </w:r>
      <w:r>
        <w:t xml:space="preserve"> </w:t>
      </w:r>
    </w:p>
    <w:p w14:paraId="1FC3CAD7" w14:textId="77777777" w:rsidR="00E70FEB" w:rsidRDefault="00E70FEB" w:rsidP="0049032F"/>
    <w:p w14:paraId="2CE214E7" w14:textId="5F26E4EE" w:rsidR="0049032F" w:rsidRDefault="00475F39" w:rsidP="0049032F">
      <w:r>
        <w:t xml:space="preserve">Options 1 through 4 are based on EIA’s AEO </w:t>
      </w:r>
      <w:r w:rsidR="00115151">
        <w:t xml:space="preserve">Reference Case </w:t>
      </w:r>
      <w:r>
        <w:t>projections (</w:t>
      </w:r>
      <w:commentRangeStart w:id="30"/>
      <w:r w:rsidRPr="000D50C3">
        <w:rPr>
          <w:color w:val="FF0000"/>
        </w:rPr>
        <w:t>add ref</w:t>
      </w:r>
      <w:commentRangeEnd w:id="30"/>
      <w:r w:rsidRPr="000D50C3">
        <w:rPr>
          <w:rStyle w:val="CommentReference"/>
          <w:color w:val="FF0000"/>
        </w:rPr>
        <w:commentReference w:id="30"/>
      </w:r>
      <w:r>
        <w:t xml:space="preserve">). </w:t>
      </w:r>
      <w:r w:rsidR="003205C5">
        <w:t>These</w:t>
      </w:r>
      <w:r w:rsidR="005A08B9">
        <w:t xml:space="preserve"> projections for rate escalations end in 2040; however, the dGen model considers rate escalations through 2075 to accommodate customers considering adoption in 2050 and evaluating future rate growth. To account for these </w:t>
      </w:r>
      <w:r>
        <w:t xml:space="preserve">later model </w:t>
      </w:r>
      <w:r w:rsidR="005A08B9">
        <w:t xml:space="preserve">years, </w:t>
      </w:r>
      <w:r>
        <w:t>NREL modified the AEO projections using two different methods. With the first method (“Constant after 2040”), we assume that the project rate escalation for the final forecast year (2040) holds constant through 2075. Therefore, rates continue to grow after 2040, but simply at a constant rate for each year thereafter. With the second method (“Projected after 2040”), we applied time-series modeling to project rate escalations from 2041</w:t>
      </w:r>
      <w:r w:rsidR="009831A7">
        <w:t xml:space="preserve"> through 2075. This method tends to use short-term temporal trends to forecast future values, and therefore has significant uncertainty in later years. It also tends to cause </w:t>
      </w:r>
      <w:r w:rsidR="00312462">
        <w:t>compounding escalation of rates. The figure below compares</w:t>
      </w:r>
      <w:r w:rsidR="00C26093">
        <w:t xml:space="preserve"> AEO 2015 Constant and Projected</w:t>
      </w:r>
      <w:r w:rsidR="00312462">
        <w:t xml:space="preserve"> rate escalations for a single</w:t>
      </w:r>
      <w:r w:rsidR="007A26D0">
        <w:t xml:space="preserve"> Census Division</w:t>
      </w:r>
      <w:r w:rsidR="00C26093">
        <w:t>.</w:t>
      </w:r>
    </w:p>
    <w:p w14:paraId="1E44FA04" w14:textId="77777777" w:rsidR="00475F39" w:rsidRDefault="00475F39" w:rsidP="0049032F"/>
    <w:p w14:paraId="34C2AFB3" w14:textId="26383358" w:rsidR="005A08B9" w:rsidRPr="00300388" w:rsidRDefault="00BD5B68" w:rsidP="0049032F">
      <w:pPr>
        <w:rPr>
          <w:color w:val="FF0000"/>
        </w:rPr>
      </w:pPr>
      <w:r w:rsidRPr="00BD5B68">
        <w:rPr>
          <w:color w:val="FF0000"/>
        </w:rPr>
        <w:t xml:space="preserve">[add </w:t>
      </w:r>
      <w:r>
        <w:rPr>
          <w:color w:val="FF0000"/>
        </w:rPr>
        <w:t>figure</w:t>
      </w:r>
      <w:r w:rsidRPr="00BD5B68">
        <w:rPr>
          <w:color w:val="FF0000"/>
        </w:rPr>
        <w:t>]</w:t>
      </w:r>
    </w:p>
    <w:p w14:paraId="22DE041C" w14:textId="4923EDB8" w:rsidR="00B43D43" w:rsidRDefault="0049032F" w:rsidP="00F37A73">
      <w:pPr>
        <w:pStyle w:val="Heading4"/>
      </w:pPr>
      <w:r>
        <w:t>Default Settings (All Years)</w:t>
      </w:r>
    </w:p>
    <w:p w14:paraId="4B5D3C6D" w14:textId="4F8E9F20" w:rsidR="00FE6EB4" w:rsidRDefault="0049032F" w:rsidP="001B169A">
      <w:r>
        <w:t>The</w:t>
      </w:r>
      <w:r w:rsidR="006819B9">
        <w:t xml:space="preserve"> default setting</w:t>
      </w:r>
      <w:r>
        <w:t xml:space="preserve"> for rates </w:t>
      </w:r>
      <w:r w:rsidR="00300388">
        <w:t>use</w:t>
      </w:r>
      <w:r w:rsidR="006819B9">
        <w:t>d</w:t>
      </w:r>
      <w:r w:rsidR="00300388">
        <w:t xml:space="preserve"> by the model for all </w:t>
      </w:r>
      <w:r w:rsidR="006819B9">
        <w:t>model years are the URDB real-world tariffs. These data most closely represent the actual electricity costs incurred by current electricity consumers in the US. Refer to Section 4.4 of the dGen Model Documentation (Sigrin et al. 2015) provides a detailed discussion of these data.</w:t>
      </w:r>
    </w:p>
    <w:p w14:paraId="52E3F54B" w14:textId="77777777" w:rsidR="00FE6EB4" w:rsidRDefault="00FE6EB4" w:rsidP="001B169A"/>
    <w:p w14:paraId="212AA6C8" w14:textId="3CB7EED7" w:rsidR="00152B44" w:rsidRDefault="006819B9" w:rsidP="009635E8">
      <w:r>
        <w:t xml:space="preserve">The default setting for rate escalations used by the dGen model is the </w:t>
      </w:r>
      <w:commentRangeStart w:id="31"/>
      <w:r w:rsidR="00E6691C">
        <w:t>AEO 2015 (Constant after 2040).</w:t>
      </w:r>
      <w:commentRangeEnd w:id="31"/>
      <w:r w:rsidR="00E922D4">
        <w:rPr>
          <w:rStyle w:val="CommentReference"/>
        </w:rPr>
        <w:commentReference w:id="31"/>
      </w:r>
      <w:r w:rsidR="00703770">
        <w:t xml:space="preserve"> Similarly to the load growth assumptions, this is an objective, well-informed basis for estimating future rate escalations in the US. Furthermore, compared to the </w:t>
      </w:r>
      <w:r w:rsidR="00320E68">
        <w:t>AEO 2015 (Projected</w:t>
      </w:r>
      <w:r w:rsidR="005D0849">
        <w:t xml:space="preserve"> after 2040) rate escalations, these escalations are more conservative and, therefore, help to place lower bounds on</w:t>
      </w:r>
      <w:r w:rsidR="006B3C3B">
        <w:t xml:space="preserve"> customer adoption levels.</w:t>
      </w:r>
    </w:p>
    <w:p w14:paraId="049DCA54" w14:textId="06A2F371" w:rsidR="00202C6F" w:rsidRDefault="00202C6F" w:rsidP="00F37A73">
      <w:pPr>
        <w:pStyle w:val="Heading4"/>
      </w:pPr>
      <w:commentRangeStart w:id="32"/>
      <w:commentRangeStart w:id="33"/>
      <w:r>
        <w:t>Planned Future Work</w:t>
      </w:r>
      <w:commentRangeEnd w:id="32"/>
      <w:r>
        <w:rPr>
          <w:rStyle w:val="CommentReference"/>
          <w:rFonts w:asciiTheme="minorHAnsi" w:eastAsiaTheme="minorEastAsia" w:hAnsiTheme="minorHAnsi" w:cstheme="minorBidi"/>
          <w:b w:val="0"/>
          <w:bCs w:val="0"/>
          <w:color w:val="auto"/>
        </w:rPr>
        <w:commentReference w:id="32"/>
      </w:r>
      <w:commentRangeEnd w:id="33"/>
      <w:r w:rsidR="005511E0">
        <w:rPr>
          <w:rStyle w:val="CommentReference"/>
          <w:rFonts w:asciiTheme="minorHAnsi" w:eastAsiaTheme="minorEastAsia" w:hAnsiTheme="minorHAnsi" w:cstheme="minorBidi"/>
          <w:b w:val="0"/>
          <w:bCs w:val="0"/>
          <w:color w:val="auto"/>
        </w:rPr>
        <w:commentReference w:id="33"/>
      </w:r>
    </w:p>
    <w:p w14:paraId="3467A147" w14:textId="521EF052" w:rsidR="00202C6F" w:rsidRDefault="001D7FB7" w:rsidP="00202C6F">
      <w:r>
        <w:t xml:space="preserve">We are confident that the default settings for both rates and rate escalations are based on a strong empirical basis, and therefore, do not plan to perform research to further support them. </w:t>
      </w:r>
    </w:p>
    <w:p w14:paraId="6DD6A488" w14:textId="77777777" w:rsidR="00CF5A03" w:rsidRDefault="00CF5A03" w:rsidP="00737D83"/>
    <w:p w14:paraId="406628AA" w14:textId="78B31E4B" w:rsidR="00CF5A03" w:rsidRDefault="00277B62" w:rsidP="001D5C35">
      <w:pPr>
        <w:pStyle w:val="Heading2"/>
      </w:pPr>
      <w:r>
        <w:br w:type="column"/>
      </w:r>
      <w:bookmarkStart w:id="34" w:name="_Toc307504973"/>
      <w:r w:rsidR="00CF5A03">
        <w:t>2.</w:t>
      </w:r>
      <w:r w:rsidR="00B21D96">
        <w:t>7</w:t>
      </w:r>
      <w:r w:rsidR="00CF5A03">
        <w:t xml:space="preserve"> Wind </w:t>
      </w:r>
      <w:r w:rsidR="0068287C">
        <w:t>Incentives</w:t>
      </w:r>
      <w:r w:rsidR="00DD58EA">
        <w:t xml:space="preserve"> (Wind-Specific)</w:t>
      </w:r>
      <w:bookmarkEnd w:id="34"/>
    </w:p>
    <w:p w14:paraId="4DF79B2C" w14:textId="2F08D1E9" w:rsidR="0068287C" w:rsidRDefault="0068287C" w:rsidP="00F37A73">
      <w:pPr>
        <w:pStyle w:val="Heading4"/>
      </w:pPr>
      <w:r>
        <w:t>Summary</w:t>
      </w:r>
    </w:p>
    <w:p w14:paraId="794CDD71" w14:textId="77777777" w:rsidR="008637E0" w:rsidRDefault="004438E6" w:rsidP="008B5E9E">
      <w:r>
        <w:t xml:space="preserve">The dGen model </w:t>
      </w:r>
      <w:r w:rsidR="0085183E">
        <w:t>can account for either empirically-derived or user-defined</w:t>
      </w:r>
      <w:r>
        <w:t xml:space="preserve"> </w:t>
      </w:r>
      <w:r w:rsidR="0085183E">
        <w:t xml:space="preserve">wind policy incentives. </w:t>
      </w:r>
      <w:r w:rsidR="008637E0">
        <w:t>For state and local policy incentives, the dGen model uses the</w:t>
      </w:r>
      <w:r w:rsidR="0085183E">
        <w:t xml:space="preserve"> Database of State Incentives for Renewables &amp; Efficiency (DSIRE) database (DSIRE 2014</w:t>
      </w:r>
      <w:r w:rsidR="008637E0">
        <w:t>) as the current data sources</w:t>
      </w:r>
      <w:r w:rsidR="0085183E">
        <w:t xml:space="preserve">. </w:t>
      </w:r>
      <w:r w:rsidR="008637E0">
        <w:t>Alternatively, u</w:t>
      </w:r>
      <w:r w:rsidR="0085183E">
        <w:t xml:space="preserve">sers may choose to overwrite </w:t>
      </w:r>
      <w:r w:rsidR="008637E0">
        <w:t>the DSIRE</w:t>
      </w:r>
      <w:r w:rsidR="0085183E">
        <w:t xml:space="preserve"> incentives with user-defined, state-level policy incentives; however, this option is intended for modeling of different policy scenarios and is generally unsuitable for business-as-usual or reference case modeling.</w:t>
      </w:r>
      <w:r w:rsidR="00202C4C">
        <w:t xml:space="preserve"> </w:t>
      </w:r>
    </w:p>
    <w:p w14:paraId="42FC0981" w14:textId="77777777" w:rsidR="008637E0" w:rsidRDefault="008637E0" w:rsidP="008B5E9E"/>
    <w:p w14:paraId="4857925C" w14:textId="226B3E39" w:rsidR="0085183E" w:rsidRPr="00DD58EA" w:rsidRDefault="008637E0" w:rsidP="008B5E9E">
      <w:r>
        <w:t>At the federal level, the dGen model allows users to edit the tax credit level for the federal Incentive Tax Credit</w:t>
      </w:r>
      <w:r w:rsidR="004F7CF6">
        <w:t xml:space="preserve"> (ITC)</w:t>
      </w:r>
      <w:r>
        <w:t xml:space="preserve">  by model year and market sector.</w:t>
      </w:r>
    </w:p>
    <w:p w14:paraId="006992D8" w14:textId="2D8C0930" w:rsidR="0068287C" w:rsidRDefault="0068287C" w:rsidP="00F37A73">
      <w:pPr>
        <w:pStyle w:val="Heading4"/>
      </w:pPr>
      <w:r>
        <w:t>Default Settings (</w:t>
      </w:r>
      <w:r w:rsidR="007F1455">
        <w:t>All Years</w:t>
      </w:r>
      <w:r w:rsidR="00DD58EA">
        <w:t>)</w:t>
      </w:r>
    </w:p>
    <w:p w14:paraId="2C33ADD7" w14:textId="4392921D" w:rsidR="00811EC8" w:rsidRDefault="0085183E" w:rsidP="008B5E9E">
      <w:r>
        <w:t xml:space="preserve">The default setting </w:t>
      </w:r>
      <w:r w:rsidR="000F692A">
        <w:t>for the dGen model is to use the DSIRE incentives</w:t>
      </w:r>
      <w:r w:rsidR="00202C4C">
        <w:t xml:space="preserve"> for state and local incentives</w:t>
      </w:r>
      <w:r w:rsidR="008637E0">
        <w:t>. This database was most</w:t>
      </w:r>
      <w:r w:rsidR="00811EC8">
        <w:t xml:space="preserve"> recently updated in 2013</w:t>
      </w:r>
      <w:r w:rsidR="008637E0">
        <w:t xml:space="preserve"> and has</w:t>
      </w:r>
      <w:r w:rsidR="00811EC8">
        <w:t xml:space="preserve"> become increasingly out-of-date during the ongoing development of the dGe</w:t>
      </w:r>
      <w:r w:rsidR="008637E0">
        <w:t>n model. It is also</w:t>
      </w:r>
      <w:r w:rsidR="00811EC8">
        <w:t xml:space="preserve"> missing several important pa</w:t>
      </w:r>
      <w:r w:rsidR="00202C4C">
        <w:t>rameters (e.g., incentive expir</w:t>
      </w:r>
      <w:r w:rsidR="00811EC8">
        <w:t xml:space="preserve">ation dates) that require additional model assumptions. </w:t>
      </w:r>
      <w:r w:rsidR="00741A60">
        <w:t>Currently, due to the uncertainty in the DSIRE database, we assume all incentives with unknown expiration dates will expire at the end of 2020</w:t>
      </w:r>
      <w:r w:rsidR="008948C2">
        <w:t>To address these issues, NREL will perform additional work in FY16 Q1 and Q2, as detailed in the</w:t>
      </w:r>
      <w:r w:rsidR="00811EC8">
        <w:t xml:space="preserve"> Planned Future Work section below</w:t>
      </w:r>
      <w:r w:rsidR="00741A60">
        <w:t xml:space="preserve">.  </w:t>
      </w:r>
    </w:p>
    <w:p w14:paraId="182BA58E" w14:textId="77777777" w:rsidR="00811EC8" w:rsidRDefault="00811EC8" w:rsidP="008B5E9E"/>
    <w:p w14:paraId="4FF1ADE8" w14:textId="45B4D73E" w:rsidR="0085183E" w:rsidRDefault="008948C2" w:rsidP="0068287C">
      <w:r>
        <w:t xml:space="preserve">For federal incentives, the default settings are to assume that the federal ITC will continue </w:t>
      </w:r>
      <w:r w:rsidR="004F7CF6">
        <w:t xml:space="preserve">as currently written into law. </w:t>
      </w:r>
      <w:r w:rsidR="0009197E">
        <w:t xml:space="preserve">Under the existing policy, the ITC will continue at its </w:t>
      </w:r>
      <w:r>
        <w:t>current level (30 percent for all sectors) through the end of</w:t>
      </w:r>
      <w:r w:rsidR="009140A3">
        <w:t xml:space="preserve"> 2016</w:t>
      </w:r>
      <w:r w:rsidR="00891592">
        <w:t xml:space="preserve">, at which point it will expire for residential systems and reduce to 10 percent for </w:t>
      </w:r>
      <w:r w:rsidR="008522DB">
        <w:t xml:space="preserve">industrial and commercial </w:t>
      </w:r>
      <w:r w:rsidR="005609B9">
        <w:t>systems</w:t>
      </w:r>
      <w:r>
        <w:t>.</w:t>
      </w:r>
      <w:r w:rsidR="00C6265E">
        <w:t xml:space="preserve"> These settings are based on </w:t>
      </w:r>
      <w:r w:rsidR="00C6265E" w:rsidRPr="00C6265E">
        <w:t xml:space="preserve">“business-as-usual” assumptions where only existing policies </w:t>
      </w:r>
      <w:r w:rsidR="00761930">
        <w:t>are used.</w:t>
      </w:r>
    </w:p>
    <w:p w14:paraId="0CF32A48" w14:textId="2204B568" w:rsidR="00DD58EA" w:rsidRDefault="00DF67E4" w:rsidP="00F37A73">
      <w:pPr>
        <w:pStyle w:val="Heading4"/>
      </w:pPr>
      <w:r>
        <w:t>Planned Future Work</w:t>
      </w:r>
    </w:p>
    <w:p w14:paraId="1AAED369" w14:textId="3C66684A" w:rsidR="00DF67E4" w:rsidRPr="00DF67E4" w:rsidRDefault="00DF67E4" w:rsidP="00DF67E4">
      <w:r>
        <w:t>In Q1 and Q2 of FY16, NREL plans to replace and/or update the DSIRE data currently used for state and local incentives with more up-to-date and complete policy data curated by Pacific Northwest National Laboratory (PNNL) for their Distributed Wind Policy Comparison Tool (</w:t>
      </w:r>
      <w:r w:rsidRPr="00DF67E4">
        <w:rPr>
          <w:color w:val="FF0000"/>
        </w:rPr>
        <w:t>add ref?).</w:t>
      </w:r>
      <w:r>
        <w:rPr>
          <w:color w:val="FF0000"/>
        </w:rPr>
        <w:t xml:space="preserve"> </w:t>
      </w:r>
    </w:p>
    <w:p w14:paraId="14E7F73E" w14:textId="7EA04449" w:rsidR="00DF67E4" w:rsidRPr="00DF67E4" w:rsidRDefault="00DF67E4" w:rsidP="00DF67E4"/>
    <w:p w14:paraId="0542DB14" w14:textId="6A676FBE" w:rsidR="0068287C" w:rsidRDefault="00220417" w:rsidP="0068287C">
      <w:pPr>
        <w:pStyle w:val="Heading2"/>
      </w:pPr>
      <w:r>
        <w:br w:type="column"/>
      </w:r>
      <w:bookmarkStart w:id="35" w:name="_Toc307504974"/>
      <w:r w:rsidR="0068287C">
        <w:t>2.</w:t>
      </w:r>
      <w:r>
        <w:t>9</w:t>
      </w:r>
      <w:r w:rsidR="0068287C">
        <w:t xml:space="preserve"> Net Energy Metering </w:t>
      </w:r>
      <w:r w:rsidR="0068287C" w:rsidRPr="00995593">
        <w:t>Policies</w:t>
      </w:r>
      <w:r w:rsidR="00995593" w:rsidRPr="00995593">
        <w:t xml:space="preserve"> (Technology Agnostic)</w:t>
      </w:r>
      <w:bookmarkEnd w:id="35"/>
    </w:p>
    <w:p w14:paraId="2BDA7F49" w14:textId="7851EF4E" w:rsidR="005506F2" w:rsidRDefault="005506F2" w:rsidP="00F37A73">
      <w:pPr>
        <w:pStyle w:val="Heading4"/>
      </w:pPr>
      <w:r>
        <w:t>Summary</w:t>
      </w:r>
    </w:p>
    <w:p w14:paraId="64B578C8" w14:textId="7704E397" w:rsidR="00C9778E" w:rsidRDefault="00C9778E" w:rsidP="005506F2">
      <w:r>
        <w:t>The dGen model allows users significant flexibility in modeling Net Energy Metering (NEM) policies. NEM</w:t>
      </w:r>
      <w:r w:rsidRPr="00C9778E">
        <w:t xml:space="preserve"> configurations are defined in the input sheet by state, sector, outflow credit value (e.g., full retail rate, avoided fuel cost, none, or user-specified), and maximum system size that qualifies for the outflow credit. Users may also specify a transition period after which the “avoided cost” value will be used for all subsequent years (e.g., full credit through 2020, avoided cost credit for 2022‒2050). </w:t>
      </w:r>
    </w:p>
    <w:p w14:paraId="7BBD6ED1" w14:textId="2D514D73" w:rsidR="00C9778E" w:rsidRDefault="00C9778E" w:rsidP="00F37A73">
      <w:pPr>
        <w:pStyle w:val="Heading4"/>
      </w:pPr>
      <w:r>
        <w:t>Default Settings (All Years)</w:t>
      </w:r>
    </w:p>
    <w:p w14:paraId="1C24C0BF" w14:textId="711B13ED" w:rsidR="001614EA" w:rsidRDefault="00065D89" w:rsidP="005506F2">
      <w:r>
        <w:t>As default</w:t>
      </w:r>
      <w:r w:rsidR="00853B60" w:rsidRPr="00853B60">
        <w:t xml:space="preserve">, </w:t>
      </w:r>
      <w:r>
        <w:t>NREL</w:t>
      </w:r>
      <w:r w:rsidR="00853B60" w:rsidRPr="00853B60">
        <w:t xml:space="preserve"> model</w:t>
      </w:r>
      <w:r>
        <w:t>s</w:t>
      </w:r>
      <w:r w:rsidR="00853B60" w:rsidRPr="00853B60">
        <w:t xml:space="preserve"> NEM </w:t>
      </w:r>
      <w:r w:rsidR="00C94B50">
        <w:t xml:space="preserve">based on current regional rules, system size caps, </w:t>
      </w:r>
      <w:r w:rsidR="00F9677D">
        <w:t xml:space="preserve">cumulative </w:t>
      </w:r>
      <w:r w:rsidR="00751CF1">
        <w:t>installed capacity</w:t>
      </w:r>
      <w:r w:rsidR="00F9677D">
        <w:t xml:space="preserve"> caps, </w:t>
      </w:r>
      <w:r w:rsidR="00853B60" w:rsidRPr="00853B60">
        <w:t>and valuation</w:t>
      </w:r>
      <w:r w:rsidR="003E55C2">
        <w:t xml:space="preserve">, derived from </w:t>
      </w:r>
      <w:commentRangeStart w:id="36"/>
      <w:r w:rsidR="003E55C2" w:rsidRPr="003E55C2">
        <w:rPr>
          <w:color w:val="FF0000"/>
        </w:rPr>
        <w:t>Barnes et al. (2013)</w:t>
      </w:r>
      <w:r w:rsidR="00853B60" w:rsidRPr="003E55C2">
        <w:rPr>
          <w:color w:val="FF0000"/>
        </w:rPr>
        <w:t>.</w:t>
      </w:r>
      <w:r w:rsidR="00853B60" w:rsidRPr="00853B60">
        <w:t xml:space="preserve"> </w:t>
      </w:r>
      <w:commentRangeEnd w:id="36"/>
      <w:r w:rsidR="003E55C2">
        <w:rPr>
          <w:rStyle w:val="CommentReference"/>
        </w:rPr>
        <w:commentReference w:id="36"/>
      </w:r>
      <w:r w:rsidR="00853B60" w:rsidRPr="00853B60">
        <w:t>Regions with NEM caps</w:t>
      </w:r>
      <w:r w:rsidR="0090627A">
        <w:t xml:space="preserve"> for cumulative installations</w:t>
      </w:r>
      <w:r w:rsidR="00853B60" w:rsidRPr="00853B60">
        <w:t xml:space="preserve"> are applied based on </w:t>
      </w:r>
      <w:r w:rsidR="004F102E">
        <w:t xml:space="preserve">NREL projections </w:t>
      </w:r>
      <w:r w:rsidR="00853B60" w:rsidRPr="00853B60">
        <w:t>when the cap is projected to hit</w:t>
      </w:r>
      <w:r w:rsidR="00F46FA7">
        <w:t xml:space="preserve">. These projections were based on recent runs of the dGen model for the solar market only, for which technology deployment significantly outpaces wind. </w:t>
      </w:r>
      <w:r w:rsidR="001614EA">
        <w:t>Existing system size limits and projected NEM expiration by state are detailed in the table below.</w:t>
      </w:r>
    </w:p>
    <w:p w14:paraId="22450E29" w14:textId="77777777" w:rsidR="001614EA" w:rsidRDefault="001614EA" w:rsidP="005506F2"/>
    <w:tbl>
      <w:tblPr>
        <w:tblW w:w="6576" w:type="dxa"/>
        <w:tblInd w:w="103" w:type="dxa"/>
        <w:tblLook w:val="04A0" w:firstRow="1" w:lastRow="0" w:firstColumn="1" w:lastColumn="0" w:noHBand="0" w:noVBand="1"/>
      </w:tblPr>
      <w:tblGrid>
        <w:gridCol w:w="1300"/>
        <w:gridCol w:w="1292"/>
        <w:gridCol w:w="1384"/>
        <w:gridCol w:w="1300"/>
        <w:gridCol w:w="1300"/>
      </w:tblGrid>
      <w:tr w:rsidR="001614EA" w:rsidRPr="001614EA" w14:paraId="50665CA1" w14:textId="77777777" w:rsidTr="001614EA">
        <w:trPr>
          <w:trHeight w:val="600"/>
        </w:trPr>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DAB1C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State</w:t>
            </w:r>
          </w:p>
        </w:tc>
        <w:tc>
          <w:tcPr>
            <w:tcW w:w="3976" w:type="dxa"/>
            <w:gridSpan w:val="3"/>
            <w:tcBorders>
              <w:top w:val="nil"/>
              <w:left w:val="nil"/>
              <w:bottom w:val="single" w:sz="4" w:space="0" w:color="auto"/>
              <w:right w:val="single" w:sz="4" w:space="0" w:color="000000"/>
            </w:tcBorders>
            <w:shd w:val="clear" w:color="auto" w:fill="auto"/>
            <w:vAlign w:val="center"/>
            <w:hideMark/>
          </w:tcPr>
          <w:p w14:paraId="386E82A0" w14:textId="77777777" w:rsidR="001614EA" w:rsidRPr="001614EA" w:rsidRDefault="001614EA" w:rsidP="001614EA">
            <w:pPr>
              <w:jc w:val="center"/>
              <w:rPr>
                <w:rFonts w:ascii="Calibri" w:eastAsia="Times New Roman" w:hAnsi="Calibri" w:cs="Times New Roman"/>
                <w:color w:val="000000"/>
              </w:rPr>
            </w:pPr>
            <w:commentRangeStart w:id="37"/>
            <w:r w:rsidRPr="001614EA">
              <w:rPr>
                <w:rFonts w:ascii="Calibri" w:eastAsia="Times New Roman" w:hAnsi="Calibri" w:cs="Times New Roman"/>
                <w:color w:val="000000"/>
              </w:rPr>
              <w:t>System Size Limit (kW)</w:t>
            </w:r>
            <w:commentRangeEnd w:id="37"/>
            <w:r>
              <w:rPr>
                <w:rStyle w:val="CommentReference"/>
              </w:rPr>
              <w:commentReference w:id="37"/>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9605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Projected Expiration</w:t>
            </w:r>
          </w:p>
        </w:tc>
      </w:tr>
      <w:tr w:rsidR="001614EA" w:rsidRPr="001614EA" w14:paraId="59A580D7" w14:textId="77777777" w:rsidTr="001614EA">
        <w:trPr>
          <w:trHeight w:val="600"/>
        </w:trPr>
        <w:tc>
          <w:tcPr>
            <w:tcW w:w="1300" w:type="dxa"/>
            <w:vMerge/>
            <w:tcBorders>
              <w:top w:val="single" w:sz="4" w:space="0" w:color="auto"/>
              <w:left w:val="single" w:sz="4" w:space="0" w:color="auto"/>
              <w:bottom w:val="single" w:sz="4" w:space="0" w:color="000000"/>
              <w:right w:val="single" w:sz="4" w:space="0" w:color="auto"/>
            </w:tcBorders>
            <w:vAlign w:val="center"/>
            <w:hideMark/>
          </w:tcPr>
          <w:p w14:paraId="01FC5ED7" w14:textId="77777777" w:rsidR="001614EA" w:rsidRPr="001614EA" w:rsidRDefault="001614EA" w:rsidP="001614EA">
            <w:pPr>
              <w:rPr>
                <w:rFonts w:ascii="Calibri" w:eastAsia="Times New Roman" w:hAnsi="Calibri" w:cs="Times New Roman"/>
                <w:color w:val="000000"/>
              </w:rPr>
            </w:pPr>
          </w:p>
        </w:tc>
        <w:tc>
          <w:tcPr>
            <w:tcW w:w="1292" w:type="dxa"/>
            <w:tcBorders>
              <w:top w:val="nil"/>
              <w:left w:val="nil"/>
              <w:bottom w:val="single" w:sz="4" w:space="0" w:color="auto"/>
              <w:right w:val="single" w:sz="4" w:space="0" w:color="auto"/>
            </w:tcBorders>
            <w:shd w:val="clear" w:color="auto" w:fill="auto"/>
            <w:vAlign w:val="center"/>
            <w:hideMark/>
          </w:tcPr>
          <w:p w14:paraId="49CF1A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Residential</w:t>
            </w:r>
          </w:p>
        </w:tc>
        <w:tc>
          <w:tcPr>
            <w:tcW w:w="1384" w:type="dxa"/>
            <w:tcBorders>
              <w:top w:val="nil"/>
              <w:left w:val="nil"/>
              <w:bottom w:val="single" w:sz="4" w:space="0" w:color="auto"/>
              <w:right w:val="single" w:sz="4" w:space="0" w:color="auto"/>
            </w:tcBorders>
            <w:shd w:val="clear" w:color="auto" w:fill="auto"/>
            <w:vAlign w:val="center"/>
            <w:hideMark/>
          </w:tcPr>
          <w:p w14:paraId="292A04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Commercial</w:t>
            </w:r>
          </w:p>
        </w:tc>
        <w:tc>
          <w:tcPr>
            <w:tcW w:w="1300" w:type="dxa"/>
            <w:tcBorders>
              <w:top w:val="nil"/>
              <w:left w:val="nil"/>
              <w:bottom w:val="single" w:sz="4" w:space="0" w:color="auto"/>
              <w:right w:val="single" w:sz="4" w:space="0" w:color="auto"/>
            </w:tcBorders>
            <w:shd w:val="clear" w:color="auto" w:fill="auto"/>
            <w:vAlign w:val="center"/>
            <w:hideMark/>
          </w:tcPr>
          <w:p w14:paraId="4BEA9A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Industrial</w:t>
            </w: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02322AED" w14:textId="77777777" w:rsidR="001614EA" w:rsidRPr="001614EA" w:rsidRDefault="001614EA" w:rsidP="001614EA">
            <w:pPr>
              <w:rPr>
                <w:rFonts w:ascii="Calibri" w:eastAsia="Times New Roman" w:hAnsi="Calibri" w:cs="Times New Roman"/>
                <w:color w:val="000000"/>
              </w:rPr>
            </w:pPr>
          </w:p>
        </w:tc>
      </w:tr>
      <w:tr w:rsidR="001614EA" w:rsidRPr="001614EA" w14:paraId="42E16CD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CA18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AK</w:t>
            </w:r>
          </w:p>
        </w:tc>
        <w:tc>
          <w:tcPr>
            <w:tcW w:w="1292" w:type="dxa"/>
            <w:tcBorders>
              <w:top w:val="nil"/>
              <w:left w:val="nil"/>
              <w:bottom w:val="single" w:sz="4" w:space="0" w:color="auto"/>
              <w:right w:val="single" w:sz="4" w:space="0" w:color="auto"/>
            </w:tcBorders>
            <w:shd w:val="clear" w:color="auto" w:fill="auto"/>
            <w:noWrap/>
            <w:vAlign w:val="bottom"/>
            <w:hideMark/>
          </w:tcPr>
          <w:p w14:paraId="3FDDBE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8E94F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9994B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902F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1E22701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1A454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AL</w:t>
            </w:r>
          </w:p>
        </w:tc>
        <w:tc>
          <w:tcPr>
            <w:tcW w:w="1292" w:type="dxa"/>
            <w:tcBorders>
              <w:top w:val="nil"/>
              <w:left w:val="nil"/>
              <w:bottom w:val="single" w:sz="4" w:space="0" w:color="auto"/>
              <w:right w:val="single" w:sz="4" w:space="0" w:color="auto"/>
            </w:tcBorders>
            <w:shd w:val="clear" w:color="auto" w:fill="auto"/>
            <w:noWrap/>
            <w:vAlign w:val="bottom"/>
            <w:hideMark/>
          </w:tcPr>
          <w:p w14:paraId="53E0C3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70BFD2F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A0CFE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92646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CA9D07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26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AR</w:t>
            </w:r>
          </w:p>
        </w:tc>
        <w:tc>
          <w:tcPr>
            <w:tcW w:w="1292" w:type="dxa"/>
            <w:tcBorders>
              <w:top w:val="nil"/>
              <w:left w:val="nil"/>
              <w:bottom w:val="single" w:sz="4" w:space="0" w:color="auto"/>
              <w:right w:val="single" w:sz="4" w:space="0" w:color="auto"/>
            </w:tcBorders>
            <w:shd w:val="clear" w:color="auto" w:fill="auto"/>
            <w:noWrap/>
            <w:vAlign w:val="bottom"/>
            <w:hideMark/>
          </w:tcPr>
          <w:p w14:paraId="6B7E53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685AF39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440F4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4AE34A6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6A3267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E71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AZ</w:t>
            </w:r>
          </w:p>
        </w:tc>
        <w:tc>
          <w:tcPr>
            <w:tcW w:w="1292" w:type="dxa"/>
            <w:tcBorders>
              <w:top w:val="nil"/>
              <w:left w:val="nil"/>
              <w:bottom w:val="single" w:sz="4" w:space="0" w:color="auto"/>
              <w:right w:val="single" w:sz="4" w:space="0" w:color="auto"/>
            </w:tcBorders>
            <w:shd w:val="clear" w:color="auto" w:fill="auto"/>
            <w:noWrap/>
            <w:vAlign w:val="bottom"/>
            <w:hideMark/>
          </w:tcPr>
          <w:p w14:paraId="6440EA3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2965EE2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466D8A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361B67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EAB39F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08691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CA</w:t>
            </w:r>
          </w:p>
        </w:tc>
        <w:tc>
          <w:tcPr>
            <w:tcW w:w="1292" w:type="dxa"/>
            <w:tcBorders>
              <w:top w:val="nil"/>
              <w:left w:val="nil"/>
              <w:bottom w:val="single" w:sz="4" w:space="0" w:color="auto"/>
              <w:right w:val="single" w:sz="4" w:space="0" w:color="auto"/>
            </w:tcBorders>
            <w:shd w:val="clear" w:color="auto" w:fill="auto"/>
            <w:noWrap/>
            <w:vAlign w:val="bottom"/>
            <w:hideMark/>
          </w:tcPr>
          <w:p w14:paraId="29B495D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FE4FD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EE19B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01DB4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13DD325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DB458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w:t>
            </w:r>
          </w:p>
        </w:tc>
        <w:tc>
          <w:tcPr>
            <w:tcW w:w="1292" w:type="dxa"/>
            <w:tcBorders>
              <w:top w:val="nil"/>
              <w:left w:val="nil"/>
              <w:bottom w:val="single" w:sz="4" w:space="0" w:color="auto"/>
              <w:right w:val="single" w:sz="4" w:space="0" w:color="auto"/>
            </w:tcBorders>
            <w:shd w:val="clear" w:color="auto" w:fill="auto"/>
            <w:noWrap/>
            <w:vAlign w:val="bottom"/>
            <w:hideMark/>
          </w:tcPr>
          <w:p w14:paraId="1C07C1A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709D33E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9DD18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1EEDE9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B72E6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E159B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CT</w:t>
            </w:r>
          </w:p>
        </w:tc>
        <w:tc>
          <w:tcPr>
            <w:tcW w:w="1292" w:type="dxa"/>
            <w:tcBorders>
              <w:top w:val="nil"/>
              <w:left w:val="nil"/>
              <w:bottom w:val="single" w:sz="4" w:space="0" w:color="auto"/>
              <w:right w:val="single" w:sz="4" w:space="0" w:color="auto"/>
            </w:tcBorders>
            <w:shd w:val="clear" w:color="auto" w:fill="auto"/>
            <w:noWrap/>
            <w:vAlign w:val="bottom"/>
            <w:hideMark/>
          </w:tcPr>
          <w:p w14:paraId="0B3BDC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12845A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A807D3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E5194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C238BE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AF5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DC</w:t>
            </w:r>
          </w:p>
        </w:tc>
        <w:tc>
          <w:tcPr>
            <w:tcW w:w="1292" w:type="dxa"/>
            <w:tcBorders>
              <w:top w:val="nil"/>
              <w:left w:val="nil"/>
              <w:bottom w:val="single" w:sz="4" w:space="0" w:color="auto"/>
              <w:right w:val="single" w:sz="4" w:space="0" w:color="auto"/>
            </w:tcBorders>
            <w:shd w:val="clear" w:color="auto" w:fill="auto"/>
            <w:noWrap/>
            <w:vAlign w:val="bottom"/>
            <w:hideMark/>
          </w:tcPr>
          <w:p w14:paraId="7828835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54487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10F88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C00F77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AA59C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A92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DE</w:t>
            </w:r>
          </w:p>
        </w:tc>
        <w:tc>
          <w:tcPr>
            <w:tcW w:w="1292" w:type="dxa"/>
            <w:tcBorders>
              <w:top w:val="nil"/>
              <w:left w:val="nil"/>
              <w:bottom w:val="single" w:sz="4" w:space="0" w:color="auto"/>
              <w:right w:val="single" w:sz="4" w:space="0" w:color="auto"/>
            </w:tcBorders>
            <w:shd w:val="clear" w:color="auto" w:fill="auto"/>
            <w:noWrap/>
            <w:vAlign w:val="bottom"/>
            <w:hideMark/>
          </w:tcPr>
          <w:p w14:paraId="3281EFF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DDF982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45DC8C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3915212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7AEB0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BF1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FL</w:t>
            </w:r>
          </w:p>
        </w:tc>
        <w:tc>
          <w:tcPr>
            <w:tcW w:w="1292" w:type="dxa"/>
            <w:tcBorders>
              <w:top w:val="nil"/>
              <w:left w:val="nil"/>
              <w:bottom w:val="single" w:sz="4" w:space="0" w:color="auto"/>
              <w:right w:val="single" w:sz="4" w:space="0" w:color="auto"/>
            </w:tcBorders>
            <w:shd w:val="clear" w:color="auto" w:fill="auto"/>
            <w:noWrap/>
            <w:vAlign w:val="bottom"/>
            <w:hideMark/>
          </w:tcPr>
          <w:p w14:paraId="4E2070B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4D92140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816EC5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275AE5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4235BC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5F75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GA</w:t>
            </w:r>
          </w:p>
        </w:tc>
        <w:tc>
          <w:tcPr>
            <w:tcW w:w="1292" w:type="dxa"/>
            <w:tcBorders>
              <w:top w:val="nil"/>
              <w:left w:val="nil"/>
              <w:bottom w:val="single" w:sz="4" w:space="0" w:color="auto"/>
              <w:right w:val="single" w:sz="4" w:space="0" w:color="auto"/>
            </w:tcBorders>
            <w:shd w:val="clear" w:color="auto" w:fill="auto"/>
            <w:noWrap/>
            <w:vAlign w:val="bottom"/>
            <w:hideMark/>
          </w:tcPr>
          <w:p w14:paraId="16DF94F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14:paraId="1A62639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4B93FA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7041EE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69EE5BC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436B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HI</w:t>
            </w:r>
          </w:p>
        </w:tc>
        <w:tc>
          <w:tcPr>
            <w:tcW w:w="1292" w:type="dxa"/>
            <w:tcBorders>
              <w:top w:val="nil"/>
              <w:left w:val="nil"/>
              <w:bottom w:val="single" w:sz="4" w:space="0" w:color="auto"/>
              <w:right w:val="single" w:sz="4" w:space="0" w:color="auto"/>
            </w:tcBorders>
            <w:shd w:val="clear" w:color="auto" w:fill="auto"/>
            <w:noWrap/>
            <w:vAlign w:val="bottom"/>
            <w:hideMark/>
          </w:tcPr>
          <w:p w14:paraId="3A349D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0F8CAF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33FDC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40D367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25BBF7B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49D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IA</w:t>
            </w:r>
          </w:p>
        </w:tc>
        <w:tc>
          <w:tcPr>
            <w:tcW w:w="1292" w:type="dxa"/>
            <w:tcBorders>
              <w:top w:val="nil"/>
              <w:left w:val="nil"/>
              <w:bottom w:val="single" w:sz="4" w:space="0" w:color="auto"/>
              <w:right w:val="single" w:sz="4" w:space="0" w:color="auto"/>
            </w:tcBorders>
            <w:shd w:val="clear" w:color="auto" w:fill="auto"/>
            <w:noWrap/>
            <w:vAlign w:val="bottom"/>
            <w:hideMark/>
          </w:tcPr>
          <w:p w14:paraId="7B60721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3E05001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0E26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8C341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EB9F5A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1C291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ID</w:t>
            </w:r>
          </w:p>
        </w:tc>
        <w:tc>
          <w:tcPr>
            <w:tcW w:w="1292" w:type="dxa"/>
            <w:tcBorders>
              <w:top w:val="nil"/>
              <w:left w:val="nil"/>
              <w:bottom w:val="single" w:sz="4" w:space="0" w:color="auto"/>
              <w:right w:val="single" w:sz="4" w:space="0" w:color="auto"/>
            </w:tcBorders>
            <w:shd w:val="clear" w:color="auto" w:fill="auto"/>
            <w:noWrap/>
            <w:vAlign w:val="bottom"/>
            <w:hideMark/>
          </w:tcPr>
          <w:p w14:paraId="4E601A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7D2BEB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AEAE28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00EE1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2020</w:t>
            </w:r>
          </w:p>
        </w:tc>
      </w:tr>
      <w:tr w:rsidR="001614EA" w:rsidRPr="001614EA" w14:paraId="2A89797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116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IL</w:t>
            </w:r>
          </w:p>
        </w:tc>
        <w:tc>
          <w:tcPr>
            <w:tcW w:w="1292" w:type="dxa"/>
            <w:tcBorders>
              <w:top w:val="nil"/>
              <w:left w:val="nil"/>
              <w:bottom w:val="single" w:sz="4" w:space="0" w:color="auto"/>
              <w:right w:val="single" w:sz="4" w:space="0" w:color="auto"/>
            </w:tcBorders>
            <w:shd w:val="clear" w:color="auto" w:fill="auto"/>
            <w:noWrap/>
            <w:vAlign w:val="bottom"/>
            <w:hideMark/>
          </w:tcPr>
          <w:p w14:paraId="4A3EB69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62F0CD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AF6422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454F6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2034</w:t>
            </w:r>
          </w:p>
        </w:tc>
      </w:tr>
      <w:tr w:rsidR="001614EA" w:rsidRPr="001614EA" w14:paraId="604FAC1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05796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w:t>
            </w:r>
          </w:p>
        </w:tc>
        <w:tc>
          <w:tcPr>
            <w:tcW w:w="1292" w:type="dxa"/>
            <w:tcBorders>
              <w:top w:val="nil"/>
              <w:left w:val="nil"/>
              <w:bottom w:val="single" w:sz="4" w:space="0" w:color="auto"/>
              <w:right w:val="single" w:sz="4" w:space="0" w:color="auto"/>
            </w:tcBorders>
            <w:shd w:val="clear" w:color="auto" w:fill="auto"/>
            <w:noWrap/>
            <w:vAlign w:val="bottom"/>
            <w:hideMark/>
          </w:tcPr>
          <w:p w14:paraId="281081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1C504D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FB21C7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EFA38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578A74D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A6D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KS</w:t>
            </w:r>
          </w:p>
        </w:tc>
        <w:tc>
          <w:tcPr>
            <w:tcW w:w="1292" w:type="dxa"/>
            <w:tcBorders>
              <w:top w:val="nil"/>
              <w:left w:val="nil"/>
              <w:bottom w:val="single" w:sz="4" w:space="0" w:color="auto"/>
              <w:right w:val="single" w:sz="4" w:space="0" w:color="auto"/>
            </w:tcBorders>
            <w:shd w:val="clear" w:color="auto" w:fill="auto"/>
            <w:noWrap/>
            <w:vAlign w:val="bottom"/>
            <w:hideMark/>
          </w:tcPr>
          <w:p w14:paraId="389CDA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46EF4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FB4B40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26B40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1B5DA7E8"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20C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KY</w:t>
            </w:r>
          </w:p>
        </w:tc>
        <w:tc>
          <w:tcPr>
            <w:tcW w:w="1292" w:type="dxa"/>
            <w:tcBorders>
              <w:top w:val="nil"/>
              <w:left w:val="nil"/>
              <w:bottom w:val="single" w:sz="4" w:space="0" w:color="auto"/>
              <w:right w:val="single" w:sz="4" w:space="0" w:color="auto"/>
            </w:tcBorders>
            <w:shd w:val="clear" w:color="auto" w:fill="auto"/>
            <w:noWrap/>
            <w:vAlign w:val="bottom"/>
            <w:hideMark/>
          </w:tcPr>
          <w:p w14:paraId="4A9DA3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14:paraId="1CA70C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4F983E7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EA0D6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331AF51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F27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LA</w:t>
            </w:r>
          </w:p>
        </w:tc>
        <w:tc>
          <w:tcPr>
            <w:tcW w:w="1292" w:type="dxa"/>
            <w:tcBorders>
              <w:top w:val="nil"/>
              <w:left w:val="nil"/>
              <w:bottom w:val="single" w:sz="4" w:space="0" w:color="auto"/>
              <w:right w:val="single" w:sz="4" w:space="0" w:color="auto"/>
            </w:tcBorders>
            <w:shd w:val="clear" w:color="auto" w:fill="auto"/>
            <w:noWrap/>
            <w:vAlign w:val="bottom"/>
            <w:hideMark/>
          </w:tcPr>
          <w:p w14:paraId="419D35D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47288A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795046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9E6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1614EA" w:rsidRPr="001614EA" w14:paraId="0CD7CCC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39A5B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MA</w:t>
            </w:r>
          </w:p>
        </w:tc>
        <w:tc>
          <w:tcPr>
            <w:tcW w:w="1292" w:type="dxa"/>
            <w:tcBorders>
              <w:top w:val="nil"/>
              <w:left w:val="nil"/>
              <w:bottom w:val="single" w:sz="4" w:space="0" w:color="auto"/>
              <w:right w:val="single" w:sz="4" w:space="0" w:color="auto"/>
            </w:tcBorders>
            <w:shd w:val="clear" w:color="auto" w:fill="auto"/>
            <w:noWrap/>
            <w:vAlign w:val="bottom"/>
            <w:hideMark/>
          </w:tcPr>
          <w:p w14:paraId="3A96101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29F494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6DECD0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C6D014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295F54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8A88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MD</w:t>
            </w:r>
          </w:p>
        </w:tc>
        <w:tc>
          <w:tcPr>
            <w:tcW w:w="1292" w:type="dxa"/>
            <w:tcBorders>
              <w:top w:val="nil"/>
              <w:left w:val="nil"/>
              <w:bottom w:val="single" w:sz="4" w:space="0" w:color="auto"/>
              <w:right w:val="single" w:sz="4" w:space="0" w:color="auto"/>
            </w:tcBorders>
            <w:shd w:val="clear" w:color="auto" w:fill="auto"/>
            <w:noWrap/>
            <w:vAlign w:val="bottom"/>
            <w:hideMark/>
          </w:tcPr>
          <w:p w14:paraId="0BC6AEB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6028A01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19303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FFC069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1614EA" w:rsidRPr="001614EA" w14:paraId="4B5F134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EF42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ME</w:t>
            </w:r>
          </w:p>
        </w:tc>
        <w:tc>
          <w:tcPr>
            <w:tcW w:w="1292" w:type="dxa"/>
            <w:tcBorders>
              <w:top w:val="nil"/>
              <w:left w:val="nil"/>
              <w:bottom w:val="single" w:sz="4" w:space="0" w:color="auto"/>
              <w:right w:val="single" w:sz="4" w:space="0" w:color="auto"/>
            </w:tcBorders>
            <w:shd w:val="clear" w:color="auto" w:fill="auto"/>
            <w:noWrap/>
            <w:vAlign w:val="bottom"/>
            <w:hideMark/>
          </w:tcPr>
          <w:p w14:paraId="7ECA26E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84" w:type="dxa"/>
            <w:tcBorders>
              <w:top w:val="nil"/>
              <w:left w:val="nil"/>
              <w:bottom w:val="single" w:sz="4" w:space="0" w:color="auto"/>
              <w:right w:val="single" w:sz="4" w:space="0" w:color="auto"/>
            </w:tcBorders>
            <w:shd w:val="clear" w:color="auto" w:fill="auto"/>
            <w:noWrap/>
            <w:vAlign w:val="bottom"/>
            <w:hideMark/>
          </w:tcPr>
          <w:p w14:paraId="2C42C6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18BE714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5D0CB3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C7CBB5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2E9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MI</w:t>
            </w:r>
          </w:p>
        </w:tc>
        <w:tc>
          <w:tcPr>
            <w:tcW w:w="1292" w:type="dxa"/>
            <w:tcBorders>
              <w:top w:val="nil"/>
              <w:left w:val="nil"/>
              <w:bottom w:val="single" w:sz="4" w:space="0" w:color="auto"/>
              <w:right w:val="single" w:sz="4" w:space="0" w:color="auto"/>
            </w:tcBorders>
            <w:shd w:val="clear" w:color="auto" w:fill="auto"/>
            <w:noWrap/>
            <w:vAlign w:val="bottom"/>
            <w:hideMark/>
          </w:tcPr>
          <w:p w14:paraId="6881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84" w:type="dxa"/>
            <w:tcBorders>
              <w:top w:val="nil"/>
              <w:left w:val="nil"/>
              <w:bottom w:val="single" w:sz="4" w:space="0" w:color="auto"/>
              <w:right w:val="single" w:sz="4" w:space="0" w:color="auto"/>
            </w:tcBorders>
            <w:shd w:val="clear" w:color="auto" w:fill="auto"/>
            <w:noWrap/>
            <w:vAlign w:val="bottom"/>
            <w:hideMark/>
          </w:tcPr>
          <w:p w14:paraId="3CC837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67FD466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7A83C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45D328B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2B3E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MN</w:t>
            </w:r>
          </w:p>
        </w:tc>
        <w:tc>
          <w:tcPr>
            <w:tcW w:w="1292" w:type="dxa"/>
            <w:tcBorders>
              <w:top w:val="nil"/>
              <w:left w:val="nil"/>
              <w:bottom w:val="single" w:sz="4" w:space="0" w:color="auto"/>
              <w:right w:val="single" w:sz="4" w:space="0" w:color="auto"/>
            </w:tcBorders>
            <w:shd w:val="clear" w:color="auto" w:fill="auto"/>
            <w:noWrap/>
            <w:vAlign w:val="bottom"/>
            <w:hideMark/>
          </w:tcPr>
          <w:p w14:paraId="3E1C2F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5A5AE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CBED8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F55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CB9768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EE55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MO</w:t>
            </w:r>
          </w:p>
        </w:tc>
        <w:tc>
          <w:tcPr>
            <w:tcW w:w="1292" w:type="dxa"/>
            <w:tcBorders>
              <w:top w:val="nil"/>
              <w:left w:val="nil"/>
              <w:bottom w:val="single" w:sz="4" w:space="0" w:color="auto"/>
              <w:right w:val="single" w:sz="4" w:space="0" w:color="auto"/>
            </w:tcBorders>
            <w:shd w:val="clear" w:color="auto" w:fill="auto"/>
            <w:noWrap/>
            <w:vAlign w:val="bottom"/>
            <w:hideMark/>
          </w:tcPr>
          <w:p w14:paraId="2C418FD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6A3876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317064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559AFC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F930A8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40D9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MS</w:t>
            </w:r>
          </w:p>
        </w:tc>
        <w:tc>
          <w:tcPr>
            <w:tcW w:w="1292" w:type="dxa"/>
            <w:tcBorders>
              <w:top w:val="nil"/>
              <w:left w:val="nil"/>
              <w:bottom w:val="single" w:sz="4" w:space="0" w:color="auto"/>
              <w:right w:val="single" w:sz="4" w:space="0" w:color="auto"/>
            </w:tcBorders>
            <w:shd w:val="clear" w:color="auto" w:fill="auto"/>
            <w:noWrap/>
            <w:vAlign w:val="bottom"/>
            <w:hideMark/>
          </w:tcPr>
          <w:p w14:paraId="308AA58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1FC60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1DDD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6C9321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7DC1952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787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MT</w:t>
            </w:r>
          </w:p>
        </w:tc>
        <w:tc>
          <w:tcPr>
            <w:tcW w:w="1292" w:type="dxa"/>
            <w:tcBorders>
              <w:top w:val="nil"/>
              <w:left w:val="nil"/>
              <w:bottom w:val="single" w:sz="4" w:space="0" w:color="auto"/>
              <w:right w:val="single" w:sz="4" w:space="0" w:color="auto"/>
            </w:tcBorders>
            <w:shd w:val="clear" w:color="auto" w:fill="auto"/>
            <w:noWrap/>
            <w:vAlign w:val="bottom"/>
            <w:hideMark/>
          </w:tcPr>
          <w:p w14:paraId="36ECDF4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83D673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26ACFE4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5A388B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D3E21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4A3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NC</w:t>
            </w:r>
          </w:p>
        </w:tc>
        <w:tc>
          <w:tcPr>
            <w:tcW w:w="1292" w:type="dxa"/>
            <w:tcBorders>
              <w:top w:val="nil"/>
              <w:left w:val="nil"/>
              <w:bottom w:val="single" w:sz="4" w:space="0" w:color="auto"/>
              <w:right w:val="single" w:sz="4" w:space="0" w:color="auto"/>
            </w:tcBorders>
            <w:shd w:val="clear" w:color="auto" w:fill="auto"/>
            <w:noWrap/>
            <w:vAlign w:val="bottom"/>
            <w:hideMark/>
          </w:tcPr>
          <w:p w14:paraId="296E5E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A2AD3C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280C07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51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19EBD4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8333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ND</w:t>
            </w:r>
          </w:p>
        </w:tc>
        <w:tc>
          <w:tcPr>
            <w:tcW w:w="1292" w:type="dxa"/>
            <w:tcBorders>
              <w:top w:val="nil"/>
              <w:left w:val="nil"/>
              <w:bottom w:val="single" w:sz="4" w:space="0" w:color="auto"/>
              <w:right w:val="single" w:sz="4" w:space="0" w:color="auto"/>
            </w:tcBorders>
            <w:shd w:val="clear" w:color="auto" w:fill="auto"/>
            <w:noWrap/>
            <w:vAlign w:val="bottom"/>
            <w:hideMark/>
          </w:tcPr>
          <w:p w14:paraId="50F0DD2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3601E4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9760A6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07989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76E4958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09C4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NE</w:t>
            </w:r>
          </w:p>
        </w:tc>
        <w:tc>
          <w:tcPr>
            <w:tcW w:w="1292" w:type="dxa"/>
            <w:tcBorders>
              <w:top w:val="nil"/>
              <w:left w:val="nil"/>
              <w:bottom w:val="single" w:sz="4" w:space="0" w:color="auto"/>
              <w:right w:val="single" w:sz="4" w:space="0" w:color="auto"/>
            </w:tcBorders>
            <w:shd w:val="clear" w:color="auto" w:fill="auto"/>
            <w:noWrap/>
            <w:vAlign w:val="bottom"/>
            <w:hideMark/>
          </w:tcPr>
          <w:p w14:paraId="6B07DB8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77EC4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53FB4F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80D723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32B3C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4A4B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NH</w:t>
            </w:r>
          </w:p>
        </w:tc>
        <w:tc>
          <w:tcPr>
            <w:tcW w:w="1292" w:type="dxa"/>
            <w:tcBorders>
              <w:top w:val="nil"/>
              <w:left w:val="nil"/>
              <w:bottom w:val="single" w:sz="4" w:space="0" w:color="auto"/>
              <w:right w:val="single" w:sz="4" w:space="0" w:color="auto"/>
            </w:tcBorders>
            <w:shd w:val="clear" w:color="auto" w:fill="auto"/>
            <w:noWrap/>
            <w:vAlign w:val="bottom"/>
            <w:hideMark/>
          </w:tcPr>
          <w:p w14:paraId="4F2DB28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27277EA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1318A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4A7C48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2024</w:t>
            </w:r>
          </w:p>
        </w:tc>
      </w:tr>
      <w:tr w:rsidR="001614EA" w:rsidRPr="001614EA" w14:paraId="7202FD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BEC7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NJ</w:t>
            </w:r>
          </w:p>
        </w:tc>
        <w:tc>
          <w:tcPr>
            <w:tcW w:w="1292" w:type="dxa"/>
            <w:tcBorders>
              <w:top w:val="nil"/>
              <w:left w:val="nil"/>
              <w:bottom w:val="single" w:sz="4" w:space="0" w:color="auto"/>
              <w:right w:val="single" w:sz="4" w:space="0" w:color="auto"/>
            </w:tcBorders>
            <w:shd w:val="clear" w:color="auto" w:fill="auto"/>
            <w:noWrap/>
            <w:vAlign w:val="bottom"/>
            <w:hideMark/>
          </w:tcPr>
          <w:p w14:paraId="663B71D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118A17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9BA020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FECFF1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BA58C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2898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NM</w:t>
            </w:r>
          </w:p>
        </w:tc>
        <w:tc>
          <w:tcPr>
            <w:tcW w:w="1292" w:type="dxa"/>
            <w:tcBorders>
              <w:top w:val="nil"/>
              <w:left w:val="nil"/>
              <w:bottom w:val="single" w:sz="4" w:space="0" w:color="auto"/>
              <w:right w:val="single" w:sz="4" w:space="0" w:color="auto"/>
            </w:tcBorders>
            <w:shd w:val="clear" w:color="auto" w:fill="auto"/>
            <w:noWrap/>
            <w:vAlign w:val="bottom"/>
            <w:hideMark/>
          </w:tcPr>
          <w:p w14:paraId="62F437A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84" w:type="dxa"/>
            <w:tcBorders>
              <w:top w:val="nil"/>
              <w:left w:val="nil"/>
              <w:bottom w:val="single" w:sz="4" w:space="0" w:color="auto"/>
              <w:right w:val="single" w:sz="4" w:space="0" w:color="auto"/>
            </w:tcBorders>
            <w:shd w:val="clear" w:color="auto" w:fill="auto"/>
            <w:noWrap/>
            <w:vAlign w:val="bottom"/>
            <w:hideMark/>
          </w:tcPr>
          <w:p w14:paraId="4E07A92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16F132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3E36E96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9FF941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79D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NV</w:t>
            </w:r>
          </w:p>
        </w:tc>
        <w:tc>
          <w:tcPr>
            <w:tcW w:w="1292" w:type="dxa"/>
            <w:tcBorders>
              <w:top w:val="nil"/>
              <w:left w:val="nil"/>
              <w:bottom w:val="single" w:sz="4" w:space="0" w:color="auto"/>
              <w:right w:val="single" w:sz="4" w:space="0" w:color="auto"/>
            </w:tcBorders>
            <w:shd w:val="clear" w:color="auto" w:fill="auto"/>
            <w:noWrap/>
            <w:vAlign w:val="bottom"/>
            <w:hideMark/>
          </w:tcPr>
          <w:p w14:paraId="07C203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3902B04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732207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9151C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3E2616B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0C3C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NY</w:t>
            </w:r>
          </w:p>
        </w:tc>
        <w:tc>
          <w:tcPr>
            <w:tcW w:w="1292" w:type="dxa"/>
            <w:tcBorders>
              <w:top w:val="nil"/>
              <w:left w:val="nil"/>
              <w:bottom w:val="single" w:sz="4" w:space="0" w:color="auto"/>
              <w:right w:val="single" w:sz="4" w:space="0" w:color="auto"/>
            </w:tcBorders>
            <w:shd w:val="clear" w:color="auto" w:fill="auto"/>
            <w:noWrap/>
            <w:vAlign w:val="bottom"/>
            <w:hideMark/>
          </w:tcPr>
          <w:p w14:paraId="15C323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A3F45A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8600DC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7FC892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1614EA" w:rsidRPr="001614EA" w14:paraId="1B27C0F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429F9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OH</w:t>
            </w:r>
          </w:p>
        </w:tc>
        <w:tc>
          <w:tcPr>
            <w:tcW w:w="1292" w:type="dxa"/>
            <w:tcBorders>
              <w:top w:val="nil"/>
              <w:left w:val="nil"/>
              <w:bottom w:val="single" w:sz="4" w:space="0" w:color="auto"/>
              <w:right w:val="single" w:sz="4" w:space="0" w:color="auto"/>
            </w:tcBorders>
            <w:shd w:val="clear" w:color="auto" w:fill="auto"/>
            <w:noWrap/>
            <w:vAlign w:val="bottom"/>
            <w:hideMark/>
          </w:tcPr>
          <w:p w14:paraId="54F0F1F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3A7E8A1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38438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26BC31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10D0DA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22906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OK</w:t>
            </w:r>
          </w:p>
        </w:tc>
        <w:tc>
          <w:tcPr>
            <w:tcW w:w="1292" w:type="dxa"/>
            <w:tcBorders>
              <w:top w:val="nil"/>
              <w:left w:val="nil"/>
              <w:bottom w:val="single" w:sz="4" w:space="0" w:color="auto"/>
              <w:right w:val="single" w:sz="4" w:space="0" w:color="auto"/>
            </w:tcBorders>
            <w:shd w:val="clear" w:color="auto" w:fill="auto"/>
            <w:noWrap/>
            <w:vAlign w:val="bottom"/>
            <w:hideMark/>
          </w:tcPr>
          <w:p w14:paraId="4C09D27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84" w:type="dxa"/>
            <w:tcBorders>
              <w:top w:val="nil"/>
              <w:left w:val="nil"/>
              <w:bottom w:val="single" w:sz="4" w:space="0" w:color="auto"/>
              <w:right w:val="single" w:sz="4" w:space="0" w:color="auto"/>
            </w:tcBorders>
            <w:shd w:val="clear" w:color="auto" w:fill="auto"/>
            <w:noWrap/>
            <w:vAlign w:val="bottom"/>
            <w:hideMark/>
          </w:tcPr>
          <w:p w14:paraId="2FDC41C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2FD33BC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55A89F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A8467B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0F05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OR</w:t>
            </w:r>
          </w:p>
        </w:tc>
        <w:tc>
          <w:tcPr>
            <w:tcW w:w="1292" w:type="dxa"/>
            <w:tcBorders>
              <w:top w:val="nil"/>
              <w:left w:val="nil"/>
              <w:bottom w:val="single" w:sz="4" w:space="0" w:color="auto"/>
              <w:right w:val="single" w:sz="4" w:space="0" w:color="auto"/>
            </w:tcBorders>
            <w:shd w:val="clear" w:color="auto" w:fill="auto"/>
            <w:noWrap/>
            <w:vAlign w:val="bottom"/>
            <w:hideMark/>
          </w:tcPr>
          <w:p w14:paraId="66A045E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DA710D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D3D614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36CA50A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57BF8AE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8AA90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PA</w:t>
            </w:r>
          </w:p>
        </w:tc>
        <w:tc>
          <w:tcPr>
            <w:tcW w:w="1292" w:type="dxa"/>
            <w:tcBorders>
              <w:top w:val="nil"/>
              <w:left w:val="nil"/>
              <w:bottom w:val="single" w:sz="4" w:space="0" w:color="auto"/>
              <w:right w:val="single" w:sz="4" w:space="0" w:color="auto"/>
            </w:tcBorders>
            <w:shd w:val="clear" w:color="auto" w:fill="auto"/>
            <w:noWrap/>
            <w:vAlign w:val="bottom"/>
            <w:hideMark/>
          </w:tcPr>
          <w:p w14:paraId="2684109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37D6BE4"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DA0C7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4C00DA3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212654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0987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RI</w:t>
            </w:r>
          </w:p>
        </w:tc>
        <w:tc>
          <w:tcPr>
            <w:tcW w:w="1292" w:type="dxa"/>
            <w:tcBorders>
              <w:top w:val="nil"/>
              <w:left w:val="nil"/>
              <w:bottom w:val="single" w:sz="4" w:space="0" w:color="auto"/>
              <w:right w:val="single" w:sz="4" w:space="0" w:color="auto"/>
            </w:tcBorders>
            <w:shd w:val="clear" w:color="auto" w:fill="auto"/>
            <w:noWrap/>
            <w:vAlign w:val="bottom"/>
            <w:hideMark/>
          </w:tcPr>
          <w:p w14:paraId="4B269B5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84" w:type="dxa"/>
            <w:tcBorders>
              <w:top w:val="nil"/>
              <w:left w:val="nil"/>
              <w:bottom w:val="single" w:sz="4" w:space="0" w:color="auto"/>
              <w:right w:val="single" w:sz="4" w:space="0" w:color="auto"/>
            </w:tcBorders>
            <w:shd w:val="clear" w:color="auto" w:fill="auto"/>
            <w:noWrap/>
            <w:vAlign w:val="bottom"/>
            <w:hideMark/>
          </w:tcPr>
          <w:p w14:paraId="2322780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C6478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58096C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1CF52C4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EA9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SC</w:t>
            </w:r>
          </w:p>
        </w:tc>
        <w:tc>
          <w:tcPr>
            <w:tcW w:w="1292" w:type="dxa"/>
            <w:tcBorders>
              <w:top w:val="nil"/>
              <w:left w:val="nil"/>
              <w:bottom w:val="single" w:sz="4" w:space="0" w:color="auto"/>
              <w:right w:val="single" w:sz="4" w:space="0" w:color="auto"/>
            </w:tcBorders>
            <w:shd w:val="clear" w:color="auto" w:fill="auto"/>
            <w:noWrap/>
            <w:vAlign w:val="bottom"/>
            <w:hideMark/>
          </w:tcPr>
          <w:p w14:paraId="54320068"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1D468547"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573B30F"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2A91E1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10012B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B18A2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SD</w:t>
            </w:r>
          </w:p>
        </w:tc>
        <w:tc>
          <w:tcPr>
            <w:tcW w:w="1292" w:type="dxa"/>
            <w:tcBorders>
              <w:top w:val="nil"/>
              <w:left w:val="nil"/>
              <w:bottom w:val="single" w:sz="4" w:space="0" w:color="auto"/>
              <w:right w:val="single" w:sz="4" w:space="0" w:color="auto"/>
            </w:tcBorders>
            <w:shd w:val="clear" w:color="auto" w:fill="auto"/>
            <w:noWrap/>
            <w:vAlign w:val="bottom"/>
            <w:hideMark/>
          </w:tcPr>
          <w:p w14:paraId="2A0D972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666D0B6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05B9D3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5AB8AF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04DD52E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A89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TN</w:t>
            </w:r>
          </w:p>
        </w:tc>
        <w:tc>
          <w:tcPr>
            <w:tcW w:w="1292" w:type="dxa"/>
            <w:tcBorders>
              <w:top w:val="nil"/>
              <w:left w:val="nil"/>
              <w:bottom w:val="single" w:sz="4" w:space="0" w:color="auto"/>
              <w:right w:val="single" w:sz="4" w:space="0" w:color="auto"/>
            </w:tcBorders>
            <w:shd w:val="clear" w:color="auto" w:fill="auto"/>
            <w:noWrap/>
            <w:vAlign w:val="bottom"/>
            <w:hideMark/>
          </w:tcPr>
          <w:p w14:paraId="5CCEC6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03961D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E6ECA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61168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5756697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C2850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TX</w:t>
            </w:r>
          </w:p>
        </w:tc>
        <w:tc>
          <w:tcPr>
            <w:tcW w:w="1292" w:type="dxa"/>
            <w:tcBorders>
              <w:top w:val="nil"/>
              <w:left w:val="nil"/>
              <w:bottom w:val="single" w:sz="4" w:space="0" w:color="auto"/>
              <w:right w:val="single" w:sz="4" w:space="0" w:color="auto"/>
            </w:tcBorders>
            <w:shd w:val="clear" w:color="auto" w:fill="auto"/>
            <w:noWrap/>
            <w:vAlign w:val="bottom"/>
            <w:hideMark/>
          </w:tcPr>
          <w:p w14:paraId="7676CD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46A3DA0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6EF6A8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9D7654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1614EA" w:rsidRPr="001614EA" w14:paraId="46328200"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96F2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UT</w:t>
            </w:r>
          </w:p>
        </w:tc>
        <w:tc>
          <w:tcPr>
            <w:tcW w:w="1292" w:type="dxa"/>
            <w:tcBorders>
              <w:top w:val="nil"/>
              <w:left w:val="nil"/>
              <w:bottom w:val="single" w:sz="4" w:space="0" w:color="auto"/>
              <w:right w:val="single" w:sz="4" w:space="0" w:color="auto"/>
            </w:tcBorders>
            <w:shd w:val="clear" w:color="auto" w:fill="auto"/>
            <w:noWrap/>
            <w:vAlign w:val="bottom"/>
            <w:hideMark/>
          </w:tcPr>
          <w:p w14:paraId="4FCABC8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FAE92AE"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73DF3AD"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EBA253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42A6B6B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B21DB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VA</w:t>
            </w:r>
          </w:p>
        </w:tc>
        <w:tc>
          <w:tcPr>
            <w:tcW w:w="1292" w:type="dxa"/>
            <w:tcBorders>
              <w:top w:val="nil"/>
              <w:left w:val="nil"/>
              <w:bottom w:val="single" w:sz="4" w:space="0" w:color="auto"/>
              <w:right w:val="single" w:sz="4" w:space="0" w:color="auto"/>
            </w:tcBorders>
            <w:shd w:val="clear" w:color="auto" w:fill="auto"/>
            <w:noWrap/>
            <w:vAlign w:val="bottom"/>
            <w:hideMark/>
          </w:tcPr>
          <w:p w14:paraId="3E2B5FB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2103754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1CB5F19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B010EF0"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1614EA" w:rsidRPr="001614EA" w14:paraId="4935E40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BBBCA2"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VT</w:t>
            </w:r>
          </w:p>
        </w:tc>
        <w:tc>
          <w:tcPr>
            <w:tcW w:w="1292" w:type="dxa"/>
            <w:tcBorders>
              <w:top w:val="nil"/>
              <w:left w:val="nil"/>
              <w:bottom w:val="single" w:sz="4" w:space="0" w:color="auto"/>
              <w:right w:val="single" w:sz="4" w:space="0" w:color="auto"/>
            </w:tcBorders>
            <w:shd w:val="clear" w:color="auto" w:fill="auto"/>
            <w:noWrap/>
            <w:vAlign w:val="bottom"/>
            <w:hideMark/>
          </w:tcPr>
          <w:p w14:paraId="0D405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776C23F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AAC1B6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7A467F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1614EA" w:rsidRPr="001614EA" w14:paraId="384FA8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7A6E5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WA</w:t>
            </w:r>
          </w:p>
        </w:tc>
        <w:tc>
          <w:tcPr>
            <w:tcW w:w="1292" w:type="dxa"/>
            <w:tcBorders>
              <w:top w:val="nil"/>
              <w:left w:val="nil"/>
              <w:bottom w:val="single" w:sz="4" w:space="0" w:color="auto"/>
              <w:right w:val="single" w:sz="4" w:space="0" w:color="auto"/>
            </w:tcBorders>
            <w:shd w:val="clear" w:color="auto" w:fill="auto"/>
            <w:noWrap/>
            <w:vAlign w:val="bottom"/>
            <w:hideMark/>
          </w:tcPr>
          <w:p w14:paraId="7AE89CA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8CDCB3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9F8F6A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F1A8AE6"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1614EA" w:rsidRPr="001614EA" w14:paraId="391C4E0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F1F1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WI</w:t>
            </w:r>
          </w:p>
        </w:tc>
        <w:tc>
          <w:tcPr>
            <w:tcW w:w="1292" w:type="dxa"/>
            <w:tcBorders>
              <w:top w:val="nil"/>
              <w:left w:val="nil"/>
              <w:bottom w:val="single" w:sz="4" w:space="0" w:color="auto"/>
              <w:right w:val="single" w:sz="4" w:space="0" w:color="auto"/>
            </w:tcBorders>
            <w:shd w:val="clear" w:color="auto" w:fill="auto"/>
            <w:noWrap/>
            <w:vAlign w:val="bottom"/>
            <w:hideMark/>
          </w:tcPr>
          <w:p w14:paraId="5628ED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7B3E7F3C"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27A424D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F256839"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30031F3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AAEB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WV</w:t>
            </w:r>
          </w:p>
        </w:tc>
        <w:tc>
          <w:tcPr>
            <w:tcW w:w="1292" w:type="dxa"/>
            <w:tcBorders>
              <w:top w:val="nil"/>
              <w:left w:val="nil"/>
              <w:bottom w:val="single" w:sz="4" w:space="0" w:color="auto"/>
              <w:right w:val="single" w:sz="4" w:space="0" w:color="auto"/>
            </w:tcBorders>
            <w:shd w:val="clear" w:color="auto" w:fill="auto"/>
            <w:noWrap/>
            <w:vAlign w:val="bottom"/>
            <w:hideMark/>
          </w:tcPr>
          <w:p w14:paraId="7F3DC7E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002B84F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20990F0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AE1B5AB"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1614EA" w:rsidRPr="001614EA" w14:paraId="004CEDA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230E5"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WY</w:t>
            </w:r>
          </w:p>
        </w:tc>
        <w:tc>
          <w:tcPr>
            <w:tcW w:w="1292" w:type="dxa"/>
            <w:tcBorders>
              <w:top w:val="nil"/>
              <w:left w:val="nil"/>
              <w:bottom w:val="single" w:sz="4" w:space="0" w:color="auto"/>
              <w:right w:val="single" w:sz="4" w:space="0" w:color="auto"/>
            </w:tcBorders>
            <w:shd w:val="clear" w:color="auto" w:fill="auto"/>
            <w:noWrap/>
            <w:vAlign w:val="bottom"/>
            <w:hideMark/>
          </w:tcPr>
          <w:p w14:paraId="54AA6A7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8C3A763"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74F93C01"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87FF7AA" w14:textId="77777777" w:rsidR="001614EA" w:rsidRPr="001614EA" w:rsidRDefault="001614EA"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bl>
    <w:p w14:paraId="0F34A142" w14:textId="77777777" w:rsidR="001614EA" w:rsidRDefault="001614EA" w:rsidP="005506F2"/>
    <w:p w14:paraId="198F5093" w14:textId="77777777" w:rsidR="001614EA" w:rsidRDefault="001614EA" w:rsidP="005506F2"/>
    <w:p w14:paraId="42FCA650" w14:textId="7877DF4F" w:rsidR="001614EA" w:rsidRDefault="00853B60" w:rsidP="005506F2">
      <w:r w:rsidRPr="00853B60">
        <w:t xml:space="preserve">Unless specified by policy, non-net metered electricity is assumed to be valued at </w:t>
      </w:r>
      <w:r w:rsidR="007B2A8D">
        <w:t xml:space="preserve">projected </w:t>
      </w:r>
      <w:r w:rsidRPr="00853B60">
        <w:t>wholesale rates</w:t>
      </w:r>
      <w:r w:rsidR="00AF48E8">
        <w:t xml:space="preserve"> (by state)</w:t>
      </w:r>
      <w:r w:rsidRPr="00853B60">
        <w:t xml:space="preserve"> in $2014/kWh. The assumption of wholesale rate valuation is in between the two extremes (full retail valuation or no NEM).</w:t>
      </w:r>
      <w:r w:rsidR="00F56FE2">
        <w:t xml:space="preserve"> </w:t>
      </w:r>
      <w:commentRangeStart w:id="38"/>
      <w:r w:rsidR="00F56FE2" w:rsidRPr="00F56FE2">
        <w:rPr>
          <w:color w:val="FF0000"/>
        </w:rPr>
        <w:t>Our</w:t>
      </w:r>
      <w:r w:rsidR="00AF48E8">
        <w:rPr>
          <w:color w:val="FF0000"/>
        </w:rPr>
        <w:t xml:space="preserve"> projections of wholesale rates </w:t>
      </w:r>
      <w:r w:rsidR="00F80697">
        <w:rPr>
          <w:color w:val="FF0000"/>
        </w:rPr>
        <w:t xml:space="preserve">are </w:t>
      </w:r>
      <w:r w:rsidR="00F56FE2" w:rsidRPr="00F56FE2">
        <w:rPr>
          <w:color w:val="FF0000"/>
        </w:rPr>
        <w:t>based on …</w:t>
      </w:r>
      <w:r w:rsidR="00F56FE2">
        <w:t xml:space="preserve"> </w:t>
      </w:r>
      <w:commentRangeEnd w:id="38"/>
      <w:r w:rsidR="00F56FE2">
        <w:rPr>
          <w:rStyle w:val="CommentReference"/>
        </w:rPr>
        <w:commentReference w:id="38"/>
      </w:r>
      <w:r w:rsidR="00F56FE2">
        <w:t>.</w:t>
      </w:r>
      <w:r w:rsidR="00172374">
        <w:t xml:space="preserve"> Due to the size of the table, these rate projections are not provided here for review, but can be provided separately, upon request.</w:t>
      </w:r>
    </w:p>
    <w:p w14:paraId="504F434E" w14:textId="32EBC456" w:rsidR="008B5E9E" w:rsidRDefault="009F72A3" w:rsidP="00F37A73">
      <w:pPr>
        <w:pStyle w:val="Heading4"/>
      </w:pPr>
      <w:r>
        <w:t>Planned Future Work</w:t>
      </w:r>
    </w:p>
    <w:p w14:paraId="3AC8582F" w14:textId="28E1588E" w:rsidR="009F72A3" w:rsidRDefault="00083D1C" w:rsidP="009F72A3">
      <w:r>
        <w:t xml:space="preserve">If </w:t>
      </w:r>
      <w:r w:rsidR="0005321B">
        <w:t>necessary</w:t>
      </w:r>
      <w:r>
        <w:t xml:space="preserve">, </w:t>
      </w:r>
      <w:r w:rsidR="00751CF1">
        <w:t xml:space="preserve">NREL may update </w:t>
      </w:r>
      <w:r w:rsidR="00F507E0">
        <w:t>our</w:t>
      </w:r>
      <w:r w:rsidR="00751CF1">
        <w:t xml:space="preserve"> projections for </w:t>
      </w:r>
      <w:r w:rsidR="005D1A4B">
        <w:t xml:space="preserve">expirations based on </w:t>
      </w:r>
      <w:r w:rsidR="00751CF1">
        <w:t xml:space="preserve">cumulative </w:t>
      </w:r>
      <w:r w:rsidR="00F507E0">
        <w:t xml:space="preserve">NEM caps </w:t>
      </w:r>
      <w:r w:rsidR="003F31C1">
        <w:t>using future</w:t>
      </w:r>
      <w:r w:rsidR="00F507E0">
        <w:t xml:space="preserve"> dGen model </w:t>
      </w:r>
      <w:r w:rsidR="008459A8">
        <w:t xml:space="preserve">runs. These </w:t>
      </w:r>
      <w:r w:rsidR="00246A60">
        <w:t>revised</w:t>
      </w:r>
      <w:r w:rsidR="008459A8">
        <w:t xml:space="preserve"> projections</w:t>
      </w:r>
      <w:r w:rsidR="00F507E0">
        <w:t xml:space="preserve"> </w:t>
      </w:r>
      <w:r w:rsidR="00283C27">
        <w:t>will</w:t>
      </w:r>
      <w:r w:rsidR="008459A8">
        <w:t xml:space="preserve"> incorporate </w:t>
      </w:r>
      <w:r w:rsidR="00246A60">
        <w:t>updated</w:t>
      </w:r>
      <w:r w:rsidR="008459A8">
        <w:t xml:space="preserve"> modeling assumptions and, if possible, will</w:t>
      </w:r>
      <w:r w:rsidR="00F507E0">
        <w:t xml:space="preserve"> incorporate both wind and solar market deployment project</w:t>
      </w:r>
      <w:r w:rsidR="002E7501">
        <w:t>ions.</w:t>
      </w:r>
    </w:p>
    <w:p w14:paraId="5358684E" w14:textId="77777777" w:rsidR="00751CF1" w:rsidRDefault="00751CF1" w:rsidP="009F72A3"/>
    <w:p w14:paraId="00D0DFEF" w14:textId="74A968EF" w:rsidR="00576ADD" w:rsidRPr="00615652" w:rsidRDefault="00277B62" w:rsidP="001D5C35">
      <w:pPr>
        <w:pStyle w:val="Heading2"/>
      </w:pPr>
      <w:r>
        <w:rPr>
          <w:highlight w:val="yellow"/>
        </w:rPr>
        <w:br w:type="column"/>
      </w:r>
      <w:bookmarkStart w:id="39" w:name="_Toc307504975"/>
      <w:r w:rsidR="00576ADD" w:rsidRPr="00615652">
        <w:t>2.</w:t>
      </w:r>
      <w:r w:rsidR="00674D95" w:rsidRPr="00615652">
        <w:t>10</w:t>
      </w:r>
      <w:r w:rsidR="00576ADD" w:rsidRPr="00615652">
        <w:t xml:space="preserve"> Maximum Market Share Curves</w:t>
      </w:r>
      <w:r w:rsidR="00995593" w:rsidRPr="00615652">
        <w:t xml:space="preserve"> (Technology Agnostic)</w:t>
      </w:r>
      <w:bookmarkEnd w:id="39"/>
    </w:p>
    <w:p w14:paraId="01EF5E90" w14:textId="6D62C5D6" w:rsidR="00995593" w:rsidRPr="00615652" w:rsidRDefault="00995593" w:rsidP="00F37A73">
      <w:pPr>
        <w:pStyle w:val="Heading4"/>
      </w:pPr>
      <w:r w:rsidRPr="00615652">
        <w:t>Summary</w:t>
      </w:r>
    </w:p>
    <w:p w14:paraId="4EC66672" w14:textId="2BAF3123" w:rsidR="00C3272B" w:rsidRPr="00615652" w:rsidRDefault="00615652" w:rsidP="00C3272B">
      <w:r w:rsidRPr="00615652">
        <w:t>One of the major factors driving the deployment of DER systems under the Bass diffusion framework used by the dGen model is the maximum market share (MMS). MMS is the maximum fraction of eligible agents who would eventually install a DER system if economic remained unchanged and is defined as a function of the economic attractiveness of a DER system. This relationship between economic attractiveness and MMS is parameterized in dGen using MMS curves, which relate the MMS to either payback period (for host-owned systems) or percent monthly bill savings (for leased systems with no down payment). As described in Section 5 of the dGen Model Documentation (Sigrin et al. 2015), there are several sources for MMS curves; the dGen model incorporates many of these curves and allows model users to select which curves to apply to which market sectors.</w:t>
      </w:r>
    </w:p>
    <w:p w14:paraId="570B73B5" w14:textId="014CA6D8" w:rsidR="00995593" w:rsidRDefault="00995593" w:rsidP="00F37A73">
      <w:pPr>
        <w:pStyle w:val="Heading4"/>
        <w:rPr>
          <w:highlight w:val="yellow"/>
        </w:rPr>
      </w:pPr>
      <w:r>
        <w:rPr>
          <w:highlight w:val="yellow"/>
        </w:rPr>
        <w:t>Default Settings (All Years)</w:t>
      </w:r>
    </w:p>
    <w:p w14:paraId="4182D415" w14:textId="4CBDA93A" w:rsidR="00F96ACA" w:rsidRDefault="00615652" w:rsidP="00615652">
      <w:r>
        <w:rPr>
          <w:highlight w:val="yellow"/>
        </w:rPr>
        <w:t>The default settings for all model years in the dGen model is to use MMS curve</w:t>
      </w:r>
      <w:r w:rsidR="0079172B">
        <w:rPr>
          <w:highlight w:val="yellow"/>
        </w:rPr>
        <w:t>s</w:t>
      </w:r>
      <w:r>
        <w:rPr>
          <w:highlight w:val="yellow"/>
        </w:rPr>
        <w:t xml:space="preserve"> defined by Navigant (</w:t>
      </w:r>
      <w:r w:rsidRPr="00874098">
        <w:t xml:space="preserve">Paidipati </w:t>
      </w:r>
      <w:r w:rsidRPr="00EB1D6D">
        <w:t>et al</w:t>
      </w:r>
      <w:r>
        <w:t xml:space="preserve">. </w:t>
      </w:r>
      <w:r w:rsidRPr="00874098">
        <w:t>2008</w:t>
      </w:r>
      <w:r>
        <w:t xml:space="preserve">) for host-owned systems and a MMS curve defined by Sigrin and Drury (2014) for leased systems. </w:t>
      </w:r>
      <w:r w:rsidR="00C50FB5">
        <w:t>We have selected the</w:t>
      </w:r>
      <w:r w:rsidR="00F96ACA">
        <w:t xml:space="preserve"> Navigant</w:t>
      </w:r>
      <w:r w:rsidR="00C50FB5">
        <w:t xml:space="preserve"> </w:t>
      </w:r>
      <w:r w:rsidR="0079172B">
        <w:t xml:space="preserve">host-ownership MMS </w:t>
      </w:r>
      <w:r w:rsidR="00C50FB5">
        <w:t>curve</w:t>
      </w:r>
      <w:r w:rsidR="0079172B">
        <w:t>s</w:t>
      </w:r>
      <w:r w:rsidR="00C50FB5">
        <w:t xml:space="preserve"> for consistency with other NREL DER modeling studies (</w:t>
      </w:r>
      <w:commentRangeStart w:id="40"/>
      <w:r w:rsidR="00C50FB5" w:rsidRPr="00C50FB5">
        <w:rPr>
          <w:color w:val="FF0000"/>
        </w:rPr>
        <w:t>SunShot Vision study</w:t>
      </w:r>
      <w:commentRangeEnd w:id="40"/>
      <w:r w:rsidR="00C50FB5">
        <w:rPr>
          <w:rStyle w:val="CommentReference"/>
        </w:rPr>
        <w:commentReference w:id="40"/>
      </w:r>
      <w:r w:rsidR="00C50FB5">
        <w:t>).</w:t>
      </w:r>
      <w:r w:rsidR="0079172B">
        <w:t xml:space="preserve"> In addition,</w:t>
      </w:r>
      <w:r w:rsidR="009714AB">
        <w:t xml:space="preserve"> compared to other MMS curves,</w:t>
      </w:r>
      <w:r w:rsidR="0079172B">
        <w:t xml:space="preserve"> </w:t>
      </w:r>
      <w:r w:rsidR="009714AB">
        <w:t>the Navigant curves tend to provide a moderate, midline estimate of the relationship between payback period and MMS (see figure below). Due to the relatively recent emergence of the third-party-ownership model, the MMS curve for leased systems defined by Sigrin and Drury (2014) represents the only currently available option.</w:t>
      </w:r>
    </w:p>
    <w:p w14:paraId="12D1AA4D" w14:textId="77777777" w:rsidR="009714AB" w:rsidRDefault="009714AB" w:rsidP="00615652"/>
    <w:p w14:paraId="719F4184" w14:textId="05A16B9A" w:rsidR="009714AB" w:rsidRDefault="009714AB" w:rsidP="00615652">
      <w:r>
        <w:rPr>
          <w:noProof/>
        </w:rPr>
        <w:drawing>
          <wp:inline distT="0" distB="0" distL="0" distR="0" wp14:anchorId="1CA9B629" wp14:editId="50402B88">
            <wp:extent cx="3622776" cy="3086100"/>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9518" cy="3091843"/>
                    </a:xfrm>
                    <a:prstGeom prst="rect">
                      <a:avLst/>
                    </a:prstGeom>
                  </pic:spPr>
                </pic:pic>
              </a:graphicData>
            </a:graphic>
          </wp:inline>
        </w:drawing>
      </w:r>
    </w:p>
    <w:p w14:paraId="00081B29" w14:textId="77777777" w:rsidR="00F96ACA" w:rsidRDefault="00F96ACA" w:rsidP="00615652"/>
    <w:p w14:paraId="7AFCDE5C" w14:textId="5DEE5ED5" w:rsidR="00615652" w:rsidRPr="00615652" w:rsidRDefault="00615652" w:rsidP="00615652">
      <w:pPr>
        <w:rPr>
          <w:highlight w:val="yellow"/>
        </w:rPr>
      </w:pPr>
      <w:r>
        <w:t xml:space="preserve">Both of </w:t>
      </w:r>
      <w:r w:rsidR="00B5536F">
        <w:t>the default</w:t>
      </w:r>
      <w:r>
        <w:t xml:space="preserve"> MMS curves were derived based on data for the distributed solar market, which is significantly more mature than the distributed wind market and, thus, has greater </w:t>
      </w:r>
      <w:r w:rsidR="00F96ACA">
        <w:t xml:space="preserve">data availability on historical adoption patterns. Given the similarity in technologies and infeasibility of deriving statistically sound MMS specific to the wind industry, NREL believes it is justified to use these MMS curves. </w:t>
      </w:r>
    </w:p>
    <w:p w14:paraId="61EF49E2" w14:textId="33F242DC" w:rsidR="00132EE6" w:rsidRPr="00445386" w:rsidRDefault="00132EE6" w:rsidP="00F37A73">
      <w:pPr>
        <w:pStyle w:val="Heading4"/>
      </w:pPr>
      <w:r w:rsidRPr="00445386">
        <w:t>Planned Future Work</w:t>
      </w:r>
    </w:p>
    <w:p w14:paraId="6FFBD101" w14:textId="4202EC3E" w:rsidR="00132EE6" w:rsidRPr="00445386" w:rsidRDefault="009A18F3" w:rsidP="00132EE6">
      <w:r w:rsidRPr="00445386">
        <w:t>NREL is</w:t>
      </w:r>
      <w:r w:rsidR="00132EE6" w:rsidRPr="00445386">
        <w:t xml:space="preserve"> confident that the default settings </w:t>
      </w:r>
      <w:r w:rsidRPr="00445386">
        <w:t xml:space="preserve">used for MMS curves in the dGen model are based on the best publicly available data. </w:t>
      </w:r>
      <w:r w:rsidR="003579C3" w:rsidRPr="00445386">
        <w:t xml:space="preserve">We anticipate that ongoing and independently funded work </w:t>
      </w:r>
      <w:r w:rsidR="00445386" w:rsidRPr="00445386">
        <w:t xml:space="preserve">by NREL in the distributed solar market may yield a revised MMS curve for leased systems by FY16 Q2. If this revised curve is available, we will integrate into the dGen model. </w:t>
      </w:r>
    </w:p>
    <w:p w14:paraId="296D1BEC" w14:textId="77777777" w:rsidR="00880E58" w:rsidRDefault="00880E58" w:rsidP="00576ADD">
      <w:pPr>
        <w:pStyle w:val="ListParagraph"/>
        <w:ind w:left="360"/>
      </w:pPr>
    </w:p>
    <w:p w14:paraId="49D5C82C" w14:textId="77777777" w:rsidR="00880E58" w:rsidRDefault="00880E58" w:rsidP="00737D83"/>
    <w:p w14:paraId="375BC3F6" w14:textId="4EC6ECBD" w:rsidR="00880E58" w:rsidRPr="00182FBA" w:rsidRDefault="008A5C79" w:rsidP="00737D83">
      <w:pPr>
        <w:pStyle w:val="Heading1"/>
      </w:pPr>
      <w:r>
        <w:br w:type="column"/>
      </w:r>
      <w:bookmarkStart w:id="41" w:name="_Toc307504976"/>
      <w:r w:rsidR="00341B5E">
        <w:t>3 Non-Economic Drivers of Customer Adoption</w:t>
      </w:r>
      <w:bookmarkEnd w:id="41"/>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NEM and nonNEM</w:t>
      </w:r>
    </w:p>
    <w:p w14:paraId="616DD06B" w14:textId="60E560E8" w:rsidR="00477BEE" w:rsidRDefault="00477BEE" w:rsidP="00737D83">
      <w:pPr>
        <w:pStyle w:val="ListParagraph"/>
        <w:numPr>
          <w:ilvl w:val="1"/>
          <w:numId w:val="1"/>
        </w:numPr>
      </w:pPr>
      <w:r>
        <w:t>Sources? (only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(similar to work for solar)</w:t>
      </w:r>
    </w:p>
    <w:p w14:paraId="4E804C68" w14:textId="77777777" w:rsidR="00880E58" w:rsidRDefault="00880E58" w:rsidP="00737D83">
      <w:pPr>
        <w:pStyle w:val="ListParagraph"/>
        <w:numPr>
          <w:ilvl w:val="2"/>
          <w:numId w:val="1"/>
        </w:numPr>
      </w:pPr>
      <w:r>
        <w:t xml:space="preserve">TEQ yr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5DA4CBF6" w14:textId="721CC7CD" w:rsidR="00D37C26" w:rsidRDefault="00D37C26" w:rsidP="00DD58EA">
      <w:pPr>
        <w:pStyle w:val="Heading1"/>
      </w:pPr>
    </w:p>
    <w:p w14:paraId="00382A6F" w14:textId="77777777" w:rsidR="00D37C26" w:rsidRPr="00DC212E" w:rsidRDefault="00D37C26" w:rsidP="00737D83"/>
    <w:sectPr w:rsidR="00D37C26" w:rsidRPr="00DC212E" w:rsidSect="003A1385">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hael Gleason" w:date="2015-10-26T18:44:00Z" w:initials="MG">
    <w:p w14:paraId="0F0ADE54" w14:textId="64F4D0C8" w:rsidR="00F0303B" w:rsidRDefault="00F0303B">
      <w:pPr>
        <w:pStyle w:val="CommentText"/>
      </w:pPr>
      <w:r>
        <w:rPr>
          <w:rStyle w:val="CommentReference"/>
        </w:rPr>
        <w:annotationRef/>
      </w:r>
      <w:r>
        <w:t>Mike – Add these sections</w:t>
      </w:r>
      <w:r w:rsidR="00A23D6B">
        <w:t xml:space="preserve"> after starting PPT,</w:t>
      </w:r>
      <w:r>
        <w:t xml:space="preserve"> if time </w:t>
      </w:r>
      <w:r w:rsidR="008D16C7">
        <w:t>permits</w:t>
      </w:r>
    </w:p>
  </w:comment>
  <w:comment w:id="5" w:author="Michael Gleason" w:date="2015-10-26T18:54:00Z" w:initials="MG">
    <w:p w14:paraId="2C47F5E8" w14:textId="6371C903" w:rsidR="00615652" w:rsidRDefault="00615652">
      <w:pPr>
        <w:pStyle w:val="CommentText"/>
      </w:pPr>
      <w:r>
        <w:rPr>
          <w:rStyle w:val="CommentReference"/>
        </w:rPr>
        <w:annotationRef/>
      </w:r>
      <w:r w:rsidR="00154C82">
        <w:t xml:space="preserve">Ben: </w:t>
      </w:r>
      <w:r>
        <w:t>Is it important to include any of the following:</w:t>
      </w:r>
    </w:p>
    <w:p w14:paraId="3C9F7505" w14:textId="77777777" w:rsidR="00615652" w:rsidRDefault="00615652">
      <w:pPr>
        <w:pStyle w:val="CommentText"/>
      </w:pPr>
    </w:p>
    <w:p w14:paraId="10D676EA" w14:textId="77777777" w:rsidR="00615652" w:rsidRDefault="00615652" w:rsidP="00471AA6">
      <w:pPr>
        <w:pStyle w:val="ListParagraph"/>
        <w:numPr>
          <w:ilvl w:val="1"/>
          <w:numId w:val="1"/>
        </w:numPr>
      </w:pPr>
      <w:r>
        <w:t>Depreciation schedule</w:t>
      </w:r>
    </w:p>
    <w:p w14:paraId="0E9CA808" w14:textId="77777777" w:rsidR="00615652" w:rsidRDefault="00615652" w:rsidP="00471AA6">
      <w:pPr>
        <w:pStyle w:val="ListParagraph"/>
        <w:numPr>
          <w:ilvl w:val="1"/>
          <w:numId w:val="1"/>
        </w:numPr>
      </w:pPr>
      <w:r>
        <w:t>Inflation</w:t>
      </w:r>
    </w:p>
    <w:p w14:paraId="2AE6F726" w14:textId="77777777" w:rsidR="00615652" w:rsidRDefault="00615652" w:rsidP="00471AA6">
      <w:pPr>
        <w:pStyle w:val="ListParagraph"/>
        <w:numPr>
          <w:ilvl w:val="2"/>
          <w:numId w:val="1"/>
        </w:numPr>
      </w:pPr>
      <w:r>
        <w:t>2.5%</w:t>
      </w:r>
    </w:p>
    <w:p w14:paraId="4C59170F" w14:textId="77777777" w:rsidR="00615652" w:rsidRDefault="00615652">
      <w:pPr>
        <w:pStyle w:val="CommentText"/>
      </w:pPr>
    </w:p>
  </w:comment>
  <w:comment w:id="6" w:author="Michael Gleason" w:date="2015-10-26T18:54:00Z" w:initials="MG">
    <w:p w14:paraId="096AC877" w14:textId="1160D54C" w:rsidR="00154C82" w:rsidRDefault="00154C82">
      <w:pPr>
        <w:pStyle w:val="CommentText"/>
      </w:pPr>
      <w:r>
        <w:rPr>
          <w:rStyle w:val="CommentReference"/>
        </w:rPr>
        <w:annotationRef/>
      </w:r>
      <w:r>
        <w:t>Ben – adding supporting references here</w:t>
      </w:r>
      <w:bookmarkStart w:id="7" w:name="_GoBack"/>
      <w:bookmarkEnd w:id="7"/>
    </w:p>
  </w:comment>
  <w:comment w:id="9" w:author="Michael Gleason" w:date="2015-10-26T11:31:00Z" w:initials="MG">
    <w:p w14:paraId="02B5A842" w14:textId="6F0EB639" w:rsidR="00615652" w:rsidRDefault="00615652">
      <w:pPr>
        <w:pStyle w:val="CommentText"/>
      </w:pPr>
      <w:r>
        <w:rPr>
          <w:rStyle w:val="CommentReference"/>
        </w:rPr>
        <w:annotationRef/>
      </w:r>
      <w:r>
        <w:t>Not sure if we want this level of detail here --- or should simply detail specific empirical sources for data here and then reference the dGen doc for the methodology…</w:t>
      </w:r>
    </w:p>
  </w:comment>
  <w:comment w:id="10" w:author="Michael Gleason" w:date="2015-10-26T12:45:00Z" w:initials="MG">
    <w:p w14:paraId="69060B26" w14:textId="54083A9A" w:rsidR="00615652" w:rsidRPr="00CA32E6" w:rsidRDefault="00615652">
      <w:pPr>
        <w:pStyle w:val="CommentText"/>
      </w:pPr>
      <w:r>
        <w:rPr>
          <w:rStyle w:val="CommentReference"/>
        </w:rPr>
        <w:annotationRef/>
      </w:r>
      <w:r>
        <w:t>Add to references</w:t>
      </w:r>
    </w:p>
  </w:comment>
  <w:comment w:id="11" w:author="Michael Gleason" w:date="2015-10-26T11:35:00Z" w:initials="MG">
    <w:p w14:paraId="4A7B9271" w14:textId="7B5EDC5C" w:rsidR="00615652" w:rsidRDefault="00615652">
      <w:pPr>
        <w:pStyle w:val="CommentText"/>
      </w:pPr>
      <w:r>
        <w:rPr>
          <w:rStyle w:val="CommentReference"/>
        </w:rPr>
        <w:annotationRef/>
      </w:r>
      <w:r>
        <w:t>Add additional sources here</w:t>
      </w:r>
    </w:p>
  </w:comment>
  <w:comment w:id="12" w:author="Michael Gleason" w:date="2015-10-26T11:45:00Z" w:initials="MG">
    <w:p w14:paraId="18722AA7" w14:textId="77777777" w:rsidR="00615652" w:rsidRDefault="00615652" w:rsidP="003459E6">
      <w:pPr>
        <w:pStyle w:val="CommentText"/>
      </w:pPr>
      <w:r>
        <w:rPr>
          <w:rStyle w:val="CommentReference"/>
        </w:rPr>
        <w:annotationRef/>
      </w:r>
      <w:r>
        <w:t>Need to add names of companies here</w:t>
      </w:r>
    </w:p>
  </w:comment>
  <w:comment w:id="14" w:author="Michael Gleason" w:date="2015-10-26T13:04:00Z" w:initials="MG">
    <w:p w14:paraId="0C98F876" w14:textId="43F47946" w:rsidR="00615652" w:rsidRDefault="00615652">
      <w:pPr>
        <w:pStyle w:val="CommentText"/>
      </w:pPr>
      <w:r>
        <w:rPr>
          <w:rStyle w:val="CommentReference"/>
        </w:rPr>
        <w:annotationRef/>
      </w:r>
      <w:r>
        <w:t>Add explanation for this.</w:t>
      </w:r>
    </w:p>
  </w:comment>
  <w:comment w:id="15" w:author="Michael Gleason" w:date="2015-10-26T13:19:00Z" w:initials="MG">
    <w:p w14:paraId="0D403EA2" w14:textId="299AE832" w:rsidR="00615652" w:rsidRDefault="00615652">
      <w:pPr>
        <w:pStyle w:val="CommentText"/>
      </w:pPr>
      <w:r>
        <w:rPr>
          <w:rStyle w:val="CommentReference"/>
        </w:rPr>
        <w:annotationRef/>
      </w:r>
      <w:r>
        <w:t>I have no idea if this is feasible – just trying to ancipate what DOE will suggest.</w:t>
      </w:r>
    </w:p>
  </w:comment>
  <w:comment w:id="17" w:author="Michael Gleason" w:date="2015-10-26T16:46:00Z" w:initials="MG">
    <w:p w14:paraId="3E91853C" w14:textId="78995C18" w:rsidR="00615652" w:rsidRDefault="00615652">
      <w:pPr>
        <w:pStyle w:val="CommentText"/>
      </w:pPr>
      <w:r>
        <w:rPr>
          <w:rStyle w:val="CommentReference"/>
        </w:rPr>
        <w:annotationRef/>
      </w:r>
      <w:r>
        <w:t>Add specific data sources here</w:t>
      </w:r>
    </w:p>
  </w:comment>
  <w:comment w:id="18" w:author="Michael Gleason" w:date="2015-10-26T16:52:00Z" w:initials="MG">
    <w:p w14:paraId="5219F4EE" w14:textId="5AA6E5B6" w:rsidR="00615652" w:rsidRDefault="00615652">
      <w:pPr>
        <w:pStyle w:val="CommentText"/>
      </w:pPr>
      <w:r>
        <w:rPr>
          <w:rStyle w:val="CommentReference"/>
        </w:rPr>
        <w:annotationRef/>
      </w:r>
      <w:r>
        <w:t>This is just an estimate. Would be good to have a review.</w:t>
      </w:r>
    </w:p>
  </w:comment>
  <w:comment w:id="19" w:author="Michael Gleason" w:date="2015-10-26T17:06:00Z" w:initials="MG">
    <w:p w14:paraId="4564976A" w14:textId="2D5B09E6" w:rsidR="00615652" w:rsidRDefault="00615652">
      <w:pPr>
        <w:pStyle w:val="CommentText"/>
      </w:pPr>
      <w:r>
        <w:rPr>
          <w:rStyle w:val="CommentReference"/>
        </w:rPr>
        <w:annotationRef/>
      </w:r>
      <w:r>
        <w:t xml:space="preserve">Robert – Please review this table. I created this based on the input sheets; however, the power curve IDs, names, and applicability to different size classes are not consistent with what is in the dGen documentation  </w:t>
      </w:r>
    </w:p>
  </w:comment>
  <w:comment w:id="20" w:author="Michael Gleason" w:date="2015-10-26T17:10:00Z" w:initials="MG">
    <w:p w14:paraId="1326A8BA" w14:textId="6DDFA069" w:rsidR="00615652" w:rsidRDefault="00615652">
      <w:pPr>
        <w:pStyle w:val="CommentText"/>
      </w:pPr>
      <w:r>
        <w:rPr>
          <w:rStyle w:val="CommentReference"/>
        </w:rPr>
        <w:annotationRef/>
      </w:r>
      <w:r>
        <w:t>Need to add description for how we figured this out</w:t>
      </w:r>
    </w:p>
  </w:comment>
  <w:comment w:id="21" w:author="Michael Gleason" w:date="2015-10-26T17:11:00Z" w:initials="MG">
    <w:p w14:paraId="3719D993" w14:textId="71B5E899" w:rsidR="00615652" w:rsidRDefault="00615652">
      <w:pPr>
        <w:pStyle w:val="CommentText"/>
      </w:pPr>
      <w:r>
        <w:rPr>
          <w:rStyle w:val="CommentReference"/>
        </w:rPr>
        <w:annotationRef/>
      </w:r>
      <w:r>
        <w:t>Need to confirm this is 1) the appropriate assignment of power curves to size classes and 2) the correct default schedule.</w:t>
      </w:r>
    </w:p>
  </w:comment>
  <w:comment w:id="22" w:author="Michael Gleason" w:date="2015-10-26T17:15:00Z" w:initials="MG">
    <w:p w14:paraId="0A0928DD" w14:textId="01D5BA20" w:rsidR="00615652" w:rsidRDefault="00615652">
      <w:pPr>
        <w:pStyle w:val="CommentText"/>
      </w:pPr>
      <w:r>
        <w:rPr>
          <w:rStyle w:val="CommentReference"/>
        </w:rPr>
        <w:annotationRef/>
      </w:r>
      <w:r>
        <w:t>Not sure if this is something we need to do or want to do – just throwing this in here as an idea in case we want to make sure these assumptions are bulletproof.</w:t>
      </w:r>
    </w:p>
  </w:comment>
  <w:comment w:id="24" w:author="Michael Gleason" w:date="2015-10-26T14:22:00Z" w:initials="MG">
    <w:p w14:paraId="6776669C" w14:textId="5A4E7D2D" w:rsidR="00615652" w:rsidRDefault="00615652">
      <w:pPr>
        <w:pStyle w:val="CommentText"/>
      </w:pPr>
      <w:r>
        <w:rPr>
          <w:rStyle w:val="CommentReference"/>
        </w:rPr>
        <w:annotationRef/>
      </w:r>
      <w:r>
        <w:t>Add to references</w:t>
      </w:r>
    </w:p>
  </w:comment>
  <w:comment w:id="25" w:author="Michael Gleason" w:date="2015-10-26T14:22:00Z" w:initials="MG">
    <w:p w14:paraId="1024FDAB" w14:textId="68A57AB3" w:rsidR="00615652" w:rsidRDefault="00615652">
      <w:pPr>
        <w:pStyle w:val="CommentText"/>
      </w:pPr>
      <w:r>
        <w:rPr>
          <w:rStyle w:val="CommentReference"/>
        </w:rPr>
        <w:annotationRef/>
      </w:r>
      <w:r>
        <w:t>Add to references</w:t>
      </w:r>
    </w:p>
  </w:comment>
  <w:comment w:id="26" w:author="Michael Gleason" w:date="2015-10-26T14:54:00Z" w:initials="MG">
    <w:p w14:paraId="5A07F06D" w14:textId="7CA19C6B" w:rsidR="00615652" w:rsidRPr="009A4276" w:rsidRDefault="00615652">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27" w:author="Michael Gleason" w:date="2015-10-26T16:27:00Z" w:initials="MG">
    <w:p w14:paraId="4041D2A2" w14:textId="77777777" w:rsidR="00615652" w:rsidRPr="009A4276" w:rsidRDefault="00615652" w:rsidP="003E48EA">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28" w:author="Michael Gleason" w:date="2015-10-26T16:27:00Z" w:initials="MG">
    <w:p w14:paraId="7ADA542B" w14:textId="77777777" w:rsidR="00615652" w:rsidRPr="009A4276" w:rsidRDefault="00615652" w:rsidP="003E48EA">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29" w:author="Michael Gleason" w:date="2015-10-26T16:27:00Z" w:initials="MG">
    <w:p w14:paraId="7E7175F7" w14:textId="77777777" w:rsidR="00615652" w:rsidRPr="009A4276" w:rsidRDefault="00615652" w:rsidP="00F567E8">
      <w:pPr>
        <w:pStyle w:val="CommentText"/>
        <w:rPr>
          <w:color w:val="FF0000"/>
        </w:rPr>
      </w:pPr>
      <w:r>
        <w:rPr>
          <w:rStyle w:val="CommentReference"/>
        </w:rPr>
        <w:annotationRef/>
      </w:r>
      <w:r w:rsidRPr="009A4276">
        <w:rPr>
          <w:color w:val="FF0000"/>
        </w:rPr>
        <w:t xml:space="preserve">Ben – it’s not clear to me whether </w:t>
      </w:r>
      <w:r>
        <w:rPr>
          <w:color w:val="FF0000"/>
        </w:rPr>
        <w:t>these are specific to the AEO rrefernece case? Or whether this is the only rate escalation forecast provided by AEO?</w:t>
      </w:r>
    </w:p>
  </w:comment>
  <w:comment w:id="30" w:author="Michael Gleason" w:date="2015-10-26T14:39:00Z" w:initials="MG">
    <w:p w14:paraId="27599D46" w14:textId="77777777" w:rsidR="00615652" w:rsidRPr="000D50C3" w:rsidRDefault="00615652" w:rsidP="00475F39">
      <w:pPr>
        <w:pStyle w:val="CommentText"/>
      </w:pPr>
      <w:r>
        <w:rPr>
          <w:rStyle w:val="CommentReference"/>
        </w:rPr>
        <w:annotationRef/>
      </w:r>
      <w:r>
        <w:t>Add ref</w:t>
      </w:r>
    </w:p>
  </w:comment>
  <w:comment w:id="31" w:author="Michael Gleason" w:date="2015-10-26T14:55:00Z" w:initials="MG">
    <w:p w14:paraId="523C9296" w14:textId="6DA2CA55" w:rsidR="00615652" w:rsidRPr="00E922D4" w:rsidRDefault="00615652">
      <w:pPr>
        <w:pStyle w:val="CommentText"/>
        <w:rPr>
          <w:color w:val="FF0000"/>
        </w:rPr>
      </w:pPr>
      <w:r>
        <w:rPr>
          <w:rStyle w:val="CommentReference"/>
        </w:rPr>
        <w:annotationRef/>
      </w:r>
      <w:r w:rsidRPr="00E922D4">
        <w:rPr>
          <w:color w:val="FF0000"/>
        </w:rPr>
        <w:t>Is everyone comfortable with this?</w:t>
      </w:r>
    </w:p>
  </w:comment>
  <w:comment w:id="32" w:author="Michael Gleason" w:date="2015-10-26T14:18:00Z" w:initials="MG">
    <w:p w14:paraId="3461F6F1" w14:textId="729C8DE3" w:rsidR="00615652" w:rsidRDefault="00615652">
      <w:pPr>
        <w:pStyle w:val="CommentText"/>
      </w:pPr>
      <w:r>
        <w:rPr>
          <w:rStyle w:val="CommentReference"/>
        </w:rPr>
        <w:annotationRef/>
      </w:r>
      <w:r>
        <w:t>Do we want to look into what’s going on with the “double” hump issue related to the AEO2015 ref case?</w:t>
      </w:r>
    </w:p>
  </w:comment>
  <w:comment w:id="33" w:author="Michael Gleason" w:date="2015-10-26T15:01:00Z" w:initials="MG">
    <w:p w14:paraId="09405470" w14:textId="090D1AFC" w:rsidR="00615652" w:rsidRDefault="00615652">
      <w:pPr>
        <w:pStyle w:val="CommentText"/>
      </w:pPr>
      <w:r>
        <w:rPr>
          <w:rStyle w:val="CommentReference"/>
        </w:rPr>
        <w:annotationRef/>
      </w:r>
      <w:r>
        <w:t>What about any work we want to do to curate different or more selective URDB rates?</w:t>
      </w:r>
    </w:p>
  </w:comment>
  <w:comment w:id="36" w:author="Michael Gleason" w:date="2015-10-26T18:08:00Z" w:initials="MG">
    <w:p w14:paraId="0E40EDDE" w14:textId="41E0BAC7" w:rsidR="00615652" w:rsidRDefault="00615652">
      <w:pPr>
        <w:pStyle w:val="CommentText"/>
      </w:pPr>
      <w:r>
        <w:rPr>
          <w:rStyle w:val="CommentReference"/>
        </w:rPr>
        <w:annotationRef/>
      </w:r>
      <w:r>
        <w:t>Add reference</w:t>
      </w:r>
    </w:p>
  </w:comment>
  <w:comment w:id="37" w:author="Michael Gleason" w:date="2015-10-26T18:21:00Z" w:initials="MG">
    <w:p w14:paraId="4E3CF81D" w14:textId="7572856B" w:rsidR="00615652" w:rsidRDefault="00615652">
      <w:pPr>
        <w:pStyle w:val="CommentText"/>
      </w:pPr>
      <w:r>
        <w:rPr>
          <w:rStyle w:val="CommentReference"/>
        </w:rPr>
        <w:annotationRef/>
      </w:r>
      <w:r>
        <w:t>Fix formatting</w:t>
      </w:r>
    </w:p>
  </w:comment>
  <w:comment w:id="38" w:author="Michael Gleason" w:date="2015-10-26T18:13:00Z" w:initials="MG">
    <w:p w14:paraId="71C9B679" w14:textId="1E26F982" w:rsidR="00615652" w:rsidRDefault="00615652">
      <w:pPr>
        <w:pStyle w:val="CommentText"/>
      </w:pPr>
      <w:r>
        <w:rPr>
          <w:rStyle w:val="CommentReference"/>
        </w:rPr>
        <w:annotationRef/>
      </w:r>
      <w:r>
        <w:t>Add source for wholesale rate projections</w:t>
      </w:r>
    </w:p>
  </w:comment>
  <w:comment w:id="40" w:author="Michael Gleason" w:date="2015-10-26T18:39:00Z" w:initials="MG">
    <w:p w14:paraId="5E70FDAF" w14:textId="1B71EB3B" w:rsidR="00C50FB5" w:rsidRDefault="00C50FB5">
      <w:pPr>
        <w:pStyle w:val="CommentText"/>
      </w:pPr>
      <w:r>
        <w:rPr>
          <w:rStyle w:val="CommentReference"/>
        </w:rPr>
        <w:annotationRef/>
      </w:r>
      <w:r>
        <w:t>Add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69AA8" w14:textId="77777777" w:rsidR="00615652" w:rsidRDefault="00615652" w:rsidP="00BA38A5">
      <w:r>
        <w:separator/>
      </w:r>
    </w:p>
  </w:endnote>
  <w:endnote w:type="continuationSeparator" w:id="0">
    <w:p w14:paraId="526D13F9" w14:textId="77777777" w:rsidR="00615652" w:rsidRDefault="00615652" w:rsidP="00BA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732" w14:textId="77777777" w:rsidR="00615652" w:rsidRDefault="00615652"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2007F6" w14:textId="77777777" w:rsidR="00615652" w:rsidRDefault="006156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58AAF" w14:textId="77777777" w:rsidR="00615652" w:rsidRDefault="00615652"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4C82">
      <w:rPr>
        <w:rStyle w:val="PageNumber"/>
        <w:noProof/>
      </w:rPr>
      <w:t>1</w:t>
    </w:r>
    <w:r>
      <w:rPr>
        <w:rStyle w:val="PageNumber"/>
      </w:rPr>
      <w:fldChar w:fldCharType="end"/>
    </w:r>
  </w:p>
  <w:p w14:paraId="032A12CD" w14:textId="77777777" w:rsidR="00615652" w:rsidRDefault="006156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AA35" w14:textId="77777777" w:rsidR="00615652" w:rsidRDefault="00615652" w:rsidP="00BA38A5">
      <w:r>
        <w:separator/>
      </w:r>
    </w:p>
  </w:footnote>
  <w:footnote w:type="continuationSeparator" w:id="0">
    <w:p w14:paraId="06BFDCDA" w14:textId="77777777" w:rsidR="00615652" w:rsidRDefault="00615652" w:rsidP="00BA3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B2C0F"/>
    <w:multiLevelType w:val="hybridMultilevel"/>
    <w:tmpl w:val="DEE6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A0ACF"/>
    <w:multiLevelType w:val="hybridMultilevel"/>
    <w:tmpl w:val="806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33BCD"/>
    <w:multiLevelType w:val="hybridMultilevel"/>
    <w:tmpl w:val="E188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51"/>
    <w:multiLevelType w:val="hybridMultilevel"/>
    <w:tmpl w:val="0DCE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B3B30"/>
    <w:multiLevelType w:val="hybridMultilevel"/>
    <w:tmpl w:val="B9125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70EB3"/>
    <w:multiLevelType w:val="hybridMultilevel"/>
    <w:tmpl w:val="4DB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18D3"/>
    <w:multiLevelType w:val="hybridMultilevel"/>
    <w:tmpl w:val="90E8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DE7"/>
    <w:multiLevelType w:val="hybridMultilevel"/>
    <w:tmpl w:val="D7F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BC6767"/>
    <w:multiLevelType w:val="hybridMultilevel"/>
    <w:tmpl w:val="B6E89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F161A"/>
    <w:multiLevelType w:val="hybridMultilevel"/>
    <w:tmpl w:val="1C9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A1CF1"/>
    <w:multiLevelType w:val="hybridMultilevel"/>
    <w:tmpl w:val="25C2D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3B17"/>
    <w:multiLevelType w:val="hybridMultilevel"/>
    <w:tmpl w:val="3EB4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470"/>
    <w:multiLevelType w:val="hybridMultilevel"/>
    <w:tmpl w:val="D5C8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55901"/>
    <w:multiLevelType w:val="hybridMultilevel"/>
    <w:tmpl w:val="ACDAAD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D51B4"/>
    <w:multiLevelType w:val="multilevel"/>
    <w:tmpl w:val="4DB68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7"/>
  </w:num>
  <w:num w:numId="6">
    <w:abstractNumId w:val="2"/>
  </w:num>
  <w:num w:numId="7">
    <w:abstractNumId w:val="16"/>
  </w:num>
  <w:num w:numId="8">
    <w:abstractNumId w:val="11"/>
  </w:num>
  <w:num w:numId="9">
    <w:abstractNumId w:val="8"/>
  </w:num>
  <w:num w:numId="10">
    <w:abstractNumId w:val="9"/>
  </w:num>
  <w:num w:numId="11">
    <w:abstractNumId w:val="20"/>
  </w:num>
  <w:num w:numId="12">
    <w:abstractNumId w:val="15"/>
  </w:num>
  <w:num w:numId="13">
    <w:abstractNumId w:val="5"/>
  </w:num>
  <w:num w:numId="14">
    <w:abstractNumId w:val="3"/>
  </w:num>
  <w:num w:numId="15">
    <w:abstractNumId w:val="4"/>
  </w:num>
  <w:num w:numId="16">
    <w:abstractNumId w:val="13"/>
  </w:num>
  <w:num w:numId="17">
    <w:abstractNumId w:val="1"/>
  </w:num>
  <w:num w:numId="18">
    <w:abstractNumId w:val="7"/>
  </w:num>
  <w:num w:numId="19">
    <w:abstractNumId w:val="19"/>
  </w:num>
  <w:num w:numId="20">
    <w:abstractNumId w:val="2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2672"/>
    <w:rsid w:val="000041E5"/>
    <w:rsid w:val="0000697C"/>
    <w:rsid w:val="0000798C"/>
    <w:rsid w:val="00017FEA"/>
    <w:rsid w:val="000321FC"/>
    <w:rsid w:val="00041367"/>
    <w:rsid w:val="0005321B"/>
    <w:rsid w:val="000576C1"/>
    <w:rsid w:val="00062F37"/>
    <w:rsid w:val="00065D89"/>
    <w:rsid w:val="00072AA5"/>
    <w:rsid w:val="0007385D"/>
    <w:rsid w:val="00083D1C"/>
    <w:rsid w:val="0009197E"/>
    <w:rsid w:val="000934B2"/>
    <w:rsid w:val="000A1F03"/>
    <w:rsid w:val="000A3E43"/>
    <w:rsid w:val="000B74B4"/>
    <w:rsid w:val="000C0E30"/>
    <w:rsid w:val="000D1AEC"/>
    <w:rsid w:val="000D50C3"/>
    <w:rsid w:val="000E2667"/>
    <w:rsid w:val="000E6723"/>
    <w:rsid w:val="000F692A"/>
    <w:rsid w:val="0010171C"/>
    <w:rsid w:val="001076CF"/>
    <w:rsid w:val="00115151"/>
    <w:rsid w:val="001151E4"/>
    <w:rsid w:val="001151F2"/>
    <w:rsid w:val="00117EA4"/>
    <w:rsid w:val="00121821"/>
    <w:rsid w:val="0013089F"/>
    <w:rsid w:val="00132EE6"/>
    <w:rsid w:val="00152B44"/>
    <w:rsid w:val="00154C82"/>
    <w:rsid w:val="001614EA"/>
    <w:rsid w:val="0016248F"/>
    <w:rsid w:val="00165C58"/>
    <w:rsid w:val="00165C88"/>
    <w:rsid w:val="001669BD"/>
    <w:rsid w:val="00166AD3"/>
    <w:rsid w:val="00172374"/>
    <w:rsid w:val="00174D45"/>
    <w:rsid w:val="00182FBA"/>
    <w:rsid w:val="00193D08"/>
    <w:rsid w:val="00197E41"/>
    <w:rsid w:val="00197F81"/>
    <w:rsid w:val="001A7CB6"/>
    <w:rsid w:val="001B0882"/>
    <w:rsid w:val="001B169A"/>
    <w:rsid w:val="001B360D"/>
    <w:rsid w:val="001C52D8"/>
    <w:rsid w:val="001D074A"/>
    <w:rsid w:val="001D25B1"/>
    <w:rsid w:val="001D2EF1"/>
    <w:rsid w:val="001D5C35"/>
    <w:rsid w:val="001D674B"/>
    <w:rsid w:val="001D7FB7"/>
    <w:rsid w:val="001F5561"/>
    <w:rsid w:val="00202C4C"/>
    <w:rsid w:val="00202C6F"/>
    <w:rsid w:val="00217E92"/>
    <w:rsid w:val="00220417"/>
    <w:rsid w:val="00222F54"/>
    <w:rsid w:val="002241A1"/>
    <w:rsid w:val="00226815"/>
    <w:rsid w:val="002370C1"/>
    <w:rsid w:val="00246A60"/>
    <w:rsid w:val="002561EF"/>
    <w:rsid w:val="00257561"/>
    <w:rsid w:val="0027378D"/>
    <w:rsid w:val="00277B62"/>
    <w:rsid w:val="00283C27"/>
    <w:rsid w:val="00284545"/>
    <w:rsid w:val="00287477"/>
    <w:rsid w:val="002C110A"/>
    <w:rsid w:val="002C129E"/>
    <w:rsid w:val="002C519E"/>
    <w:rsid w:val="002C6194"/>
    <w:rsid w:val="002E7501"/>
    <w:rsid w:val="002E7551"/>
    <w:rsid w:val="00300388"/>
    <w:rsid w:val="003012DD"/>
    <w:rsid w:val="00312462"/>
    <w:rsid w:val="003205C5"/>
    <w:rsid w:val="00320E68"/>
    <w:rsid w:val="003404A0"/>
    <w:rsid w:val="00341B5E"/>
    <w:rsid w:val="003459E6"/>
    <w:rsid w:val="0034636B"/>
    <w:rsid w:val="00350D89"/>
    <w:rsid w:val="0035211D"/>
    <w:rsid w:val="003579C3"/>
    <w:rsid w:val="003616B0"/>
    <w:rsid w:val="003655A6"/>
    <w:rsid w:val="0037109B"/>
    <w:rsid w:val="00373C61"/>
    <w:rsid w:val="00373E6C"/>
    <w:rsid w:val="003748D7"/>
    <w:rsid w:val="00381234"/>
    <w:rsid w:val="00383E63"/>
    <w:rsid w:val="003851EE"/>
    <w:rsid w:val="003965B1"/>
    <w:rsid w:val="003A1385"/>
    <w:rsid w:val="003A59AE"/>
    <w:rsid w:val="003A6345"/>
    <w:rsid w:val="003B0313"/>
    <w:rsid w:val="003C3760"/>
    <w:rsid w:val="003C51F7"/>
    <w:rsid w:val="003E2F98"/>
    <w:rsid w:val="003E453C"/>
    <w:rsid w:val="003E48EA"/>
    <w:rsid w:val="003E4B70"/>
    <w:rsid w:val="003E55C2"/>
    <w:rsid w:val="003F14E8"/>
    <w:rsid w:val="003F31C1"/>
    <w:rsid w:val="003F58DE"/>
    <w:rsid w:val="00403E1A"/>
    <w:rsid w:val="00421B49"/>
    <w:rsid w:val="00423ADE"/>
    <w:rsid w:val="004345D6"/>
    <w:rsid w:val="00436206"/>
    <w:rsid w:val="00442795"/>
    <w:rsid w:val="004438E6"/>
    <w:rsid w:val="00445386"/>
    <w:rsid w:val="0044670F"/>
    <w:rsid w:val="00454A90"/>
    <w:rsid w:val="00464E65"/>
    <w:rsid w:val="00471AA6"/>
    <w:rsid w:val="00473DFC"/>
    <w:rsid w:val="00474DE9"/>
    <w:rsid w:val="00475F39"/>
    <w:rsid w:val="00477BEE"/>
    <w:rsid w:val="0049032F"/>
    <w:rsid w:val="00494E53"/>
    <w:rsid w:val="00495B0C"/>
    <w:rsid w:val="00496341"/>
    <w:rsid w:val="00496529"/>
    <w:rsid w:val="004A5B1C"/>
    <w:rsid w:val="004B0031"/>
    <w:rsid w:val="004B4652"/>
    <w:rsid w:val="004B7458"/>
    <w:rsid w:val="004C5C39"/>
    <w:rsid w:val="004C6934"/>
    <w:rsid w:val="004D2E5C"/>
    <w:rsid w:val="004F102E"/>
    <w:rsid w:val="004F18D3"/>
    <w:rsid w:val="004F2E31"/>
    <w:rsid w:val="004F7CF6"/>
    <w:rsid w:val="00510875"/>
    <w:rsid w:val="00515D2B"/>
    <w:rsid w:val="00515FE0"/>
    <w:rsid w:val="005432FC"/>
    <w:rsid w:val="00543FD2"/>
    <w:rsid w:val="0054582D"/>
    <w:rsid w:val="00545DD3"/>
    <w:rsid w:val="005506F2"/>
    <w:rsid w:val="005508EB"/>
    <w:rsid w:val="005511E0"/>
    <w:rsid w:val="00555B76"/>
    <w:rsid w:val="005609B9"/>
    <w:rsid w:val="00561A35"/>
    <w:rsid w:val="00567D07"/>
    <w:rsid w:val="005738D3"/>
    <w:rsid w:val="00574767"/>
    <w:rsid w:val="00576ADD"/>
    <w:rsid w:val="00583EB3"/>
    <w:rsid w:val="00585425"/>
    <w:rsid w:val="005A08B9"/>
    <w:rsid w:val="005A355F"/>
    <w:rsid w:val="005B58FB"/>
    <w:rsid w:val="005C587B"/>
    <w:rsid w:val="005D0849"/>
    <w:rsid w:val="005D1A4B"/>
    <w:rsid w:val="005E0767"/>
    <w:rsid w:val="005E40FB"/>
    <w:rsid w:val="0060008E"/>
    <w:rsid w:val="006071CE"/>
    <w:rsid w:val="00615652"/>
    <w:rsid w:val="00622423"/>
    <w:rsid w:val="0062263F"/>
    <w:rsid w:val="006243CC"/>
    <w:rsid w:val="00626ADF"/>
    <w:rsid w:val="0064090E"/>
    <w:rsid w:val="0064162F"/>
    <w:rsid w:val="00646CF4"/>
    <w:rsid w:val="00653BE6"/>
    <w:rsid w:val="00654E76"/>
    <w:rsid w:val="00657257"/>
    <w:rsid w:val="0066074C"/>
    <w:rsid w:val="0066106B"/>
    <w:rsid w:val="00674D95"/>
    <w:rsid w:val="0067551F"/>
    <w:rsid w:val="00677FDC"/>
    <w:rsid w:val="00680B96"/>
    <w:rsid w:val="006819B9"/>
    <w:rsid w:val="0068287C"/>
    <w:rsid w:val="006871AC"/>
    <w:rsid w:val="006B3C3B"/>
    <w:rsid w:val="006C1805"/>
    <w:rsid w:val="006C590D"/>
    <w:rsid w:val="006D6516"/>
    <w:rsid w:val="006F1896"/>
    <w:rsid w:val="006F1A65"/>
    <w:rsid w:val="00703770"/>
    <w:rsid w:val="007049FB"/>
    <w:rsid w:val="007147BE"/>
    <w:rsid w:val="00714D3F"/>
    <w:rsid w:val="007216D9"/>
    <w:rsid w:val="0072224F"/>
    <w:rsid w:val="007233F6"/>
    <w:rsid w:val="00727CCA"/>
    <w:rsid w:val="00737D83"/>
    <w:rsid w:val="00741A60"/>
    <w:rsid w:val="00747A40"/>
    <w:rsid w:val="00747C28"/>
    <w:rsid w:val="00751CF1"/>
    <w:rsid w:val="00761930"/>
    <w:rsid w:val="00762A41"/>
    <w:rsid w:val="00775088"/>
    <w:rsid w:val="00784801"/>
    <w:rsid w:val="007860FB"/>
    <w:rsid w:val="0079129F"/>
    <w:rsid w:val="007916EA"/>
    <w:rsid w:val="0079172B"/>
    <w:rsid w:val="00794037"/>
    <w:rsid w:val="007A26D0"/>
    <w:rsid w:val="007B115C"/>
    <w:rsid w:val="007B2A8D"/>
    <w:rsid w:val="007B6B07"/>
    <w:rsid w:val="007C08D2"/>
    <w:rsid w:val="007D6D1A"/>
    <w:rsid w:val="007D7067"/>
    <w:rsid w:val="007D7F20"/>
    <w:rsid w:val="007E0EFD"/>
    <w:rsid w:val="007E2421"/>
    <w:rsid w:val="007E75DA"/>
    <w:rsid w:val="007F1455"/>
    <w:rsid w:val="007F44A2"/>
    <w:rsid w:val="0080348D"/>
    <w:rsid w:val="008069CB"/>
    <w:rsid w:val="00811EC8"/>
    <w:rsid w:val="0082693C"/>
    <w:rsid w:val="008315BC"/>
    <w:rsid w:val="00834031"/>
    <w:rsid w:val="00842D0E"/>
    <w:rsid w:val="008459A8"/>
    <w:rsid w:val="00847526"/>
    <w:rsid w:val="0085183E"/>
    <w:rsid w:val="008522DB"/>
    <w:rsid w:val="00853B60"/>
    <w:rsid w:val="00855181"/>
    <w:rsid w:val="00862F6C"/>
    <w:rsid w:val="008637E0"/>
    <w:rsid w:val="0087336A"/>
    <w:rsid w:val="00873721"/>
    <w:rsid w:val="00880E58"/>
    <w:rsid w:val="00881E08"/>
    <w:rsid w:val="00887372"/>
    <w:rsid w:val="00890226"/>
    <w:rsid w:val="008909B9"/>
    <w:rsid w:val="00891592"/>
    <w:rsid w:val="00893A77"/>
    <w:rsid w:val="008948C2"/>
    <w:rsid w:val="008A5C79"/>
    <w:rsid w:val="008B07CB"/>
    <w:rsid w:val="008B3823"/>
    <w:rsid w:val="008B50E6"/>
    <w:rsid w:val="008B5E9E"/>
    <w:rsid w:val="008C5E3A"/>
    <w:rsid w:val="008C7543"/>
    <w:rsid w:val="008D16C7"/>
    <w:rsid w:val="008E6961"/>
    <w:rsid w:val="0090303F"/>
    <w:rsid w:val="0090627A"/>
    <w:rsid w:val="009140A3"/>
    <w:rsid w:val="00927DBF"/>
    <w:rsid w:val="009372E5"/>
    <w:rsid w:val="0094349C"/>
    <w:rsid w:val="009503B9"/>
    <w:rsid w:val="009505DC"/>
    <w:rsid w:val="00952106"/>
    <w:rsid w:val="009527FC"/>
    <w:rsid w:val="00960227"/>
    <w:rsid w:val="00960482"/>
    <w:rsid w:val="00962B67"/>
    <w:rsid w:val="009635E8"/>
    <w:rsid w:val="009714AB"/>
    <w:rsid w:val="009754B3"/>
    <w:rsid w:val="009831A7"/>
    <w:rsid w:val="0098322B"/>
    <w:rsid w:val="009838C3"/>
    <w:rsid w:val="00983A5E"/>
    <w:rsid w:val="00995593"/>
    <w:rsid w:val="00995633"/>
    <w:rsid w:val="00996AF4"/>
    <w:rsid w:val="009971D1"/>
    <w:rsid w:val="009A0C04"/>
    <w:rsid w:val="009A18F3"/>
    <w:rsid w:val="009A4276"/>
    <w:rsid w:val="009A43EE"/>
    <w:rsid w:val="009B31E7"/>
    <w:rsid w:val="009B4ECF"/>
    <w:rsid w:val="009C1817"/>
    <w:rsid w:val="009C77CA"/>
    <w:rsid w:val="009D7FAA"/>
    <w:rsid w:val="009E3CF3"/>
    <w:rsid w:val="009F72A3"/>
    <w:rsid w:val="00A000DD"/>
    <w:rsid w:val="00A02A62"/>
    <w:rsid w:val="00A14094"/>
    <w:rsid w:val="00A23D6B"/>
    <w:rsid w:val="00A245DE"/>
    <w:rsid w:val="00A43E1D"/>
    <w:rsid w:val="00A56DCC"/>
    <w:rsid w:val="00A57D5F"/>
    <w:rsid w:val="00A67CE4"/>
    <w:rsid w:val="00A764BD"/>
    <w:rsid w:val="00A83444"/>
    <w:rsid w:val="00A83A9A"/>
    <w:rsid w:val="00A8635D"/>
    <w:rsid w:val="00A921E0"/>
    <w:rsid w:val="00A9673C"/>
    <w:rsid w:val="00AA265A"/>
    <w:rsid w:val="00AC2F85"/>
    <w:rsid w:val="00AD3F67"/>
    <w:rsid w:val="00AE4095"/>
    <w:rsid w:val="00AE4110"/>
    <w:rsid w:val="00AE7A36"/>
    <w:rsid w:val="00AF36FD"/>
    <w:rsid w:val="00AF48E8"/>
    <w:rsid w:val="00AF5F55"/>
    <w:rsid w:val="00B044FC"/>
    <w:rsid w:val="00B1348D"/>
    <w:rsid w:val="00B2065B"/>
    <w:rsid w:val="00B21D96"/>
    <w:rsid w:val="00B3007C"/>
    <w:rsid w:val="00B35CD1"/>
    <w:rsid w:val="00B35F2D"/>
    <w:rsid w:val="00B42334"/>
    <w:rsid w:val="00B43D43"/>
    <w:rsid w:val="00B54C1B"/>
    <w:rsid w:val="00B5536F"/>
    <w:rsid w:val="00B5735B"/>
    <w:rsid w:val="00B73A96"/>
    <w:rsid w:val="00B763CD"/>
    <w:rsid w:val="00BA36FC"/>
    <w:rsid w:val="00BA38A5"/>
    <w:rsid w:val="00BA513C"/>
    <w:rsid w:val="00BA7A79"/>
    <w:rsid w:val="00BB5227"/>
    <w:rsid w:val="00BC3CF3"/>
    <w:rsid w:val="00BC5E0A"/>
    <w:rsid w:val="00BD0C54"/>
    <w:rsid w:val="00BD4268"/>
    <w:rsid w:val="00BD5B68"/>
    <w:rsid w:val="00BD5DC7"/>
    <w:rsid w:val="00BE4580"/>
    <w:rsid w:val="00BF3370"/>
    <w:rsid w:val="00BF5EDE"/>
    <w:rsid w:val="00C0558D"/>
    <w:rsid w:val="00C059B9"/>
    <w:rsid w:val="00C07CBD"/>
    <w:rsid w:val="00C156E4"/>
    <w:rsid w:val="00C17F41"/>
    <w:rsid w:val="00C2479B"/>
    <w:rsid w:val="00C26093"/>
    <w:rsid w:val="00C3272B"/>
    <w:rsid w:val="00C3309A"/>
    <w:rsid w:val="00C50FB5"/>
    <w:rsid w:val="00C62324"/>
    <w:rsid w:val="00C6265E"/>
    <w:rsid w:val="00C63A59"/>
    <w:rsid w:val="00C66E54"/>
    <w:rsid w:val="00C77F92"/>
    <w:rsid w:val="00C8167D"/>
    <w:rsid w:val="00C820CF"/>
    <w:rsid w:val="00C94B50"/>
    <w:rsid w:val="00C9778E"/>
    <w:rsid w:val="00CA2DAF"/>
    <w:rsid w:val="00CA32E6"/>
    <w:rsid w:val="00CA479A"/>
    <w:rsid w:val="00CB180B"/>
    <w:rsid w:val="00CB38A7"/>
    <w:rsid w:val="00CB430A"/>
    <w:rsid w:val="00CB7458"/>
    <w:rsid w:val="00CC17B1"/>
    <w:rsid w:val="00CC2331"/>
    <w:rsid w:val="00CD59B8"/>
    <w:rsid w:val="00CE1483"/>
    <w:rsid w:val="00CF5A03"/>
    <w:rsid w:val="00D003DE"/>
    <w:rsid w:val="00D04208"/>
    <w:rsid w:val="00D146E4"/>
    <w:rsid w:val="00D15D8D"/>
    <w:rsid w:val="00D364DD"/>
    <w:rsid w:val="00D37C26"/>
    <w:rsid w:val="00D406F5"/>
    <w:rsid w:val="00D45231"/>
    <w:rsid w:val="00D45665"/>
    <w:rsid w:val="00D458AD"/>
    <w:rsid w:val="00D47804"/>
    <w:rsid w:val="00D579C8"/>
    <w:rsid w:val="00D92082"/>
    <w:rsid w:val="00DA1537"/>
    <w:rsid w:val="00DB68D7"/>
    <w:rsid w:val="00DC212E"/>
    <w:rsid w:val="00DC33BC"/>
    <w:rsid w:val="00DC7687"/>
    <w:rsid w:val="00DD58EA"/>
    <w:rsid w:val="00DF67E4"/>
    <w:rsid w:val="00E01973"/>
    <w:rsid w:val="00E02693"/>
    <w:rsid w:val="00E046CE"/>
    <w:rsid w:val="00E07C17"/>
    <w:rsid w:val="00E109E5"/>
    <w:rsid w:val="00E333A3"/>
    <w:rsid w:val="00E362F1"/>
    <w:rsid w:val="00E441C2"/>
    <w:rsid w:val="00E539DD"/>
    <w:rsid w:val="00E561F8"/>
    <w:rsid w:val="00E6691C"/>
    <w:rsid w:val="00E70FEB"/>
    <w:rsid w:val="00E922D4"/>
    <w:rsid w:val="00EA0754"/>
    <w:rsid w:val="00EB51C5"/>
    <w:rsid w:val="00EB6D7E"/>
    <w:rsid w:val="00EC0B32"/>
    <w:rsid w:val="00ED0202"/>
    <w:rsid w:val="00ED0F5F"/>
    <w:rsid w:val="00ED20CA"/>
    <w:rsid w:val="00ED6B82"/>
    <w:rsid w:val="00EE2669"/>
    <w:rsid w:val="00EE3539"/>
    <w:rsid w:val="00EE5C7C"/>
    <w:rsid w:val="00EF4146"/>
    <w:rsid w:val="00F0303B"/>
    <w:rsid w:val="00F13CCE"/>
    <w:rsid w:val="00F2071F"/>
    <w:rsid w:val="00F2429B"/>
    <w:rsid w:val="00F30B63"/>
    <w:rsid w:val="00F3224A"/>
    <w:rsid w:val="00F367D2"/>
    <w:rsid w:val="00F37A73"/>
    <w:rsid w:val="00F42F4F"/>
    <w:rsid w:val="00F44E05"/>
    <w:rsid w:val="00F4657D"/>
    <w:rsid w:val="00F46FA7"/>
    <w:rsid w:val="00F507E0"/>
    <w:rsid w:val="00F52AD0"/>
    <w:rsid w:val="00F567E8"/>
    <w:rsid w:val="00F56FE2"/>
    <w:rsid w:val="00F65A7F"/>
    <w:rsid w:val="00F71424"/>
    <w:rsid w:val="00F7602B"/>
    <w:rsid w:val="00F80697"/>
    <w:rsid w:val="00F85D6F"/>
    <w:rsid w:val="00F9677D"/>
    <w:rsid w:val="00F968E8"/>
    <w:rsid w:val="00F96ACA"/>
    <w:rsid w:val="00FA3D9A"/>
    <w:rsid w:val="00FB5D65"/>
    <w:rsid w:val="00FC7666"/>
    <w:rsid w:val="00FE0EF7"/>
    <w:rsid w:val="00FE4495"/>
    <w:rsid w:val="00FE6EB4"/>
    <w:rsid w:val="00FF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389">
      <w:bodyDiv w:val="1"/>
      <w:marLeft w:val="0"/>
      <w:marRight w:val="0"/>
      <w:marTop w:val="0"/>
      <w:marBottom w:val="0"/>
      <w:divBdr>
        <w:top w:val="none" w:sz="0" w:space="0" w:color="auto"/>
        <w:left w:val="none" w:sz="0" w:space="0" w:color="auto"/>
        <w:bottom w:val="none" w:sz="0" w:space="0" w:color="auto"/>
        <w:right w:val="none" w:sz="0" w:space="0" w:color="auto"/>
      </w:divBdr>
    </w:div>
    <w:div w:id="154999794">
      <w:bodyDiv w:val="1"/>
      <w:marLeft w:val="0"/>
      <w:marRight w:val="0"/>
      <w:marTop w:val="0"/>
      <w:marBottom w:val="0"/>
      <w:divBdr>
        <w:top w:val="none" w:sz="0" w:space="0" w:color="auto"/>
        <w:left w:val="none" w:sz="0" w:space="0" w:color="auto"/>
        <w:bottom w:val="none" w:sz="0" w:space="0" w:color="auto"/>
        <w:right w:val="none" w:sz="0" w:space="0" w:color="auto"/>
      </w:divBdr>
    </w:div>
    <w:div w:id="275719245">
      <w:bodyDiv w:val="1"/>
      <w:marLeft w:val="0"/>
      <w:marRight w:val="0"/>
      <w:marTop w:val="0"/>
      <w:marBottom w:val="0"/>
      <w:divBdr>
        <w:top w:val="none" w:sz="0" w:space="0" w:color="auto"/>
        <w:left w:val="none" w:sz="0" w:space="0" w:color="auto"/>
        <w:bottom w:val="none" w:sz="0" w:space="0" w:color="auto"/>
        <w:right w:val="none" w:sz="0" w:space="0" w:color="auto"/>
      </w:divBdr>
    </w:div>
    <w:div w:id="332033868">
      <w:bodyDiv w:val="1"/>
      <w:marLeft w:val="0"/>
      <w:marRight w:val="0"/>
      <w:marTop w:val="0"/>
      <w:marBottom w:val="0"/>
      <w:divBdr>
        <w:top w:val="none" w:sz="0" w:space="0" w:color="auto"/>
        <w:left w:val="none" w:sz="0" w:space="0" w:color="auto"/>
        <w:bottom w:val="none" w:sz="0" w:space="0" w:color="auto"/>
        <w:right w:val="none" w:sz="0" w:space="0" w:color="auto"/>
      </w:divBdr>
    </w:div>
    <w:div w:id="376246798">
      <w:bodyDiv w:val="1"/>
      <w:marLeft w:val="0"/>
      <w:marRight w:val="0"/>
      <w:marTop w:val="0"/>
      <w:marBottom w:val="0"/>
      <w:divBdr>
        <w:top w:val="none" w:sz="0" w:space="0" w:color="auto"/>
        <w:left w:val="none" w:sz="0" w:space="0" w:color="auto"/>
        <w:bottom w:val="none" w:sz="0" w:space="0" w:color="auto"/>
        <w:right w:val="none" w:sz="0" w:space="0" w:color="auto"/>
      </w:divBdr>
    </w:div>
    <w:div w:id="417409764">
      <w:bodyDiv w:val="1"/>
      <w:marLeft w:val="0"/>
      <w:marRight w:val="0"/>
      <w:marTop w:val="0"/>
      <w:marBottom w:val="0"/>
      <w:divBdr>
        <w:top w:val="none" w:sz="0" w:space="0" w:color="auto"/>
        <w:left w:val="none" w:sz="0" w:space="0" w:color="auto"/>
        <w:bottom w:val="none" w:sz="0" w:space="0" w:color="auto"/>
        <w:right w:val="none" w:sz="0" w:space="0" w:color="auto"/>
      </w:divBdr>
    </w:div>
    <w:div w:id="544025090">
      <w:bodyDiv w:val="1"/>
      <w:marLeft w:val="0"/>
      <w:marRight w:val="0"/>
      <w:marTop w:val="0"/>
      <w:marBottom w:val="0"/>
      <w:divBdr>
        <w:top w:val="none" w:sz="0" w:space="0" w:color="auto"/>
        <w:left w:val="none" w:sz="0" w:space="0" w:color="auto"/>
        <w:bottom w:val="none" w:sz="0" w:space="0" w:color="auto"/>
        <w:right w:val="none" w:sz="0" w:space="0" w:color="auto"/>
      </w:divBdr>
    </w:div>
    <w:div w:id="186077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sjprimerate.us/home_equity_loan_rates.ht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3871</Words>
  <Characters>22067</Characters>
  <Application>Microsoft Macintosh Word</Application>
  <DocSecurity>0</DocSecurity>
  <Lines>183</Lines>
  <Paragraphs>51</Paragraphs>
  <ScaleCrop>false</ScaleCrop>
  <Company>NREL</Company>
  <LinksUpToDate>false</LinksUpToDate>
  <CharactersWithSpaces>25887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102</cp:revision>
  <dcterms:created xsi:type="dcterms:W3CDTF">2015-10-26T23:24:00Z</dcterms:created>
  <dcterms:modified xsi:type="dcterms:W3CDTF">2015-10-27T00:54:00Z</dcterms:modified>
</cp:coreProperties>
</file>