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p>
    <w:p>
      <w:pPr>
        <w:pStyle w:val="Author"/>
      </w:pPr>
      <w:r>
        <w:t xml:space="preserve">DRAFT</w:t>
      </w:r>
    </w:p>
    <w:p>
      <w:pPr>
        <w:pStyle w:val="Date"/>
      </w:pPr>
      <w:r>
        <w:t xml:space="preserve">25 March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2360"/>
        <w:gridCol w:w="1599"/>
        <w:gridCol w:w="3960"/>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t</m:t>
              </m:r>
              <m:r>
                <m:t>∈</m:t>
              </m:r>
              <m:r>
                <m:rPr>
                  <m:sty m:val="p"/>
                  <m:scr m:val="script"/>
                </m:rPr>
                <m:t>T</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rPr>
                  <m:sty m:val="p"/>
                  <m:scr m:val="script"/>
                </m:rP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ϕ</m:t>
              </m:r>
              <m:r>
                <m:t>∈</m:t>
              </m:r>
              <m:r>
                <m:rPr>
                  <m:sty m:val="p"/>
                  <m:scr m:val="script"/>
                </m:rPr>
                <m:t>Φ</m:t>
              </m:r>
            </m:oMath>
          </w:p>
        </w:tc>
        <w:tc>
          <w:p>
            <w:pPr>
              <w:pStyle w:val="Compact"/>
              <w:jc w:val="left"/>
            </w:pPr>
            <w:r>
              <w:t xml:space="preserve">investment</w:t>
            </w:r>
          </w:p>
        </w:tc>
        <w:tc>
          <w:p>
            <w:pPr>
              <w:pStyle w:val="Compact"/>
              <w:jc w:val="left"/>
            </w:pPr>
            <w:r>
              <w:t xml:space="preserve">a particular investment</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cost</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cost</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bl>
    <w:p>
      <w:pPr>
        <w:pStyle w:val="Heading2"/>
      </w:pPr>
      <w:bookmarkStart w:id="24" w:name="cost"/>
      <w:r>
        <w:t xml:space="preserve">Cost</w:t>
      </w:r>
      <w:bookmarkEnd w:id="24"/>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1"/>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1"/>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sSub>
          <m:e>
            <m:r>
              <m:t>C</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w:t>
      </w:r>
    </w:p>
    <w:p>
      <w:pPr>
        <w:pStyle w:val="BodyText"/>
      </w:pPr>
      <m:oMath>
        <m:sSub>
          <m:e>
            <m:r>
              <m:t>μ</m:t>
            </m:r>
          </m:e>
          <m:sub>
            <m:r>
              <m:t>m</m:t>
            </m:r>
          </m:sub>
        </m:sSub>
        <m:r>
          <m:t>=</m:t>
        </m:r>
        <m:sSub>
          <m:e>
            <m:r>
              <m:t>M</m:t>
            </m:r>
          </m:e>
          <m:sub>
            <m:r>
              <m:t>m</m:t>
            </m:r>
          </m:sub>
        </m:sSub>
        <m:r>
          <m:t>(</m:t>
        </m:r>
        <m:sSub>
          <m:e>
            <m:r>
              <m:t>C</m:t>
            </m:r>
          </m:e>
          <m:sub>
            <m:r>
              <m:t>c</m:t>
            </m:r>
          </m:sub>
        </m:sSub>
        <m:r>
          <m:t>,</m:t>
        </m:r>
        <m:sSub>
          <m:e>
            <m:r>
              <m:t>F</m:t>
            </m:r>
          </m:e>
          <m:sub>
            <m:r>
              <m:t>f</m:t>
            </m:r>
          </m:sub>
        </m:sSub>
        <m:r>
          <m:t>,</m:t>
        </m:r>
        <m:sSub>
          <m:e>
            <m:r>
              <m:t>I</m:t>
            </m:r>
          </m:e>
          <m:sub>
            <m:r>
              <m:t>i</m:t>
            </m:r>
          </m:sub>
        </m:sSub>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t</m:t>
            </m:r>
          </m:sub>
        </m:sSub>
        <m:r>
          <m:t>(</m:t>
        </m:r>
        <m:sSub>
          <m:e>
            <m:r>
              <m:t>ξ</m:t>
            </m:r>
          </m:e>
          <m:sub>
            <m:r>
              <m:t>θ</m:t>
            </m:r>
          </m:sub>
        </m:sSub>
        <m:r>
          <m:t>)</m:t>
        </m:r>
        <m:sSub>
          <m:e>
            <m:r>
              <m:t>∣</m:t>
            </m:r>
          </m:e>
          <m:sub>
            <m:r>
              <m:t>t</m:t>
            </m:r>
            <m:r>
              <m:t>=</m:t>
            </m:r>
            <m:r>
              <m:t>t</m:t>
            </m:r>
            <m:r>
              <m:t>(</m:t>
            </m:r>
            <m:r>
              <m:t>θ</m:t>
            </m:r>
            <m:r>
              <m:t>)</m:t>
            </m:r>
          </m:sub>
        </m:sSub>
      </m:oMath>
    </w:p>
    <w:p>
      <w:pPr>
        <w:pStyle w:val="BodyText"/>
      </w:pPr>
      <w:r>
        <w:t xml:space="preserve">where</w:t>
      </w:r>
    </w:p>
    <w:p>
      <w:pPr>
        <w:pStyle w:val="BodyText"/>
      </w:pPr>
      <m:oMath>
        <m:sSub>
          <m:e>
            <m:r>
              <m:t>ψ</m:t>
            </m:r>
          </m:e>
          <m:sub>
            <m:r>
              <m:t>t</m:t>
            </m:r>
          </m:sub>
        </m:sSub>
        <m:r>
          <m:t>=</m:t>
        </m:r>
        <m:r>
          <m:t>(</m:t>
        </m:r>
        <m:sSub>
          <m:e>
            <m:r>
              <m:t>P</m:t>
            </m:r>
          </m:e>
          <m:sub>
            <m:r>
              <m:t>o</m:t>
            </m:r>
          </m:sub>
        </m:sSub>
        <m:r>
          <m:t>,</m:t>
        </m:r>
        <m:sSub>
          <m:e>
            <m:r>
              <m:t>M</m:t>
            </m:r>
          </m:e>
          <m:sub>
            <m:r>
              <m:t>m</m:t>
            </m:r>
          </m:sub>
        </m:sSub>
        <m:r>
          <m:t>)</m:t>
        </m:r>
        <m:sSub>
          <m:e>
            <m:r>
              <m:t>∣</m:t>
            </m:r>
          </m:e>
          <m:sub>
            <m:r>
              <m:t>t</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Heading2"/>
      </w:pPr>
      <w:bookmarkStart w:id="30" w:name="experts"/>
      <w:r>
        <w:t xml:space="preserve">Experts</w:t>
      </w:r>
      <w:bookmarkEnd w:id="30"/>
    </w:p>
    <w:p>
      <w:pPr>
        <w:pStyle w:val="FirstParagraph"/>
      </w:pPr>
      <w:r>
        <w:t xml:space="preserve">Each expert elicitation takes the form of an assessment of the probability and range (e.g., 10th to 90th percentile) of change in the cost or waste parameters or the production or metric functions.</w:t>
      </w:r>
    </w:p>
    <w:p>
      <w:pPr>
        <w:pStyle w:val="Heading1"/>
      </w:pPr>
      <w:bookmarkStart w:id="31" w:name="examples"/>
      <w:r>
        <w:t xml:space="preserve">Examples</w:t>
      </w:r>
      <w:bookmarkEnd w:id="31"/>
    </w:p>
    <w:p>
      <w:pPr>
        <w:pStyle w:val="Heading2"/>
      </w:pPr>
      <w:bookmarkStart w:id="32" w:name="idealized-electrolysis-of-water"/>
      <w:r>
        <w:t xml:space="preserve">Idealized electrolysis of water</w:t>
      </w:r>
      <w:bookmarkEnd w:id="32"/>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3" w:name="tracked-quantities."/>
      <w:r>
        <w:t xml:space="preserve">Tracked quantities.</w:t>
      </w:r>
      <w:bookmarkEnd w:id="33"/>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4" w:name="current-design."/>
      <w:r>
        <w:t xml:space="preserve">Current design.</w:t>
      </w:r>
      <w:bookmarkEnd w:id="34"/>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5" w:name="current-costs."/>
      <w:r>
        <w:t xml:space="preserve">Current costs.</w:t>
      </w:r>
      <w:bookmarkEnd w:id="35"/>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0.63</m:t>
        </m:r>
        <m:r>
          <m:t> </m:t>
        </m:r>
        <m:r>
          <m:rPr>
            <m:sty m:val="p"/>
          </m:rPr>
          <m:t>U</m:t>
        </m:r>
        <m:r>
          <m:rPr>
            <m:sty m:val="p"/>
          </m:rPr>
          <m:t>S</m:t>
        </m:r>
        <m:r>
          <m:rPr>
            <m:sty m:val="p"/>
          </m:rPr>
          <m:t>D</m:t>
        </m:r>
      </m:oMath>
      <w:r>
        <w:t xml:space="preserve"> </w:t>
      </w:r>
      <w:r>
        <w:t xml:space="preserve">(Al-Ni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r>
          <m:t>1000</m:t>
        </m:r>
        <m:r>
          <m:t> </m:t>
        </m:r>
        <m:r>
          <m:rPr>
            <m:sty m:val="p"/>
          </m:rPr>
          <m:t>U</m:t>
        </m:r>
        <m:r>
          <m:rPr>
            <m:sty m:val="p"/>
          </m:rPr>
          <m:t>S</m:t>
        </m:r>
        <m:r>
          <m:rPr>
            <m:sty m:val="p"/>
          </m:rPr>
          <m:t>D</m:t>
        </m:r>
        <m:r>
          <m:rPr>
            <m:sty m:val="p"/>
          </m:rPr>
          <m:t>/</m:t>
        </m:r>
        <m:r>
          <m:rPr>
            <m:sty m:val="p"/>
          </m:rPr>
          <m:t>y</m:t>
        </m:r>
        <m:r>
          <m:rPr>
            <m:sty m:val="p"/>
          </m:rPr>
          <m:t>r</m:t>
        </m:r>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6" w:name="current-prices."/>
      <w:r>
        <w:t xml:space="preserve">Current prices.</w:t>
      </w:r>
      <w:bookmarkEnd w:id="36"/>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7" w:name="production-function-à-la-leontief"/>
      <w:r>
        <w:t xml:space="preserve">Production function (à la Leontief)</w:t>
      </w:r>
      <w:bookmarkEnd w:id="37"/>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8" w:name="metric-function."/>
      <w:r>
        <w:t xml:space="preserve">Metric function.</w:t>
      </w:r>
      <w:bookmarkEnd w:id="38"/>
    </w:p>
    <w:p>
      <w:pPr>
        <w:pStyle w:val="FirstParagraph"/>
      </w:pPr>
      <m:oMath>
        <m:sSub>
          <m:e>
            <m:r>
              <m:t>M</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3"/>
      </w:pPr>
      <w:bookmarkStart w:id="39" w:name="performance-of-current-design."/>
      <w:r>
        <w:t xml:space="preserve">Performance of current design.</w:t>
      </w:r>
      <w:bookmarkEnd w:id="39"/>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1"/>
      </w:pPr>
      <w:bookmarkStart w:id="40" w:name="implementation"/>
      <w:r>
        <w:t xml:space="preserve">Implementation</w:t>
      </w:r>
      <w:bookmarkEnd w:id="40"/>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1">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2" w:name="database-tables"/>
      <w:r>
        <w:t xml:space="preserve">Database tables</w:t>
      </w:r>
      <w:bookmarkEnd w:id="42"/>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3" w:name="metadata-about-indices"/>
      <w:r>
        <w:t xml:space="preserve">Metadata about indices</w:t>
      </w:r>
      <w:bookmarkEnd w:id="43"/>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0</w:t>
            </w:r>
          </w:p>
        </w:tc>
        <w:tc>
          <w:p>
            <w:pPr>
              <w:pStyle w:val="Compact"/>
              <w:jc w:val="left"/>
            </w:pPr>
            <w:r>
              <w:t xml:space="preserve">Jobs</w:t>
            </w:r>
          </w:p>
        </w:tc>
        <w:tc>
          <w:p/>
        </w:tc>
      </w:tr>
    </w:tbl>
    <w:p>
      <w:pPr>
        <w:pStyle w:val="Heading3"/>
      </w:pPr>
      <w:bookmarkStart w:id="44" w:name="design-variables"/>
      <w:r>
        <w:t xml:space="preserve">Design variables</w:t>
      </w:r>
      <w:bookmarkEnd w:id="44"/>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Capital cost</w:t>
            </w:r>
          </w:p>
        </w:tc>
        <w:tc>
          <w:p>
            <w:pPr>
              <w:pStyle w:val="Compact"/>
              <w:jc w:val="left"/>
            </w:pPr>
            <w:r>
              <w:t xml:space="preserve">Catalyst</w:t>
            </w:r>
          </w:p>
        </w:tc>
        <w:tc>
          <w:p>
            <w:pPr>
              <w:pStyle w:val="Compact"/>
              <w:jc w:val="right"/>
            </w:pPr>
            <w:r>
              <w:t xml:space="preserve">0.63</w:t>
            </w:r>
          </w:p>
        </w:tc>
        <w:tc>
          <w:p>
            <w:pPr>
              <w:pStyle w:val="Compact"/>
              <w:jc w:val="left"/>
            </w:pPr>
            <w:r>
              <w:t xml:space="preserve">USD</w:t>
            </w:r>
          </w:p>
        </w:tc>
        <w:tc>
          <w:p>
            <w:pPr>
              <w:pStyle w:val="Compact"/>
              <w:jc w:val="left"/>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Fixed cost</w:t>
            </w:r>
          </w:p>
        </w:tc>
        <w:tc>
          <w:p>
            <w:pPr>
              <w:pStyle w:val="Compact"/>
              <w:jc w:val="left"/>
            </w:pPr>
            <w:r>
              <w:t xml:space="preserve">Rent</w:t>
            </w:r>
          </w:p>
        </w:tc>
        <w:tc>
          <w:p>
            <w:pPr>
              <w:pStyle w:val="Compact"/>
              <w:jc w:val="right"/>
            </w:pPr>
            <w:r>
              <w:t xml:space="preserve">1000</w:t>
            </w:r>
          </w:p>
        </w:tc>
        <w:tc>
          <w:p>
            <w:pPr>
              <w:pStyle w:val="Compact"/>
              <w:jc w:val="left"/>
            </w:pPr>
            <w:r>
              <w:t xml:space="preserve">USD/yr</w:t>
            </w:r>
          </w:p>
        </w:tc>
        <w:tc>
          <w:p>
            <w:pPr>
              <w:pStyle w:val="Compact"/>
              <w:jc w:val="left"/>
            </w:pPr>
            <m:oMath>
              <m:sSub>
                <m:e>
                  <m:r>
                    <m:t>F</m:t>
                  </m:r>
                </m:e>
                <m:sub>
                  <m:r>
                    <m:rPr>
                      <m:sty m:val="p"/>
                    </m:rPr>
                    <m:t>r</m:t>
                  </m:r>
                  <m:r>
                    <m:rPr>
                      <m:sty m:val="p"/>
                    </m:rPr>
                    <m:t>e</m:t>
                  </m:r>
                  <m:r>
                    <m:rPr>
                      <m:sty m:val="p"/>
                    </m:rPr>
                    <m:t>n</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Heading3"/>
      </w:pPr>
      <w:bookmarkStart w:id="45" w:name="metadata-for-functions"/>
      <w:r>
        <w:t xml:space="preserve">Metadata for functions</w:t>
      </w:r>
      <w:bookmarkEnd w:id="45"/>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simple_electrolysis</w:t>
            </w:r>
          </w:p>
        </w:tc>
        <w:tc>
          <w:p>
            <w:pPr>
              <w:pStyle w:val="Compact"/>
              <w:jc w:val="left"/>
            </w:pPr>
            <w:r>
              <w:t xml:space="preserve">production</w:t>
            </w:r>
          </w:p>
        </w:tc>
        <w:tc>
          <w:p>
            <w:pPr>
              <w:pStyle w:val="Compact"/>
              <w:jc w:val="left"/>
            </w:pPr>
            <w:r>
              <w:t xml:space="preserve">metrics</w:t>
            </w:r>
          </w:p>
        </w:tc>
        <w:tc>
          <w:p/>
        </w:tc>
      </w:tr>
    </w:tbl>
    <w:p>
      <w:pPr>
        <w:pStyle w:val="Heading3"/>
      </w:pPr>
      <w:bookmarkStart w:id="46" w:name="parameters-for-functions"/>
      <w:r>
        <w:t xml:space="preserve">Parameters for functions</w:t>
      </w:r>
      <w:bookmarkEnd w:id="46"/>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bl>
    <w:p>
      <w:pPr>
        <w:pStyle w:val="Heading3"/>
      </w:pPr>
      <w:bookmarkStart w:id="47" w:name="units-for-results"/>
      <w:r>
        <w:t xml:space="preserve">Units for results</w:t>
      </w:r>
      <w:bookmarkEnd w:id="47"/>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job/mole</w:t>
            </w:r>
          </w:p>
        </w:tc>
        <w:tc>
          <w:p/>
        </w:tc>
      </w:tr>
    </w:tbl>
    <w:p>
      <w:pPr>
        <w:pStyle w:val="Heading2"/>
      </w:pPr>
      <w:bookmarkStart w:id="48" w:name="python-module-and-functions"/>
      <w:r>
        <w:t xml:space="preserve">Python module and functions</w:t>
      </w:r>
      <w:bookmarkEnd w:id="48"/>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w:t>
      </w:r>
      <w:r>
        <w:rPr>
          <w:rStyle w:val="BuiltInTok"/>
        </w:rPr>
        <w:t xml:space="preserve">input</w:t>
      </w:r>
      <w:r>
        <w:rPr>
          <w:rStyle w:val="NormalTok"/>
        </w:rPr>
        <w:t xml:space="preserve">, outputs, parameter):</w:t>
      </w:r>
      <w:r>
        <w:br/>
      </w:r>
      <w:r>
        <w:br/>
      </w:r>
      <w:r>
        <w:rPr>
          <w:rStyle w:val="NormalTok"/>
        </w:rPr>
        <w:t xml:space="preserve">  </w:t>
      </w:r>
      <w:r>
        <w:rPr>
          <w:rStyle w:val="CommentTok"/>
        </w:rPr>
        <w:t xml:space="preserve"># Trivial jobs calculation.</w:t>
      </w:r>
      <w:r>
        <w:br/>
      </w:r>
      <w:r>
        <w:rPr>
          <w:rStyle w:val="NormalTok"/>
        </w:rPr>
        <w:t xml:space="preserve">  jobs </w:t>
      </w:r>
      <w:r>
        <w:rPr>
          <w:rStyle w:val="OperatorTok"/>
        </w:rPr>
        <w:t xml:space="preserve">=</w:t>
      </w:r>
      <w:r>
        <w:rPr>
          <w:rStyle w:val="NormalTok"/>
        </w:rPr>
        <w:t xml:space="preserve"> parameter[</w:t>
      </w:r>
      <w:r>
        <w:rPr>
          <w:rStyle w:val="DecValTok"/>
        </w:rPr>
        <w:t xml:space="preserve">4</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np.vstack([jobs])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dc:title>
  <dc:creator>DRAFT</dc:creator>
  <cp:keywords/>
  <dcterms:created xsi:type="dcterms:W3CDTF">2020-03-25T15:49:32Z</dcterms:created>
  <dcterms:modified xsi:type="dcterms:W3CDTF">2020-03-25T15:49:32Z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March 2020</vt:lpwstr>
  </property>
</Properties>
</file>