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Author"/>
      </w:pPr>
      <w:r>
        <w:t xml:space="preserve">Version</w:t>
      </w:r>
      <w:r>
        <w:t xml:space="preserve"> </w:t>
      </w:r>
      <w:r>
        <w:t xml:space="preserve">1.3</w:t>
      </w:r>
      <w:r>
        <w:t xml:space="preserve"> </w:t>
      </w:r>
      <w:r>
        <w:t xml:space="preserve">Draft</w:t>
      </w:r>
    </w:p>
    <w:p>
      <w:pPr>
        <w:pStyle w:val="Date"/>
      </w:pPr>
      <w:r>
        <w:t xml:space="preserve">27 April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bl>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sSub>
          <m:e>
            <m:r>
              <m:t>C</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sSub>
          <m:e>
            <m:r>
              <m:t>C</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r>
          <m:t>(</m:t>
        </m:r>
        <m:sSub>
          <m:e>
            <m:r>
              <m:t>ξ</m:t>
            </m:r>
          </m:e>
          <m:sub>
            <m:r>
              <m:t>θ</m:t>
            </m:r>
          </m:sub>
        </m:sSub>
        <m:r>
          <m:t>)</m:t>
        </m:r>
        <m:sSub>
          <m:e>
            <m:r>
              <m:t>∣</m:t>
            </m:r>
          </m:e>
          <m:sub>
            <m:r>
              <m:t>ν</m:t>
            </m:r>
            <m:r>
              <m:t>=</m:t>
            </m:r>
            <m:r>
              <m:t>ν</m:t>
            </m:r>
            <m:r>
              <m:t>(</m:t>
            </m:r>
            <m:r>
              <m:t>θ</m:t>
            </m:r>
            <m:r>
              <m:t>)</m:t>
            </m:r>
          </m:sub>
        </m:sSub>
      </m:oMath>
    </w:p>
    <w:p>
      <w:pPr>
        <w:pStyle w:val="BodyText"/>
      </w:pPr>
      <w:r>
        <w:t xml:space="preserve">where</w:t>
      </w:r>
    </w:p>
    <w:p>
      <w:pPr>
        <w:pStyle w:val="BodyText"/>
      </w:pPr>
      <m:oMath>
        <m:sSub>
          <m:e>
            <m:r>
              <m:t>ψ</m:t>
            </m:r>
          </m:e>
          <m:sub>
            <m:r>
              <m:t>ν</m:t>
            </m:r>
          </m:sub>
        </m:sSub>
        <m:r>
          <m:t>=</m:t>
        </m:r>
        <m:r>
          <m:t>(</m:t>
        </m:r>
        <m:sSub>
          <m:e>
            <m:r>
              <m:t>P</m:t>
            </m:r>
          </m:e>
          <m:sub>
            <m:r>
              <m:t>o</m:t>
            </m:r>
          </m:sub>
        </m:sSub>
        <m:r>
          <m:t>,</m:t>
        </m:r>
        <m:sSub>
          <m:e>
            <m:r>
              <m:t>M</m:t>
            </m:r>
          </m:e>
          <m:sub>
            <m:r>
              <m:t>m</m:t>
            </m:r>
          </m:sub>
        </m:sSub>
        <m:r>
          <m:t>)</m:t>
        </m:r>
        <m:sSub>
          <m:e>
            <m:r>
              <m:t>∣</m:t>
            </m:r>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ocurr)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w:t>
      </w:r>
    </w:p>
    <w:p>
      <w:pPr>
        <w:pStyle w:val="BodyText"/>
      </w:pPr>
      <w:r>
        <w:t xml:space="preserve">where</w:t>
      </w:r>
      <w:r>
        <w:t xml:space="preserve"> </w:t>
      </w:r>
      <m:oMath>
        <m:r>
          <m:rPr>
            <m:sty m:val="p"/>
            <m:scr m:val="double-struck"/>
          </m:rPr>
          <m:t>F</m:t>
        </m:r>
      </m:oMath>
      <w:r>
        <w:t xml:space="preserve"> </w:t>
      </w:r>
      <w:r>
        <w:t xml:space="preserve">is the expectation operator</w:t>
      </w:r>
      <w:r>
        <w:t xml:space="preserve"> </w:t>
      </w:r>
      <m:oMath>
        <m:r>
          <m:rPr>
            <m:sty m:val="p"/>
            <m:scr m:val="double-struck"/>
          </m:rPr>
          <m:t>E</m:t>
        </m:r>
      </m:oMath>
      <w:r>
        <w:t xml:space="preserv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BodyText"/>
      </w:pPr>
      <w:r>
        <w:t xml:space="preserve">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p>
      <w:pPr>
        <w:pStyle w:val="Heading3"/>
      </w:pPr>
      <w:bookmarkStart w:id="47" w:name="metadata-for-functions"/>
      <w:r>
        <w:t xml:space="preserve">Metadata for functions</w:t>
      </w:r>
      <w:bookmarkEnd w:id="47"/>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p>
      <w:pPr>
        <w:pStyle w:val="Heading3"/>
      </w:pPr>
      <w:bookmarkStart w:id="48" w:name="parameters-for-functions"/>
      <w:r>
        <w:t xml:space="preserve">Parameters for functions</w:t>
      </w:r>
      <w:bookmarkEnd w:id="48"/>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5000.0"/>
        <w:tblLook w:firstRow="1"/>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p>
      <w:pPr>
        <w:pStyle w:val="Heading3"/>
      </w:pPr>
      <w:bookmarkStart w:id="49" w:name="units-for-results"/>
      <w:r>
        <w:t xml:space="preserve">Units for results</w:t>
      </w:r>
      <w:bookmarkEnd w:id="49"/>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p>
      <w:pPr>
        <w:pStyle w:val="Heading3"/>
      </w:pPr>
      <w:bookmarkStart w:id="50" w:name="tranches-of-investments."/>
      <w:r>
        <w:t xml:space="preserve">Tranches of investments.</w:t>
      </w:r>
      <w:bookmarkEnd w:id="50"/>
    </w:p>
    <w:p>
      <w:pPr>
        <w:pStyle w:val="FirstParagraph"/>
      </w:pPr>
      <w:r>
        <w:t xml:space="preserve">In the</w:t>
      </w:r>
      <w:r>
        <w:t xml:space="preserve"> </w:t>
      </w:r>
      <w:r>
        <w:rPr>
          <w:rStyle w:val="VerbatimChar"/>
        </w:rPr>
        <w:t xml:space="preserve">tranches</w:t>
      </w:r>
      <w:r>
        <w:t xml:space="preserve"> </w:t>
      </w:r>
      <w:r>
        <w:t xml:space="preserve">table,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tc>
      </w:tr>
    </w:tbl>
    <w:p>
      <w:pPr>
        <w:pStyle w:val="Heading3"/>
      </w:pPr>
      <w:bookmarkStart w:id="51" w:name="investments-1"/>
      <w:r>
        <w:t xml:space="preserve">Investments</w:t>
      </w:r>
      <w:bookmarkEnd w:id="51"/>
    </w:p>
    <w:p>
      <w:pPr>
        <w:pStyle w:val="FirstParagraph"/>
      </w:pPr>
      <w:r>
        <w:t xml:space="preserve">In the</w:t>
      </w:r>
      <w:r>
        <w:t xml:space="preserve"> </w:t>
      </w:r>
      <w:r>
        <w:rPr>
          <w:rStyle w:val="VerbatimChar"/>
        </w:rPr>
        <w:t xml:space="preserve">investments</w:t>
      </w:r>
      <w:r>
        <w:t xml:space="preserve"> </w:t>
      </w:r>
      <w:r>
        <w:t xml:space="preserve">table,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pPr>
              <w:pStyle w:val="Compact"/>
              <w:jc w:val="right"/>
            </w:pPr>
            <w:r>
              <w:t xml:space="preserve">0</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pPr>
              <w:pStyle w:val="Compact"/>
              <w:jc w:val="right"/>
            </w:pPr>
            <w:r>
              <w:t xml:space="preserve">1000000</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pPr>
              <w:pStyle w:val="Compact"/>
              <w:jc w:val="right"/>
            </w:pPr>
            <w:r>
              <w:t xml:space="preserve">2500000</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pPr>
              <w:pStyle w:val="Compact"/>
              <w:jc w:val="right"/>
            </w:pPr>
            <w:r>
              <w:t xml:space="preserve">5000000</w:t>
            </w:r>
          </w:p>
        </w:tc>
        <w:tc>
          <w:p/>
        </w:tc>
      </w:tr>
    </w:tbl>
    <w:p>
      <w:pPr>
        <w:pStyle w:val="Heading2"/>
      </w:pPr>
      <w:bookmarkStart w:id="52" w:name="python-module-and-functions"/>
      <w:r>
        <w:t xml:space="preserve">Python module and functions</w:t>
      </w:r>
      <w:bookmarkEnd w:id="52"/>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1.3 Draft</dc:creator>
  <cp:keywords/>
  <dcterms:created xsi:type="dcterms:W3CDTF">2020-04-28T02:55:59Z</dcterms:created>
  <dcterms:modified xsi:type="dcterms:W3CDTF">2020-04-28T02:55:59Z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2020</vt:lpwstr>
  </property>
</Properties>
</file>