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Author"/>
      </w:pPr>
      <w:r>
        <w:t xml:space="preserve">Version</w:t>
      </w:r>
      <w:r>
        <w:t xml:space="preserve"> </w:t>
      </w:r>
      <w:r>
        <w:t xml:space="preserve">1.5</w:t>
      </w:r>
      <w:r>
        <w:t xml:space="preserve"> </w:t>
      </w:r>
      <w:r>
        <w:t xml:space="preserve">Draft</w:t>
      </w:r>
    </w:p>
    <w:p>
      <w:pPr>
        <w:pStyle w:val="Date"/>
      </w:pPr>
      <w:r>
        <w:t xml:space="preserve">26 June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bl>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t>S</m:t>
        </m:r>
        <m:r>
          <m:t>,</m:t>
        </m:r>
        <m:sSub>
          <m:e>
            <m:r>
              <m:t>C</m:t>
            </m:r>
          </m:e>
          <m:sub>
            <m:r>
              <m:t>c</m:t>
            </m:r>
          </m:sub>
        </m:sSub>
        <m:r>
          <m:t>,</m:t>
        </m:r>
        <m:sSub>
          <m:e>
            <m:r>
              <m:t>τ</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r>
          <m:t>(</m:t>
        </m:r>
        <m:sSub>
          <m:e>
            <m:r>
              <m:t>ξ</m:t>
            </m:r>
          </m:e>
          <m:sub>
            <m:r>
              <m:t>θ</m:t>
            </m:r>
          </m:sub>
        </m:sSub>
        <m:r>
          <m:t>)</m:t>
        </m:r>
        <m:sSub>
          <m:e>
            <m:r>
              <m:t>∣</m:t>
            </m:r>
          </m:e>
          <m:sub>
            <m:r>
              <m:t>ν</m:t>
            </m:r>
            <m:r>
              <m:t>=</m:t>
            </m:r>
            <m:r>
              <m:t>ν</m:t>
            </m:r>
            <m:r>
              <m:t>(</m:t>
            </m:r>
            <m:r>
              <m:t>θ</m:t>
            </m:r>
            <m:r>
              <m:t>)</m:t>
            </m:r>
          </m:sub>
        </m:sSub>
      </m:oMath>
    </w:p>
    <w:p>
      <w:pPr>
        <w:pStyle w:val="BodyText"/>
      </w:pPr>
      <w:r>
        <w:t xml:space="preserve">where</w:t>
      </w:r>
    </w:p>
    <w:p>
      <w:pPr>
        <w:pStyle w:val="BodyText"/>
      </w:pPr>
      <m:oMath>
        <m:sSub>
          <m:e>
            <m:r>
              <m:t>ψ</m:t>
            </m:r>
          </m:e>
          <m:sub>
            <m:r>
              <m:t>ν</m:t>
            </m:r>
          </m:sub>
        </m:sSub>
        <m:r>
          <m:t>=</m:t>
        </m:r>
        <m:r>
          <m:t>(</m:t>
        </m:r>
        <m:sSub>
          <m:e>
            <m:r>
              <m:t>P</m:t>
            </m:r>
          </m:e>
          <m:sub>
            <m:r>
              <m:t>o</m:t>
            </m:r>
          </m:sub>
        </m:sSub>
        <m:r>
          <m:t>,</m:t>
        </m:r>
        <m:sSub>
          <m:e>
            <m:r>
              <m:t>M</m:t>
            </m:r>
          </m:e>
          <m:sub>
            <m:r>
              <m:t>m</m:t>
            </m:r>
          </m:sub>
        </m:sSub>
        <m:r>
          <m:t>)</m:t>
        </m:r>
        <m:sSub>
          <m:e>
            <m:r>
              <m:t>∣</m:t>
            </m:r>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ocurr)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w:t>
      </w:r>
    </w:p>
    <w:p>
      <w:pPr>
        <w:pStyle w:val="BodyText"/>
      </w:pPr>
      <w:r>
        <w:t xml:space="preserve">where</w:t>
      </w:r>
      <w:r>
        <w:t xml:space="preserve"> </w:t>
      </w:r>
      <m:oMath>
        <m:r>
          <m:rPr>
            <m:sty m:val="p"/>
            <m:scr m:val="double-struck"/>
          </m:rPr>
          <m:t>F</m:t>
        </m:r>
      </m:oMath>
      <w:r>
        <w:t xml:space="preserve"> </w:t>
      </w:r>
      <w:r>
        <w:t xml:space="preserve">is the expectation operator</w:t>
      </w:r>
      <w:r>
        <w:t xml:space="preserve"> </w:t>
      </w:r>
      <m:oMath>
        <m:r>
          <m:rPr>
            <m:sty m:val="p"/>
            <m:scr m:val="double-struck"/>
          </m:rPr>
          <m:t>E</m:t>
        </m:r>
      </m:oMath>
      <w:r>
        <w:t xml:space="preserv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BodyText"/>
      </w:pPr>
      <w:r>
        <w:t xml:space="preserve">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p>
      <w:pPr>
        <w:pStyle w:val="Heading3"/>
      </w:pPr>
      <w:bookmarkStart w:id="47" w:name="metadata-for-functions"/>
      <w:r>
        <w:t xml:space="preserve">Metadata for functions</w:t>
      </w:r>
      <w:bookmarkEnd w:id="47"/>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p>
      <w:pPr>
        <w:pStyle w:val="Heading3"/>
      </w:pPr>
      <w:bookmarkStart w:id="48" w:name="parameters-for-functions"/>
      <w:r>
        <w:t xml:space="preserve">Parameters for functions</w:t>
      </w:r>
      <w:bookmarkEnd w:id="48"/>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5000.0"/>
        <w:tblLook w:firstRow="1"/>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p>
      <w:pPr>
        <w:pStyle w:val="Heading3"/>
      </w:pPr>
      <w:bookmarkStart w:id="49" w:name="units-for-results"/>
      <w:r>
        <w:t xml:space="preserve">Units for results</w:t>
      </w:r>
      <w:bookmarkEnd w:id="49"/>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p>
      <w:pPr>
        <w:pStyle w:val="Heading3"/>
      </w:pPr>
      <w:bookmarkStart w:id="50" w:name="tranches-of-investments."/>
      <w:r>
        <w:t xml:space="preserve">Tranches of investments.</w:t>
      </w:r>
      <w:bookmarkEnd w:id="50"/>
    </w:p>
    <w:p>
      <w:pPr>
        <w:pStyle w:val="FirstParagraph"/>
      </w:pPr>
      <w:r>
        <w:t xml:space="preserve">In the</w:t>
      </w:r>
      <w:r>
        <w:t xml:space="preserve"> </w:t>
      </w:r>
      <w:r>
        <w:rPr>
          <w:rStyle w:val="VerbatimChar"/>
        </w:rPr>
        <w:t xml:space="preserve">tranches</w:t>
      </w:r>
      <w:r>
        <w:t xml:space="preserve"> </w:t>
      </w:r>
      <w:r>
        <w:t xml:space="preserve">table,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tbl>
      <w:tblPr>
        <w:tblStyle w:val="Table"/>
        <w:tblW w:type="pct" w:w="5000.0"/>
        <w:tblLook w:firstRow="1"/>
      </w:tblPr>
      <w:tblGrid>
        <w:gridCol w:w="1516"/>
        <w:gridCol w:w="2106"/>
        <w:gridCol w:w="2948"/>
        <w:gridCol w:w="758"/>
        <w:gridCol w:w="589"/>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pPr>
              <w:pStyle w:val="Compact"/>
              <w:jc w:val="right"/>
            </w:pPr>
            <w:r>
              <w:t xml:space="preserve">0</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pPr>
              <w:pStyle w:val="Compact"/>
              <w:jc w:val="right"/>
            </w:pPr>
            <w:r>
              <w:t xml:space="preserve">1000000</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pPr>
              <w:pStyle w:val="Compact"/>
              <w:jc w:val="right"/>
            </w:pPr>
            <w:r>
              <w:t xml:space="preserve">2500000</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pPr>
              <w:pStyle w:val="Compact"/>
              <w:jc w:val="right"/>
            </w:pPr>
            <w:r>
              <w:t xml:space="preserve">5000000</w:t>
            </w:r>
          </w:p>
        </w:tc>
        <w:tc>
          <w:p/>
        </w:tc>
      </w:tr>
    </w:tbl>
    <w:p>
      <w:pPr>
        <w:pStyle w:val="Heading3"/>
      </w:pPr>
      <w:bookmarkStart w:id="51" w:name="investments-1"/>
      <w:r>
        <w:t xml:space="preserve">Investments</w:t>
      </w:r>
      <w:bookmarkEnd w:id="51"/>
    </w:p>
    <w:p>
      <w:pPr>
        <w:pStyle w:val="FirstParagraph"/>
      </w:pPr>
      <w:r>
        <w:t xml:space="preserve">In the</w:t>
      </w:r>
      <w:r>
        <w:t xml:space="preserve"> </w:t>
      </w:r>
      <w:r>
        <w:rPr>
          <w:rStyle w:val="VerbatimChar"/>
        </w:rPr>
        <w:t xml:space="preserve">investments</w:t>
      </w:r>
      <w:r>
        <w:t xml:space="preserve"> </w:t>
      </w:r>
      <w:r>
        <w:t xml:space="preserve">table,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tc>
      </w:tr>
    </w:tbl>
    <w:p>
      <w:pPr>
        <w:pStyle w:val="Heading2"/>
      </w:pPr>
      <w:bookmarkStart w:id="52" w:name="python-module-and-functions"/>
      <w:r>
        <w:t xml:space="preserve">Python module and functions</w:t>
      </w:r>
      <w:bookmarkEnd w:id="52"/>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1.5 Draft</dc:creator>
  <cp:keywords/>
  <dcterms:created xsi:type="dcterms:W3CDTF">2020-06-26T21:37:03Z</dcterms:created>
  <dcterms:modified xsi:type="dcterms:W3CDTF">2020-06-26T21:37:03Z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June 2020</vt:lpwstr>
  </property>
</Properties>
</file>