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262B" w14:textId="00D9682C" w:rsidR="00006EA6" w:rsidRDefault="005A6D22" w:rsidP="00E654C5">
      <w:pPr>
        <w:pStyle w:val="Title"/>
      </w:pPr>
      <w:r>
        <w:t xml:space="preserve">Ensemble </w:t>
      </w:r>
      <w:r w:rsidR="004C7E27">
        <w:t xml:space="preserve">of Python-based </w:t>
      </w:r>
      <w:r w:rsidR="0077003D">
        <w:t>S</w:t>
      </w:r>
      <w:r w:rsidR="004C7E27">
        <w:t xml:space="preserve">teady-state </w:t>
      </w:r>
      <w:r w:rsidR="0077003D">
        <w:t>A</w:t>
      </w:r>
      <w:r w:rsidR="004C7E27">
        <w:t xml:space="preserve">nalytical </w:t>
      </w:r>
      <w:r w:rsidR="0077003D">
        <w:t>W</w:t>
      </w:r>
      <w:r w:rsidR="00DA7A88">
        <w:t xml:space="preserve">ind </w:t>
      </w:r>
      <w:r w:rsidR="0077003D">
        <w:t>F</w:t>
      </w:r>
      <w:r w:rsidR="00DA7A88">
        <w:t xml:space="preserve">arm </w:t>
      </w:r>
      <w:r w:rsidR="0077003D">
        <w:t>W</w:t>
      </w:r>
      <w:r w:rsidR="004C7E27">
        <w:t xml:space="preserve">ake </w:t>
      </w:r>
      <w:r w:rsidR="0077003D">
        <w:t>M</w:t>
      </w:r>
      <w:r w:rsidR="004C7E27">
        <w:t xml:space="preserve">odel </w:t>
      </w:r>
      <w:r w:rsidR="0077003D">
        <w:t>I</w:t>
      </w:r>
      <w:r w:rsidR="004C7E27">
        <w:t>mplementations</w:t>
      </w:r>
    </w:p>
    <w:p w14:paraId="608C1962" w14:textId="5E8E5674" w:rsidR="009A0487" w:rsidRDefault="00E654C5">
      <w:pPr>
        <w:pStyle w:val="E-mail"/>
      </w:pPr>
      <w:r>
        <w:t>Keywords:</w:t>
      </w:r>
      <w:r w:rsidR="00A31AE0" w:rsidRPr="00A31AE0">
        <w:t xml:space="preserve"> </w:t>
      </w:r>
      <w:r w:rsidR="00917514">
        <w:t>wind farm flow control</w:t>
      </w:r>
      <w:r w:rsidR="00A31AE0" w:rsidRPr="00A31AE0">
        <w:t xml:space="preserve">, </w:t>
      </w:r>
      <w:r w:rsidR="00605C2C">
        <w:t xml:space="preserve">analytical </w:t>
      </w:r>
      <w:r w:rsidR="00917514">
        <w:t>wake modeling</w:t>
      </w:r>
    </w:p>
    <w:p w14:paraId="71643EA1" w14:textId="3CB9CC85" w:rsidR="009A0487" w:rsidRDefault="00B44E6D">
      <w:pPr>
        <w:pStyle w:val="Section"/>
      </w:pPr>
      <w:r>
        <w:t>Introduction</w:t>
      </w:r>
    </w:p>
    <w:p w14:paraId="7BA6963D" w14:textId="415DC496" w:rsidR="00BB5BBA" w:rsidRDefault="00F01BD7" w:rsidP="00F01BD7">
      <w:pPr>
        <w:pStyle w:val="BodytextIndented"/>
        <w:ind w:firstLine="0"/>
        <w:jc w:val="left"/>
      </w:pPr>
      <w:r w:rsidRPr="00F01BD7">
        <w:t xml:space="preserve">Wind farm flow control </w:t>
      </w:r>
      <w:r w:rsidR="002E5F6E">
        <w:t xml:space="preserve">presents </w:t>
      </w:r>
      <w:r w:rsidRPr="00F01BD7">
        <w:t>a</w:t>
      </w:r>
      <w:r w:rsidR="00753A21">
        <w:t>n</w:t>
      </w:r>
      <w:r w:rsidRPr="00F01BD7">
        <w:t xml:space="preserve"> opportunity to improve the cost of energy and energy yield of wind farms in </w:t>
      </w:r>
      <w:r w:rsidR="005417AA">
        <w:t>specific</w:t>
      </w:r>
      <w:r>
        <w:t xml:space="preserve"> environments.</w:t>
      </w:r>
      <w:r w:rsidR="00167A71">
        <w:t xml:space="preserve"> </w:t>
      </w:r>
      <w:r w:rsidR="00BB5BBA">
        <w:t>A class of software tools that model the effects of wake losses and opportunities for wake loss mitigation via wind farm flow control has emerged in the past decade.</w:t>
      </w:r>
      <w:r w:rsidR="00670788">
        <w:t xml:space="preserve"> </w:t>
      </w:r>
      <w:r w:rsidR="0065377F">
        <w:t>Many of t</w:t>
      </w:r>
      <w:r w:rsidR="00BB5BBA">
        <w:t>hese tools share key characteristics</w:t>
      </w:r>
      <w:r w:rsidR="00581B9A">
        <w:t xml:space="preserve"> [</w:t>
      </w:r>
      <w:r w:rsidR="00153354">
        <w:t>1,2,3</w:t>
      </w:r>
      <w:r w:rsidR="00581B9A">
        <w:t>]</w:t>
      </w:r>
      <w:r w:rsidR="00BB5BBA">
        <w:t>:</w:t>
      </w:r>
    </w:p>
    <w:p w14:paraId="15466083" w14:textId="4EE973DE" w:rsidR="00167A71" w:rsidRDefault="00BB5BBA" w:rsidP="00167A71">
      <w:pPr>
        <w:pStyle w:val="Bulleted"/>
      </w:pPr>
      <w:r w:rsidRPr="00A07803">
        <w:t>Written</w:t>
      </w:r>
      <w:r>
        <w:t xml:space="preserve"> in the Python programming language</w:t>
      </w:r>
    </w:p>
    <w:p w14:paraId="4B4E0462" w14:textId="6D0EF0E0" w:rsidR="00167A71" w:rsidRDefault="00BB5BBA" w:rsidP="00167A71">
      <w:pPr>
        <w:pStyle w:val="Bulleted"/>
      </w:pPr>
      <w:r>
        <w:t>Implement steady-state, analytical wake models</w:t>
      </w:r>
    </w:p>
    <w:p w14:paraId="2D2A114E" w14:textId="713BAA6C" w:rsidR="00167A71" w:rsidRDefault="00FD3BCE" w:rsidP="00167A71">
      <w:pPr>
        <w:pStyle w:val="Bulleted"/>
      </w:pPr>
      <w:r>
        <w:t>Target workstation use</w:t>
      </w:r>
    </w:p>
    <w:p w14:paraId="6F2F4985" w14:textId="1905E48D" w:rsidR="00FD3BCE" w:rsidRDefault="00CA1F5D" w:rsidP="00167A71">
      <w:pPr>
        <w:pStyle w:val="Bulleted"/>
      </w:pPr>
      <w:r>
        <w:t>I</w:t>
      </w:r>
      <w:r w:rsidR="00FD3BCE">
        <w:t>ntegrat</w:t>
      </w:r>
      <w:r>
        <w:t>e</w:t>
      </w:r>
      <w:r w:rsidR="00FD3BCE">
        <w:t xml:space="preserve"> </w:t>
      </w:r>
      <w:r>
        <w:t>with</w:t>
      </w:r>
      <w:r w:rsidR="00FD3BCE">
        <w:t xml:space="preserve"> optimization</w:t>
      </w:r>
      <w:r>
        <w:t xml:space="preserve"> software</w:t>
      </w:r>
      <w:r w:rsidR="00FD3BCE">
        <w:t xml:space="preserve"> ecosystems</w:t>
      </w:r>
    </w:p>
    <w:p w14:paraId="3965A805" w14:textId="121DBDAE" w:rsidR="00437779" w:rsidRDefault="00307EB9" w:rsidP="00167A71">
      <w:pPr>
        <w:pStyle w:val="Bulleted"/>
      </w:pPr>
      <w:r>
        <w:t>I</w:t>
      </w:r>
      <w:r w:rsidR="00437779">
        <w:t>mplement</w:t>
      </w:r>
      <w:r>
        <w:t xml:space="preserve"> </w:t>
      </w:r>
      <w:r w:rsidR="00437779">
        <w:t>multiple mathematical models</w:t>
      </w:r>
    </w:p>
    <w:p w14:paraId="6D96DFEB" w14:textId="56767C13" w:rsidR="00E15D65" w:rsidRDefault="009E6ED6" w:rsidP="009753E8">
      <w:pPr>
        <w:pStyle w:val="Bulleted"/>
        <w:numPr>
          <w:ilvl w:val="0"/>
          <w:numId w:val="0"/>
        </w:numPr>
      </w:pPr>
      <w:r>
        <w:t>However, software design decisions and implementation details can lead to discrepancies and errors across tools that reference corresponding models</w:t>
      </w:r>
      <w:r w:rsidR="00E15D65">
        <w:t>.</w:t>
      </w:r>
      <w:r w:rsidR="004100E7">
        <w:t xml:space="preserve"> </w:t>
      </w:r>
      <w:r w:rsidR="00F0708A">
        <w:t xml:space="preserve">While the implicit uncertainty in </w:t>
      </w:r>
      <w:r w:rsidR="009F73E7">
        <w:t xml:space="preserve">this class of </w:t>
      </w:r>
      <w:r w:rsidR="00F0708A">
        <w:t>software is not yet characterized, the bankability of wind farm controls depends on the accuracy</w:t>
      </w:r>
      <w:r w:rsidR="00DC0551">
        <w:t xml:space="preserve"> of the analytical tools available in the industry</w:t>
      </w:r>
      <w:r w:rsidR="008F135C">
        <w:t xml:space="preserve"> </w:t>
      </w:r>
      <w:r w:rsidR="006B3F09">
        <w:t>[4]</w:t>
      </w:r>
      <w:r w:rsidR="00DC0551">
        <w:t>.</w:t>
      </w:r>
    </w:p>
    <w:p w14:paraId="52121731" w14:textId="77777777" w:rsidR="00753A21" w:rsidRDefault="00753A21" w:rsidP="009753E8">
      <w:pPr>
        <w:pStyle w:val="Bulleted"/>
        <w:numPr>
          <w:ilvl w:val="0"/>
          <w:numId w:val="0"/>
        </w:numPr>
      </w:pPr>
    </w:p>
    <w:p w14:paraId="4DFD31A1" w14:textId="522C156C" w:rsidR="0004704D" w:rsidRPr="00167A71" w:rsidRDefault="00A953BB" w:rsidP="009753E8">
      <w:pPr>
        <w:pStyle w:val="Bulleted"/>
        <w:numPr>
          <w:ilvl w:val="0"/>
          <w:numId w:val="0"/>
        </w:numPr>
      </w:pPr>
      <w:r>
        <w:t xml:space="preserve">Building on prior efforts in the </w:t>
      </w:r>
      <w:r>
        <w:t xml:space="preserve">wind farm flow </w:t>
      </w:r>
      <w:r>
        <w:t>control community, t</w:t>
      </w:r>
      <w:r w:rsidR="00B02DE8">
        <w:t>his work characterize</w:t>
      </w:r>
      <w:r w:rsidR="00EB702C">
        <w:t>s</w:t>
      </w:r>
      <w:r w:rsidR="00B02DE8">
        <w:t xml:space="preserve"> the </w:t>
      </w:r>
      <w:r w:rsidR="001862A2">
        <w:t>ensemble</w:t>
      </w:r>
      <w:r w:rsidR="00B02DE8">
        <w:t xml:space="preserve"> of results across this class of software for a set of characteristic test cases. In addition to the comparison itself, a</w:t>
      </w:r>
      <w:r w:rsidR="00395EB1">
        <w:t>n open</w:t>
      </w:r>
      <w:r w:rsidR="00862F62">
        <w:t>-</w:t>
      </w:r>
      <w:r w:rsidR="00395EB1">
        <w:t>source,</w:t>
      </w:r>
      <w:r w:rsidR="00B02DE8">
        <w:t xml:space="preserve"> online dashboard is established as a living document to enhance collaboration across research organizations and coordinate the presentation</w:t>
      </w:r>
      <w:r w:rsidR="00810253">
        <w:t xml:space="preserve"> and accessibility</w:t>
      </w:r>
      <w:r w:rsidR="00B02DE8">
        <w:t xml:space="preserve"> of the data.</w:t>
      </w:r>
    </w:p>
    <w:p w14:paraId="529C006F" w14:textId="176BC4F4" w:rsidR="00976309" w:rsidRDefault="00976309" w:rsidP="00976309">
      <w:pPr>
        <w:pStyle w:val="Section"/>
      </w:pPr>
      <w:r>
        <w:t>Method</w:t>
      </w:r>
    </w:p>
    <w:p w14:paraId="2DA97362" w14:textId="4D7BB7E9" w:rsidR="00372B04" w:rsidRDefault="007F2F4D" w:rsidP="006854E1">
      <w:pPr>
        <w:pStyle w:val="BodytextIndented"/>
        <w:ind w:firstLine="0"/>
        <w:jc w:val="left"/>
      </w:pPr>
      <w:r w:rsidRPr="00F01BD7">
        <w:t>Research software</w:t>
      </w:r>
      <w:r w:rsidR="00023436">
        <w:t xml:space="preserve"> often requires satisfying competing constraints and incentives from funding agencies and </w:t>
      </w:r>
      <w:r w:rsidR="001022BB">
        <w:t>community</w:t>
      </w:r>
      <w:r w:rsidR="00023436">
        <w:t xml:space="preserve"> needs.</w:t>
      </w:r>
      <w:r w:rsidR="006854E1">
        <w:t xml:space="preserve"> </w:t>
      </w:r>
      <w:r w:rsidR="00023436">
        <w:t xml:space="preserve">The myriad of constraints requires </w:t>
      </w:r>
      <w:r w:rsidR="00F601A8">
        <w:t>developers to settle on implementation details that can influence accuracy of results such as:</w:t>
      </w:r>
    </w:p>
    <w:p w14:paraId="4ACDA9DA" w14:textId="7E640864" w:rsidR="007F2F4D" w:rsidRPr="00F01BD7" w:rsidRDefault="007F2F4D" w:rsidP="004B145C">
      <w:pPr>
        <w:pStyle w:val="BodytextIndented"/>
        <w:numPr>
          <w:ilvl w:val="0"/>
          <w:numId w:val="12"/>
        </w:numPr>
        <w:jc w:val="left"/>
      </w:pPr>
      <w:r w:rsidRPr="00F01BD7">
        <w:t>Order of accuracy of numerical approximations</w:t>
      </w:r>
    </w:p>
    <w:p w14:paraId="4EF9EE4E" w14:textId="083CDDC0" w:rsidR="007F2F4D" w:rsidRPr="00F01BD7" w:rsidRDefault="007F2F4D" w:rsidP="004B145C">
      <w:pPr>
        <w:pStyle w:val="BodytextIndented"/>
        <w:numPr>
          <w:ilvl w:val="0"/>
          <w:numId w:val="12"/>
        </w:numPr>
        <w:jc w:val="left"/>
      </w:pPr>
      <w:r w:rsidRPr="00F01BD7">
        <w:t>Order of accuracy of discretization schemes</w:t>
      </w:r>
    </w:p>
    <w:p w14:paraId="65380591" w14:textId="2213B604" w:rsidR="007F2F4D" w:rsidRPr="00F01BD7" w:rsidRDefault="007F2F4D" w:rsidP="004B145C">
      <w:pPr>
        <w:pStyle w:val="BodytextIndented"/>
        <w:numPr>
          <w:ilvl w:val="0"/>
          <w:numId w:val="12"/>
        </w:numPr>
        <w:jc w:val="left"/>
      </w:pPr>
      <w:r w:rsidRPr="00F01BD7">
        <w:t>Practicality and visibility of default configurations</w:t>
      </w:r>
    </w:p>
    <w:p w14:paraId="313A86B6" w14:textId="693A71D2" w:rsidR="007F2F4D" w:rsidRPr="00F01BD7" w:rsidRDefault="007F2F4D" w:rsidP="004B145C">
      <w:pPr>
        <w:pStyle w:val="BodytextIndented"/>
        <w:numPr>
          <w:ilvl w:val="0"/>
          <w:numId w:val="12"/>
        </w:numPr>
        <w:jc w:val="left"/>
      </w:pPr>
      <w:r w:rsidRPr="00F01BD7">
        <w:t>Considerations for optimization of computational performance</w:t>
      </w:r>
    </w:p>
    <w:p w14:paraId="684C42C5" w14:textId="4EB35F5A" w:rsidR="004A526C" w:rsidRPr="00F01BD7" w:rsidRDefault="004A2987" w:rsidP="004A526C">
      <w:pPr>
        <w:pStyle w:val="BodytextIndented"/>
        <w:ind w:firstLine="0"/>
        <w:jc w:val="left"/>
      </w:pPr>
      <w:r>
        <w:t xml:space="preserve">A set of </w:t>
      </w:r>
      <w:r w:rsidR="004A526C" w:rsidRPr="00F01BD7">
        <w:t xml:space="preserve">implementation-specific test cases are </w:t>
      </w:r>
      <w:r w:rsidR="00DA6DDD">
        <w:t>developed</w:t>
      </w:r>
      <w:r w:rsidR="004A526C" w:rsidRPr="00F01BD7">
        <w:t xml:space="preserve"> to characterize the impact of implementation details including:</w:t>
      </w:r>
    </w:p>
    <w:p w14:paraId="50AA5B5A" w14:textId="314A9BDF" w:rsidR="004A526C" w:rsidRPr="00F01BD7" w:rsidRDefault="004A526C" w:rsidP="004B145C">
      <w:pPr>
        <w:pStyle w:val="BodytextIndented"/>
        <w:numPr>
          <w:ilvl w:val="0"/>
          <w:numId w:val="15"/>
        </w:numPr>
        <w:jc w:val="left"/>
      </w:pPr>
      <w:r w:rsidRPr="00F01BD7">
        <w:t>Grid dependency</w:t>
      </w:r>
    </w:p>
    <w:p w14:paraId="77621E6B" w14:textId="4AD125BB" w:rsidR="004B145C" w:rsidRDefault="004A526C" w:rsidP="004B145C">
      <w:pPr>
        <w:pStyle w:val="BodytextIndented"/>
        <w:numPr>
          <w:ilvl w:val="0"/>
          <w:numId w:val="15"/>
        </w:numPr>
        <w:jc w:val="left"/>
      </w:pPr>
      <w:r w:rsidRPr="00F01BD7">
        <w:t xml:space="preserve">Velocity averaging </w:t>
      </w:r>
      <w:r w:rsidR="00883C81">
        <w:t>methods</w:t>
      </w:r>
    </w:p>
    <w:p w14:paraId="5FF4BD05" w14:textId="1720EB82" w:rsidR="004B145C" w:rsidRDefault="004B145C" w:rsidP="004B145C">
      <w:pPr>
        <w:pStyle w:val="BodytextIndented"/>
        <w:numPr>
          <w:ilvl w:val="0"/>
          <w:numId w:val="15"/>
        </w:numPr>
        <w:jc w:val="left"/>
      </w:pPr>
      <w:r>
        <w:t>Wake superposition</w:t>
      </w:r>
      <w:r w:rsidR="00C81BA0">
        <w:t xml:space="preserve"> methods</w:t>
      </w:r>
    </w:p>
    <w:p w14:paraId="6B9B7EEF" w14:textId="44EEE6C2" w:rsidR="004D7D96" w:rsidRPr="00F01BD7" w:rsidRDefault="004D7D96" w:rsidP="004B145C">
      <w:pPr>
        <w:pStyle w:val="BodytextIndented"/>
        <w:numPr>
          <w:ilvl w:val="0"/>
          <w:numId w:val="15"/>
        </w:numPr>
        <w:jc w:val="left"/>
      </w:pPr>
      <w:r>
        <w:t>Partial wake modeling</w:t>
      </w:r>
    </w:p>
    <w:p w14:paraId="1D296755" w14:textId="77777777" w:rsidR="00231BEF" w:rsidRDefault="00231BEF" w:rsidP="00BE3BB3">
      <w:pPr>
        <w:pStyle w:val="BodytextIndented"/>
        <w:ind w:firstLine="0"/>
        <w:jc w:val="left"/>
      </w:pPr>
    </w:p>
    <w:p w14:paraId="636F99A7" w14:textId="5A85BD47" w:rsidR="00CF3EFE" w:rsidRDefault="00CF3EFE" w:rsidP="00BE3BB3">
      <w:pPr>
        <w:pStyle w:val="BodytextIndented"/>
        <w:ind w:firstLine="0"/>
        <w:jc w:val="left"/>
      </w:pPr>
      <w:r>
        <w:t xml:space="preserve">Additionally, characteristic test cases are developed </w:t>
      </w:r>
      <w:r w:rsidR="00B17522">
        <w:t>using reference wind turbine</w:t>
      </w:r>
      <w:r w:rsidR="005A10C4">
        <w:t>s</w:t>
      </w:r>
      <w:r w:rsidR="00B17F49">
        <w:t>[5]</w:t>
      </w:r>
      <w:r w:rsidR="00B17522">
        <w:t xml:space="preserve"> in layout</w:t>
      </w:r>
      <w:r w:rsidR="0010191F">
        <w:t>s</w:t>
      </w:r>
      <w:r w:rsidR="00B17522">
        <w:t xml:space="preserve"> designed to </w:t>
      </w:r>
      <w:r>
        <w:t>capture modern wind farm phenomenon</w:t>
      </w:r>
      <w:r w:rsidR="00B17522">
        <w:t xml:space="preserve"> including</w:t>
      </w:r>
      <w:r w:rsidR="004E2BBA">
        <w:t>[</w:t>
      </w:r>
      <w:r w:rsidR="006343D9">
        <w:t>6</w:t>
      </w:r>
      <w:r w:rsidR="004E2BBA">
        <w:t>]</w:t>
      </w:r>
      <w:r w:rsidR="00B17522">
        <w:t>:</w:t>
      </w:r>
    </w:p>
    <w:p w14:paraId="7D81A54F" w14:textId="6B107486" w:rsidR="00F555E6" w:rsidRPr="00C51B04" w:rsidRDefault="00F555E6" w:rsidP="00C51B04">
      <w:pPr>
        <w:pStyle w:val="BodytextIndented"/>
        <w:numPr>
          <w:ilvl w:val="0"/>
          <w:numId w:val="9"/>
        </w:numPr>
        <w:jc w:val="left"/>
        <w:rPr>
          <w:iCs w:val="0"/>
          <w:lang w:val="en-GB"/>
        </w:rPr>
      </w:pPr>
      <w:r w:rsidRPr="00C51B04">
        <w:rPr>
          <w:iCs w:val="0"/>
          <w:lang w:val="en-GB"/>
        </w:rPr>
        <w:lastRenderedPageBreak/>
        <w:t>High turbine density</w:t>
      </w:r>
    </w:p>
    <w:p w14:paraId="71AFB1DF" w14:textId="37FCE9E3" w:rsidR="00F555E6" w:rsidRPr="00C51B04" w:rsidRDefault="00F555E6" w:rsidP="00C51B04">
      <w:pPr>
        <w:pStyle w:val="BodytextIndented"/>
        <w:numPr>
          <w:ilvl w:val="0"/>
          <w:numId w:val="9"/>
        </w:numPr>
        <w:jc w:val="left"/>
        <w:rPr>
          <w:iCs w:val="0"/>
          <w:lang w:val="en-GB"/>
        </w:rPr>
      </w:pPr>
      <w:r w:rsidRPr="00C51B04">
        <w:rPr>
          <w:iCs w:val="0"/>
          <w:lang w:val="en-GB"/>
        </w:rPr>
        <w:t>Low ground clearance rotors</w:t>
      </w:r>
    </w:p>
    <w:p w14:paraId="7C47A0AF" w14:textId="7CA5794C" w:rsidR="00F555E6" w:rsidRPr="00C51B04" w:rsidRDefault="00F555E6" w:rsidP="00C51B04">
      <w:pPr>
        <w:pStyle w:val="BodytextIndented"/>
        <w:numPr>
          <w:ilvl w:val="0"/>
          <w:numId w:val="9"/>
        </w:numPr>
        <w:jc w:val="left"/>
        <w:rPr>
          <w:iCs w:val="0"/>
          <w:lang w:val="en-GB"/>
        </w:rPr>
      </w:pPr>
      <w:r w:rsidRPr="00C51B04">
        <w:rPr>
          <w:iCs w:val="0"/>
          <w:lang w:val="en-GB"/>
        </w:rPr>
        <w:t>Floating offshore wind farms with variable turbine locations due to slack in mooring lines</w:t>
      </w:r>
    </w:p>
    <w:p w14:paraId="62EC5055" w14:textId="74ED0048" w:rsidR="00F555E6" w:rsidRPr="00C51B04" w:rsidRDefault="00C51B04" w:rsidP="00C51B04">
      <w:pPr>
        <w:pStyle w:val="BodytextIndented"/>
        <w:numPr>
          <w:ilvl w:val="0"/>
          <w:numId w:val="9"/>
        </w:numPr>
        <w:jc w:val="left"/>
        <w:rPr>
          <w:iCs w:val="0"/>
          <w:lang w:val="en-GB"/>
        </w:rPr>
      </w:pPr>
      <w:r w:rsidRPr="00C51B04">
        <w:rPr>
          <w:iCs w:val="0"/>
          <w:lang w:val="en-GB"/>
        </w:rPr>
        <w:t>Neighbouring</w:t>
      </w:r>
      <w:r w:rsidR="00F555E6" w:rsidRPr="00C51B04">
        <w:rPr>
          <w:iCs w:val="0"/>
          <w:lang w:val="en-GB"/>
        </w:rPr>
        <w:t xml:space="preserve"> wind farms</w:t>
      </w:r>
    </w:p>
    <w:p w14:paraId="4F7F9EB8" w14:textId="77777777" w:rsidR="00D7622A" w:rsidRDefault="00F555E6" w:rsidP="00D7622A">
      <w:pPr>
        <w:pStyle w:val="BodytextIndented"/>
        <w:numPr>
          <w:ilvl w:val="0"/>
          <w:numId w:val="9"/>
        </w:numPr>
        <w:jc w:val="left"/>
        <w:rPr>
          <w:iCs w:val="0"/>
          <w:lang w:val="en-GB"/>
        </w:rPr>
      </w:pPr>
      <w:r w:rsidRPr="00C51B04">
        <w:rPr>
          <w:iCs w:val="0"/>
          <w:lang w:val="en-GB"/>
        </w:rPr>
        <w:t>Active flow control methods</w:t>
      </w:r>
    </w:p>
    <w:p w14:paraId="291D653F" w14:textId="77777777" w:rsidR="00A90CB7" w:rsidRDefault="00A90CB7" w:rsidP="00A90CB7">
      <w:pPr>
        <w:pStyle w:val="BodytextIndented"/>
        <w:ind w:firstLine="0"/>
        <w:jc w:val="left"/>
        <w:rPr>
          <w:iCs w:val="0"/>
          <w:lang w:val="en-GB"/>
        </w:rPr>
      </w:pPr>
    </w:p>
    <w:p w14:paraId="2F93662C" w14:textId="57F0DF16" w:rsidR="0057164D" w:rsidRPr="00A72E90" w:rsidRDefault="005F7854" w:rsidP="00A72E90">
      <w:pPr>
        <w:pStyle w:val="BodytextIndented"/>
        <w:ind w:firstLine="0"/>
        <w:jc w:val="left"/>
        <w:rPr>
          <w:iCs w:val="0"/>
          <w:lang w:val="en-GB"/>
        </w:rPr>
      </w:pPr>
      <w:r>
        <w:rPr>
          <w:i/>
        </w:rPr>
        <w:t>w</w:t>
      </w:r>
      <w:r w:rsidR="00AA09AE" w:rsidRPr="00D7622A">
        <w:rPr>
          <w:i/>
        </w:rPr>
        <w:t>comp</w:t>
      </w:r>
      <w:r w:rsidR="002002AB" w:rsidRPr="00623F51">
        <w:rPr>
          <w:iCs w:val="0"/>
        </w:rPr>
        <w:t>[7</w:t>
      </w:r>
      <w:r w:rsidR="00623F51" w:rsidRPr="00623F51">
        <w:rPr>
          <w:iCs w:val="0"/>
        </w:rPr>
        <w:t>]</w:t>
      </w:r>
      <w:r w:rsidR="001C05B9" w:rsidRPr="00623F51">
        <w:rPr>
          <w:iCs w:val="0"/>
        </w:rPr>
        <w:t>,</w:t>
      </w:r>
      <w:r w:rsidR="001C05B9" w:rsidRPr="00C8208E">
        <w:rPr>
          <w:iCs w:val="0"/>
        </w:rPr>
        <w:t xml:space="preserve"> </w:t>
      </w:r>
      <w:r w:rsidR="001C05B9" w:rsidRPr="00D7622A">
        <w:rPr>
          <w:iCs w:val="0"/>
        </w:rPr>
        <w:t>a recently published software framework,</w:t>
      </w:r>
      <w:r w:rsidR="00225CE6" w:rsidRPr="00D7622A">
        <w:rPr>
          <w:i/>
        </w:rPr>
        <w:t xml:space="preserve"> </w:t>
      </w:r>
      <w:r w:rsidR="00225CE6" w:rsidRPr="00D7622A">
        <w:rPr>
          <w:iCs w:val="0"/>
        </w:rPr>
        <w:t>allows any Python-based steady-state wake modeling software conforming to the IEA Task 37 windIO</w:t>
      </w:r>
      <w:r w:rsidR="00BB59AA">
        <w:rPr>
          <w:iCs w:val="0"/>
        </w:rPr>
        <w:t>[</w:t>
      </w:r>
      <w:r>
        <w:rPr>
          <w:iCs w:val="0"/>
        </w:rPr>
        <w:t>8</w:t>
      </w:r>
      <w:r w:rsidR="00BB59AA">
        <w:rPr>
          <w:iCs w:val="0"/>
        </w:rPr>
        <w:t xml:space="preserve">] </w:t>
      </w:r>
      <w:r w:rsidR="001068AC" w:rsidRPr="00D7622A">
        <w:rPr>
          <w:iCs w:val="0"/>
        </w:rPr>
        <w:t xml:space="preserve">common </w:t>
      </w:r>
      <w:r w:rsidR="00225CE6" w:rsidRPr="00D7622A">
        <w:rPr>
          <w:iCs w:val="0"/>
        </w:rPr>
        <w:t>ontology</w:t>
      </w:r>
      <w:r w:rsidR="001068AC" w:rsidRPr="00D7622A">
        <w:rPr>
          <w:iCs w:val="0"/>
        </w:rPr>
        <w:t xml:space="preserve"> to </w:t>
      </w:r>
      <w:r w:rsidR="001C05B9" w:rsidRPr="00D7622A">
        <w:rPr>
          <w:iCs w:val="0"/>
        </w:rPr>
        <w:t>compare results alongside other conforming software via a common set of output data structures and plotting methods.</w:t>
      </w:r>
      <w:r w:rsidR="00886BD1">
        <w:rPr>
          <w:iCs w:val="0"/>
        </w:rPr>
        <w:t xml:space="preserve"> All test cases </w:t>
      </w:r>
      <w:r w:rsidR="00D87D26">
        <w:rPr>
          <w:iCs w:val="0"/>
        </w:rPr>
        <w:t xml:space="preserve">developed here </w:t>
      </w:r>
      <w:r w:rsidR="00886BD1">
        <w:rPr>
          <w:iCs w:val="0"/>
        </w:rPr>
        <w:t xml:space="preserve">are expressed in the windIO ontology and results compared within the </w:t>
      </w:r>
      <w:r w:rsidR="00886BD1">
        <w:rPr>
          <w:i/>
        </w:rPr>
        <w:t>wcomp</w:t>
      </w:r>
      <w:r w:rsidR="00886BD1">
        <w:rPr>
          <w:iCs w:val="0"/>
        </w:rPr>
        <w:t xml:space="preserve"> framework</w:t>
      </w:r>
      <w:r w:rsidR="00A72E90">
        <w:rPr>
          <w:iCs w:val="0"/>
        </w:rPr>
        <w:t xml:space="preserve"> </w:t>
      </w:r>
      <w:r w:rsidR="0057164D" w:rsidRPr="00F01BD7">
        <w:t>to establish the spread of results for realistic and artificial exercises.</w:t>
      </w:r>
    </w:p>
    <w:p w14:paraId="11E9B5DA" w14:textId="49476842" w:rsidR="00F01BD7" w:rsidRDefault="004678F0" w:rsidP="00677A87">
      <w:pPr>
        <w:pStyle w:val="Section"/>
      </w:pPr>
      <w:r>
        <w:t xml:space="preserve">Expected </w:t>
      </w:r>
      <w:r w:rsidR="00976309">
        <w:t>Results</w:t>
      </w:r>
    </w:p>
    <w:p w14:paraId="2B76A16D" w14:textId="73873891" w:rsidR="004C08CF" w:rsidRPr="004C08CF" w:rsidRDefault="008C55B2" w:rsidP="004C08CF">
      <w:pPr>
        <w:pStyle w:val="Bodytext"/>
        <w:rPr>
          <w:lang w:val="en-GB"/>
        </w:rPr>
      </w:pPr>
      <w:r>
        <w:rPr>
          <w:lang w:val="en-GB"/>
        </w:rPr>
        <w:t>Since t</w:t>
      </w:r>
      <w:r w:rsidR="004C08CF">
        <w:rPr>
          <w:lang w:val="en-GB"/>
        </w:rPr>
        <w:t>h</w:t>
      </w:r>
      <w:r>
        <w:rPr>
          <w:lang w:val="en-GB"/>
        </w:rPr>
        <w:t>is</w:t>
      </w:r>
      <w:r w:rsidR="004C08CF">
        <w:rPr>
          <w:lang w:val="en-GB"/>
        </w:rPr>
        <w:t xml:space="preserve"> study is ongoing,</w:t>
      </w:r>
      <w:r w:rsidR="00EE43E5">
        <w:rPr>
          <w:lang w:val="en-GB"/>
        </w:rPr>
        <w:t xml:space="preserve"> </w:t>
      </w:r>
      <w:r>
        <w:rPr>
          <w:lang w:val="en-GB"/>
        </w:rPr>
        <w:t>t</w:t>
      </w:r>
      <w:r w:rsidR="009410EC">
        <w:rPr>
          <w:lang w:val="en-GB"/>
        </w:rPr>
        <w:t xml:space="preserve">his </w:t>
      </w:r>
      <w:r w:rsidR="00D81FAA">
        <w:rPr>
          <w:lang w:val="en-GB"/>
        </w:rPr>
        <w:t>section provides a general overview of the types of comparisons to be included in the final results.</w:t>
      </w:r>
    </w:p>
    <w:p w14:paraId="55827B6A" w14:textId="5D02C4FB" w:rsidR="006A5785" w:rsidRDefault="006A5785" w:rsidP="006A5785">
      <w:pPr>
        <w:pStyle w:val="Subsection"/>
      </w:pPr>
      <w:r>
        <w:t>Implementation details – Grid dependence</w:t>
      </w:r>
    </w:p>
    <w:p w14:paraId="103501A5" w14:textId="77777777" w:rsidR="00650014" w:rsidRDefault="00650014" w:rsidP="00C81AE6">
      <w:pPr>
        <w:pStyle w:val="Bodytext"/>
        <w:rPr>
          <w:lang w:val="en-GB"/>
        </w:rPr>
      </w:pPr>
    </w:p>
    <w:p w14:paraId="2F6B1C02" w14:textId="17600624" w:rsidR="00C81AE6" w:rsidRDefault="004C08CF" w:rsidP="00C81AE6">
      <w:pPr>
        <w:pStyle w:val="BodytextIndented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45FF17E" wp14:editId="3CDE17EC">
            <wp:extent cx="2727960" cy="1897031"/>
            <wp:effectExtent l="0" t="0" r="2540" b="0"/>
            <wp:docPr id="169098109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1098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49856" cy="19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9D84282" wp14:editId="00E09484">
            <wp:extent cx="2825492" cy="1988529"/>
            <wp:effectExtent l="0" t="0" r="0" b="5715"/>
            <wp:docPr id="150798221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8221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598" cy="20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F306" w14:textId="0EE5C832" w:rsidR="009B5EA4" w:rsidRDefault="009B5EA4" w:rsidP="009B5EA4">
      <w:pPr>
        <w:pStyle w:val="BodytextIndente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Figure</w:t>
      </w:r>
      <w:r w:rsidRPr="00CE57C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1</w:t>
      </w:r>
      <w:r w:rsidRPr="00CE57CF">
        <w:rPr>
          <w:rFonts w:ascii="Times New Roman" w:hAnsi="Times New Roman"/>
          <w:b/>
        </w:rPr>
        <w:t>.</w:t>
      </w:r>
      <w:r w:rsidRPr="00CE57CF">
        <w:rPr>
          <w:rFonts w:ascii="Times New Roman" w:hAnsi="Times New Roman"/>
        </w:rPr>
        <w:t xml:space="preserve"> </w:t>
      </w:r>
      <w:r w:rsidR="007018ED">
        <w:rPr>
          <w:rFonts w:ascii="Times New Roman" w:hAnsi="Times New Roman"/>
        </w:rPr>
        <w:t xml:space="preserve">Left – A successively coarsened grid on the rotor swept area; Right – The rate of convergence of the integrated values on the grid points as a function of </w:t>
      </w:r>
      <w:r w:rsidR="00481F2C">
        <w:rPr>
          <w:rFonts w:ascii="Times New Roman" w:hAnsi="Times New Roman"/>
        </w:rPr>
        <w:t xml:space="preserve">point-count </w:t>
      </w:r>
      <w:r w:rsidR="00830CD1">
        <w:rPr>
          <w:rFonts w:ascii="Times New Roman" w:hAnsi="Times New Roman"/>
        </w:rPr>
        <w:t>(M)</w:t>
      </w:r>
      <w:r w:rsidR="007018ED">
        <w:rPr>
          <w:rFonts w:ascii="Times New Roman" w:hAnsi="Times New Roman"/>
        </w:rPr>
        <w:t>.</w:t>
      </w:r>
    </w:p>
    <w:p w14:paraId="1EC216A9" w14:textId="77777777" w:rsidR="009B5EA4" w:rsidRDefault="009B5EA4" w:rsidP="009B5EA4">
      <w:pPr>
        <w:pStyle w:val="BodytextIndented"/>
        <w:jc w:val="center"/>
        <w:rPr>
          <w:rFonts w:ascii="Times New Roman" w:hAnsi="Times New Roman"/>
        </w:rPr>
      </w:pPr>
    </w:p>
    <w:p w14:paraId="78C5A232" w14:textId="78BB71E5" w:rsidR="009B5EA4" w:rsidRPr="00C81AE6" w:rsidRDefault="00D313D3" w:rsidP="00F7746E">
      <w:pPr>
        <w:pStyle w:val="Bodytext"/>
        <w:rPr>
          <w:lang w:val="en-GB"/>
        </w:rPr>
      </w:pPr>
      <w:r>
        <w:rPr>
          <w:lang w:val="en-GB"/>
        </w:rPr>
        <w:t xml:space="preserve">The effect of grid-point density will be evaluated and an order of convergence established. In </w:t>
      </w:r>
      <w:r w:rsidR="003F6F18">
        <w:rPr>
          <w:lang w:val="en-GB"/>
        </w:rPr>
        <w:t>Figure 1, grid points on the rotor swept area are increased and a quantity of interest is integrated. This comparison highlights the grid dependency and rate of convergence across implementations</w:t>
      </w:r>
      <w:r w:rsidR="00E853F0">
        <w:rPr>
          <w:lang w:val="en-GB"/>
        </w:rPr>
        <w:t>.</w:t>
      </w:r>
    </w:p>
    <w:p w14:paraId="09C57311" w14:textId="09F33910" w:rsidR="006A5785" w:rsidRDefault="00192326" w:rsidP="006A5785">
      <w:pPr>
        <w:pStyle w:val="Subsection"/>
      </w:pPr>
      <w:r>
        <w:t>Profile plots</w:t>
      </w:r>
    </w:p>
    <w:p w14:paraId="709CD97A" w14:textId="5B0F3055" w:rsidR="00192326" w:rsidRDefault="00192326" w:rsidP="00192326">
      <w:pPr>
        <w:pStyle w:val="BodytextIndented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BE140D" wp14:editId="4CA03246">
            <wp:extent cx="4106545" cy="1690424"/>
            <wp:effectExtent l="0" t="0" r="0" b="0"/>
            <wp:docPr id="1625521352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21352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53" cy="17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9350" w14:textId="139ABC91" w:rsidR="00192326" w:rsidRDefault="00192326" w:rsidP="00192326">
      <w:pPr>
        <w:pStyle w:val="BodytextIndente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Figure</w:t>
      </w:r>
      <w:r w:rsidRPr="00CE57C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2</w:t>
      </w:r>
      <w:r w:rsidRPr="00CE57CF">
        <w:rPr>
          <w:rFonts w:ascii="Times New Roman" w:hAnsi="Times New Roman"/>
          <w:b/>
        </w:rPr>
        <w:t>.</w:t>
      </w:r>
      <w:r w:rsidRPr="00CE57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Left – </w:t>
      </w:r>
      <w:r>
        <w:rPr>
          <w:rFonts w:ascii="Times New Roman" w:hAnsi="Times New Roman"/>
        </w:rPr>
        <w:t>Vertical profile of streamwise velocity through a many-turbine wind farm</w:t>
      </w:r>
      <w:r w:rsidR="00056214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  <w:r w:rsidR="00056214">
        <w:rPr>
          <w:rFonts w:ascii="Times New Roman" w:hAnsi="Times New Roman"/>
        </w:rPr>
        <w:t>Right –Cross section of streamwise velocity across a many-turbine wind farm.</w:t>
      </w:r>
    </w:p>
    <w:p w14:paraId="28776B5C" w14:textId="77777777" w:rsidR="00192326" w:rsidRDefault="00192326" w:rsidP="00CC4454">
      <w:pPr>
        <w:pStyle w:val="BodytextIndented"/>
        <w:ind w:firstLine="0"/>
        <w:jc w:val="left"/>
        <w:rPr>
          <w:lang w:val="en-GB"/>
        </w:rPr>
      </w:pPr>
    </w:p>
    <w:p w14:paraId="523F1AFA" w14:textId="7A3DB025" w:rsidR="00CC4454" w:rsidRPr="00192326" w:rsidRDefault="00CC4454" w:rsidP="00CC4454">
      <w:pPr>
        <w:pStyle w:val="BodytextIndented"/>
        <w:ind w:firstLine="0"/>
        <w:jc w:val="left"/>
        <w:rPr>
          <w:lang w:val="en-GB"/>
        </w:rPr>
      </w:pPr>
      <w:r>
        <w:rPr>
          <w:lang w:val="en-GB"/>
        </w:rPr>
        <w:t xml:space="preserve">The wake recovery and wake deflection captured in mathematical formulations and their implementations can be analysed by plotting 1D profiles of the velocity in a wind farm. </w:t>
      </w:r>
      <w:r w:rsidR="006E2A26">
        <w:rPr>
          <w:lang w:val="en-GB"/>
        </w:rPr>
        <w:t xml:space="preserve">Figure 2 highlights the differences in implementation of the same </w:t>
      </w:r>
      <w:r w:rsidR="007A453A">
        <w:rPr>
          <w:lang w:val="en-GB"/>
        </w:rPr>
        <w:t>Jensen / top-hat w</w:t>
      </w:r>
      <w:r w:rsidR="006E2A26">
        <w:rPr>
          <w:lang w:val="en-GB"/>
        </w:rPr>
        <w:t>ake model across three distinct software tools</w:t>
      </w:r>
      <w:r w:rsidR="00E532A6">
        <w:rPr>
          <w:lang w:val="en-GB"/>
        </w:rPr>
        <w:t>.</w:t>
      </w:r>
      <w:r w:rsidR="00356E97">
        <w:rPr>
          <w:lang w:val="en-GB"/>
        </w:rPr>
        <w:t xml:space="preserve"> The rates of wake recovery and wake spreading are notable differences.</w:t>
      </w:r>
    </w:p>
    <w:p w14:paraId="13A939FA" w14:textId="48FE0E96" w:rsidR="00433498" w:rsidRDefault="00433498" w:rsidP="00433498">
      <w:pPr>
        <w:pStyle w:val="Section"/>
      </w:pPr>
      <w:r>
        <w:t>Conclusion</w:t>
      </w:r>
    </w:p>
    <w:p w14:paraId="7759AF38" w14:textId="67723ECF" w:rsidR="00322592" w:rsidRDefault="00F02A94" w:rsidP="006A0958">
      <w:pPr>
        <w:pStyle w:val="Bodytext"/>
        <w:rPr>
          <w:lang w:val="en-GB"/>
        </w:rPr>
      </w:pPr>
      <w:r>
        <w:rPr>
          <w:lang w:val="en-GB"/>
        </w:rPr>
        <w:t xml:space="preserve">This study </w:t>
      </w:r>
      <w:r w:rsidR="007C48A8">
        <w:rPr>
          <w:lang w:val="en-GB"/>
        </w:rPr>
        <w:t>establishes a basis for characterizing the ensemble of results from a set of Python-based steady-state wind farm wake modelling software tools.</w:t>
      </w:r>
      <w:r w:rsidR="00FD1F7F">
        <w:rPr>
          <w:lang w:val="en-GB"/>
        </w:rPr>
        <w:t xml:space="preserve"> It develops a </w:t>
      </w:r>
      <w:r w:rsidR="004B166D">
        <w:rPr>
          <w:lang w:val="en-GB"/>
        </w:rPr>
        <w:t xml:space="preserve">set of </w:t>
      </w:r>
      <w:r w:rsidR="007C48A8">
        <w:rPr>
          <w:lang w:val="en-GB"/>
        </w:rPr>
        <w:t xml:space="preserve">physically realistic wind farm flow control </w:t>
      </w:r>
      <w:r w:rsidR="00FD1F7F">
        <w:rPr>
          <w:lang w:val="en-GB"/>
        </w:rPr>
        <w:t xml:space="preserve">test cases as well as </w:t>
      </w:r>
      <w:r w:rsidR="00860C68">
        <w:rPr>
          <w:lang w:val="en-GB"/>
        </w:rPr>
        <w:t xml:space="preserve">implementation-specific test </w:t>
      </w:r>
      <w:r w:rsidR="005F55EC">
        <w:rPr>
          <w:lang w:val="en-GB"/>
        </w:rPr>
        <w:t xml:space="preserve">cases to </w:t>
      </w:r>
      <w:r w:rsidR="00860C68">
        <w:rPr>
          <w:lang w:val="en-GB"/>
        </w:rPr>
        <w:t>systematically</w:t>
      </w:r>
      <w:r w:rsidR="007C48A8">
        <w:rPr>
          <w:lang w:val="en-GB"/>
        </w:rPr>
        <w:t xml:space="preserve"> exercis</w:t>
      </w:r>
      <w:r w:rsidR="005F55EC">
        <w:rPr>
          <w:lang w:val="en-GB"/>
        </w:rPr>
        <w:t>e the software systems</w:t>
      </w:r>
      <w:r w:rsidR="00F207DB">
        <w:rPr>
          <w:lang w:val="en-GB"/>
        </w:rPr>
        <w:t>.</w:t>
      </w:r>
      <w:r w:rsidR="00D66124">
        <w:rPr>
          <w:lang w:val="en-GB"/>
        </w:rPr>
        <w:t xml:space="preserve"> </w:t>
      </w:r>
      <w:r w:rsidR="00FC7571">
        <w:rPr>
          <w:lang w:val="en-GB"/>
        </w:rPr>
        <w:t xml:space="preserve">The spread of results across the software tools are reported in a consistent form in an open-source, public facing </w:t>
      </w:r>
      <w:r w:rsidR="00553135">
        <w:rPr>
          <w:lang w:val="en-GB"/>
        </w:rPr>
        <w:t>dashboard</w:t>
      </w:r>
      <w:r w:rsidR="00FC7571">
        <w:rPr>
          <w:lang w:val="en-GB"/>
        </w:rPr>
        <w:t xml:space="preserve"> intended to be a living database where new results can be submitted on an ongoing basis</w:t>
      </w:r>
      <w:r w:rsidR="006F1A3D">
        <w:rPr>
          <w:lang w:val="en-GB"/>
        </w:rPr>
        <w:t xml:space="preserve"> and community dialogue, including </w:t>
      </w:r>
      <w:r w:rsidR="005D5F22">
        <w:rPr>
          <w:lang w:val="en-GB"/>
        </w:rPr>
        <w:t xml:space="preserve">discussion </w:t>
      </w:r>
      <w:r w:rsidR="006F1A3D">
        <w:rPr>
          <w:lang w:val="en-GB"/>
        </w:rPr>
        <w:t xml:space="preserve">and analysis of results, is </w:t>
      </w:r>
      <w:r w:rsidR="00B06A07">
        <w:rPr>
          <w:lang w:val="en-GB"/>
        </w:rPr>
        <w:t>supported</w:t>
      </w:r>
      <w:r w:rsidR="00FC7571">
        <w:rPr>
          <w:lang w:val="en-GB"/>
        </w:rPr>
        <w:t>.</w:t>
      </w:r>
      <w:r w:rsidR="006A0958">
        <w:rPr>
          <w:lang w:val="en-GB"/>
        </w:rPr>
        <w:t xml:space="preserve"> This study is expected to be an ongoing, community-focused activity</w:t>
      </w:r>
      <w:r w:rsidR="00E228B8">
        <w:rPr>
          <w:lang w:val="en-GB"/>
        </w:rPr>
        <w:t xml:space="preserve"> that strengthens the</w:t>
      </w:r>
      <w:r w:rsidR="004B0C08">
        <w:rPr>
          <w:lang w:val="en-GB"/>
        </w:rPr>
        <w:t xml:space="preserve"> community’s understanding of the</w:t>
      </w:r>
      <w:r w:rsidR="00322592">
        <w:rPr>
          <w:lang w:val="en-GB"/>
        </w:rPr>
        <w:t xml:space="preserve"> </w:t>
      </w:r>
      <w:r w:rsidR="00EA17A7">
        <w:rPr>
          <w:lang w:val="en-GB"/>
        </w:rPr>
        <w:t xml:space="preserve">existing </w:t>
      </w:r>
      <w:r w:rsidR="00322592">
        <w:rPr>
          <w:lang w:val="en-GB"/>
        </w:rPr>
        <w:t xml:space="preserve">tools and provides a mechanism for </w:t>
      </w:r>
      <w:r w:rsidR="004B0C08">
        <w:rPr>
          <w:lang w:val="en-GB"/>
        </w:rPr>
        <w:t>identifying</w:t>
      </w:r>
      <w:r w:rsidR="00322592">
        <w:rPr>
          <w:lang w:val="en-GB"/>
        </w:rPr>
        <w:t xml:space="preserve"> the role of new models and implementations.</w:t>
      </w:r>
    </w:p>
    <w:p w14:paraId="3D34215F" w14:textId="77777777" w:rsidR="00C05639" w:rsidRPr="00C05639" w:rsidRDefault="00C05639" w:rsidP="00783202">
      <w:pPr>
        <w:pStyle w:val="BodytextIndented"/>
        <w:ind w:firstLine="0"/>
        <w:rPr>
          <w:lang w:val="en-GB"/>
        </w:rPr>
      </w:pPr>
    </w:p>
    <w:p w14:paraId="3E4ABEC1" w14:textId="77777777" w:rsidR="009A0487" w:rsidRDefault="009A0487">
      <w:pPr>
        <w:pStyle w:val="Sectionnonumber"/>
      </w:pPr>
      <w:r>
        <w:t>References</w:t>
      </w:r>
    </w:p>
    <w:p w14:paraId="31FA5E66" w14:textId="07B23CB9" w:rsidR="002F73FB" w:rsidRDefault="002F73FB" w:rsidP="00702B03">
      <w:pPr>
        <w:pStyle w:val="Reference"/>
        <w:tabs>
          <w:tab w:val="clear" w:pos="0"/>
        </w:tabs>
        <w:ind w:left="851" w:hanging="851"/>
      </w:pPr>
      <w:r w:rsidRPr="00702B03">
        <w:t>Mads M. Pedersen, Alexander Meyer Forsting, Paul van der Laan, Riccardo Riva, Leonardo A. Alcayaga Romàn, Javier Criado Risco, Mikkel Friis-Møller, Julian Quick, Jens Peter Schøler Christiansen, Rafael Valotta Rodrigues, Bjarke Tobias Olsen and Pierre-Elouan Réthoré. (2023, February). PyWake 2.5.0: An open-source wind farm simulation tool. DTU Wind, Technical University of Denmark.</w:t>
      </w:r>
    </w:p>
    <w:p w14:paraId="2CBF9F92" w14:textId="6BC12A46" w:rsidR="00702B03" w:rsidRPr="00702B03" w:rsidRDefault="00702B03" w:rsidP="00702B03">
      <w:pPr>
        <w:pStyle w:val="Reference"/>
        <w:tabs>
          <w:tab w:val="clear" w:pos="0"/>
        </w:tabs>
        <w:ind w:left="851" w:hanging="851"/>
      </w:pPr>
      <w:r w:rsidRPr="00153354">
        <w:t xml:space="preserve">Schmidt et al., (2023). FOXES: Farm Optimization and eXtended yield Evaluation Software. Journal of Open Source Software, 8(86), 5464, </w:t>
      </w:r>
      <w:hyperlink r:id="rId11" w:history="1">
        <w:r w:rsidRPr="00153354">
          <w:t>https://doi.org/10.21105/joss.05464</w:t>
        </w:r>
      </w:hyperlink>
    </w:p>
    <w:p w14:paraId="07131504" w14:textId="3895B653" w:rsidR="00702B03" w:rsidRDefault="00702B03" w:rsidP="00702B03">
      <w:pPr>
        <w:pStyle w:val="Reference"/>
        <w:tabs>
          <w:tab w:val="clear" w:pos="0"/>
        </w:tabs>
        <w:ind w:left="851" w:hanging="851"/>
      </w:pPr>
      <w:r w:rsidRPr="00153354">
        <w:t xml:space="preserve">FLORIS. Version </w:t>
      </w:r>
      <w:r w:rsidRPr="00153354">
        <w:t>3.4</w:t>
      </w:r>
      <w:r w:rsidRPr="00153354">
        <w:t xml:space="preserve"> (202</w:t>
      </w:r>
      <w:r w:rsidRPr="00153354">
        <w:t>3</w:t>
      </w:r>
      <w:r w:rsidRPr="00153354">
        <w:t>). Available at </w:t>
      </w:r>
      <w:hyperlink r:id="rId12" w:history="1">
        <w:r w:rsidRPr="00153354">
          <w:t>https://github.com/NREL/floris</w:t>
        </w:r>
      </w:hyperlink>
      <w:r w:rsidRPr="00153354">
        <w:t>.</w:t>
      </w:r>
    </w:p>
    <w:p w14:paraId="26A94770" w14:textId="3B509F98" w:rsidR="00225C61" w:rsidRDefault="00225C61" w:rsidP="00150D9D">
      <w:pPr>
        <w:pStyle w:val="Reference"/>
        <w:tabs>
          <w:tab w:val="clear" w:pos="0"/>
        </w:tabs>
        <w:ind w:left="851" w:hanging="851"/>
        <w:jc w:val="left"/>
      </w:pPr>
      <w:r>
        <w:t xml:space="preserve">"Wind farm control: The route to bankability" position paper 2021 </w:t>
      </w:r>
      <w:hyperlink r:id="rId13" w:history="1">
        <w:r w:rsidR="000D1135" w:rsidRPr="00E400F1">
          <w:rPr>
            <w:rStyle w:val="Hyperlink"/>
          </w:rPr>
          <w:t>https://www.dnv.com/Publications/wind-farm-control-198162</w:t>
        </w:r>
      </w:hyperlink>
    </w:p>
    <w:p w14:paraId="23FB4658" w14:textId="77777777" w:rsidR="00A22043" w:rsidRPr="003F1E12" w:rsidRDefault="00A22043" w:rsidP="00A22043">
      <w:pPr>
        <w:pStyle w:val="Reference"/>
        <w:rPr>
          <w:rFonts w:ascii="Roboto" w:hAnsi="Roboto"/>
          <w:lang w:val="en-US"/>
        </w:rPr>
      </w:pPr>
      <w:r w:rsidRPr="003F1E12">
        <w:rPr>
          <w:lang w:val="en-US"/>
        </w:rPr>
        <w:t>Bortolotti, Pietro, Tarres, Helena C, Dykes, Katherine L, Merz, Karl, Sethuraman, Latha, Verelst,</w:t>
      </w:r>
      <w:r>
        <w:rPr>
          <w:lang w:val="en-US"/>
        </w:rPr>
        <w:t xml:space="preserve"> </w:t>
      </w:r>
      <w:r w:rsidRPr="003F1E12">
        <w:rPr>
          <w:lang w:val="en-US"/>
        </w:rPr>
        <w:t>David, and Zahle, Frederik. </w:t>
      </w:r>
      <w:r w:rsidRPr="003F1E12">
        <w:rPr>
          <w:i/>
          <w:lang w:val="en-US"/>
        </w:rPr>
        <w:t>IEA Wind TCP Task 37: Systems Engineering in Wind Energy - WP2.1 Reference Wind Turbines</w:t>
      </w:r>
      <w:r w:rsidRPr="003F1E12">
        <w:rPr>
          <w:lang w:val="en-US"/>
        </w:rPr>
        <w:t>. United States: N. p., 2019. Web. doi:10.2172/1529216. </w:t>
      </w:r>
    </w:p>
    <w:p w14:paraId="2D1FBF1C" w14:textId="6B5C2274" w:rsidR="00E06E82" w:rsidRDefault="00E06E82" w:rsidP="00E06E82">
      <w:pPr>
        <w:pStyle w:val="Reference"/>
        <w:tabs>
          <w:tab w:val="clear" w:pos="0"/>
        </w:tabs>
        <w:ind w:left="851" w:hanging="851"/>
        <w:jc w:val="left"/>
      </w:pPr>
      <w:r w:rsidRPr="004E2BBA">
        <w:t>Meyers, Johan &amp; Bottasso, Carlo &amp; Dykes, Katherine &amp; Fleming, Paul &amp; Gebraad, Pieter &amp; Giebel, Gregor &amp; Göçmen, Tuhfe &amp; Wingerden, J. W.. (2022). Wind farm flow control: prospects and challenges. 10.5194/wes-2022-24.</w:t>
      </w:r>
    </w:p>
    <w:p w14:paraId="0F428438" w14:textId="64428A7B" w:rsidR="00C57317" w:rsidRDefault="00C57317" w:rsidP="00E06E82">
      <w:pPr>
        <w:pStyle w:val="Reference"/>
        <w:tabs>
          <w:tab w:val="clear" w:pos="0"/>
        </w:tabs>
        <w:ind w:left="851" w:hanging="851"/>
      </w:pPr>
      <w:r>
        <w:t>wcomp</w:t>
      </w:r>
      <w:r w:rsidRPr="00153354">
        <w:t xml:space="preserve">. Version </w:t>
      </w:r>
      <w:r>
        <w:t>0.1</w:t>
      </w:r>
      <w:r w:rsidRPr="00153354">
        <w:t xml:space="preserve"> (2023). Available at </w:t>
      </w:r>
      <w:hyperlink r:id="rId14" w:history="1">
        <w:r w:rsidR="006343D9" w:rsidRPr="00E400F1">
          <w:rPr>
            <w:rStyle w:val="Hyperlink"/>
          </w:rPr>
          <w:t>https://github.com/</w:t>
        </w:r>
        <w:r w:rsidR="006343D9" w:rsidRPr="00E400F1">
          <w:rPr>
            <w:rStyle w:val="Hyperlink"/>
          </w:rPr>
          <w:t>rafmudaf</w:t>
        </w:r>
        <w:r w:rsidR="006343D9" w:rsidRPr="00E400F1">
          <w:rPr>
            <w:rStyle w:val="Hyperlink"/>
          </w:rPr>
          <w:t>/</w:t>
        </w:r>
        <w:r w:rsidR="006343D9" w:rsidRPr="00E400F1">
          <w:rPr>
            <w:rStyle w:val="Hyperlink"/>
          </w:rPr>
          <w:t>wcomp</w:t>
        </w:r>
      </w:hyperlink>
      <w:r w:rsidRPr="00153354">
        <w:t>.</w:t>
      </w:r>
    </w:p>
    <w:p w14:paraId="24430B1E" w14:textId="2BA74767" w:rsidR="00E06E82" w:rsidRDefault="00E06E82" w:rsidP="00A5670E">
      <w:pPr>
        <w:pStyle w:val="Reference"/>
        <w:tabs>
          <w:tab w:val="clear" w:pos="0"/>
        </w:tabs>
        <w:ind w:left="851" w:hanging="851"/>
        <w:jc w:val="left"/>
      </w:pPr>
      <w:r>
        <w:t xml:space="preserve">Bortolotti, Pietro, Bay, Christopher, Barter, Garrett, Gaertner, Evan, Dykes, Katherine, McWilliam, Michael, Friis-Moller, Mikkel, Molgaard Pedersen, Mads, &amp; Zahle, Frederik. System Modeling Frameworks for Wind Turbines and Plants: Review and Requirements Specifications. United States. </w:t>
      </w:r>
      <w:hyperlink r:id="rId15" w:history="1">
        <w:r w:rsidRPr="00E400F1">
          <w:rPr>
            <w:rStyle w:val="Hyperlink"/>
          </w:rPr>
          <w:t>https://doi.org/10.2172/1868328</w:t>
        </w:r>
      </w:hyperlink>
    </w:p>
    <w:sectPr w:rsidR="00E06E82">
      <w:headerReference w:type="even" r:id="rId16"/>
      <w:headerReference w:type="default" r:id="rId17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E8B34" w14:textId="77777777" w:rsidR="00356EF7" w:rsidRDefault="00356EF7">
      <w:r>
        <w:separator/>
      </w:r>
    </w:p>
  </w:endnote>
  <w:endnote w:type="continuationSeparator" w:id="0">
    <w:p w14:paraId="12B8ADA6" w14:textId="77777777" w:rsidR="00356EF7" w:rsidRDefault="0035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18A78" w14:textId="77777777" w:rsidR="00356EF7" w:rsidRPr="00043761" w:rsidRDefault="00356EF7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14:paraId="1BB8AD72" w14:textId="77777777" w:rsidR="00356EF7" w:rsidRDefault="0035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C434" w14:textId="77777777" w:rsidR="009A0487" w:rsidRDefault="009A0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E07FD" w14:textId="77777777" w:rsidR="009A0487" w:rsidRDefault="009A0487"/>
  <w:p w14:paraId="0B456E5F" w14:textId="77777777" w:rsidR="009A0487" w:rsidRDefault="009A0487"/>
  <w:p w14:paraId="01A7F6ED" w14:textId="77777777" w:rsidR="009A0487" w:rsidRDefault="009A0487"/>
  <w:p w14:paraId="23B88F5B" w14:textId="77777777" w:rsidR="009A0487" w:rsidRDefault="009A0487"/>
  <w:p w14:paraId="7A6064CE" w14:textId="77777777" w:rsidR="009A0487" w:rsidRDefault="009A0487"/>
  <w:p w14:paraId="5F083ADE" w14:textId="77777777" w:rsidR="009A0487" w:rsidRDefault="009A04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B143C"/>
    <w:multiLevelType w:val="hybridMultilevel"/>
    <w:tmpl w:val="B560B83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216502"/>
    <w:multiLevelType w:val="hybridMultilevel"/>
    <w:tmpl w:val="77A8ED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B912F07"/>
    <w:multiLevelType w:val="hybridMultilevel"/>
    <w:tmpl w:val="9A8A155E"/>
    <w:lvl w:ilvl="0" w:tplc="F426027E">
      <w:numFmt w:val="bullet"/>
      <w:lvlText w:val="-"/>
      <w:lvlJc w:val="left"/>
      <w:pPr>
        <w:ind w:left="1004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D473491"/>
    <w:multiLevelType w:val="hybridMultilevel"/>
    <w:tmpl w:val="496AE5CE"/>
    <w:lvl w:ilvl="0" w:tplc="478AE636">
      <w:numFmt w:val="bullet"/>
      <w:lvlText w:val="-"/>
      <w:lvlJc w:val="left"/>
      <w:pPr>
        <w:ind w:left="644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3DA6211"/>
    <w:multiLevelType w:val="hybridMultilevel"/>
    <w:tmpl w:val="C4AA48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73D4E4D"/>
    <w:multiLevelType w:val="hybridMultilevel"/>
    <w:tmpl w:val="31AC2144"/>
    <w:lvl w:ilvl="0" w:tplc="67000190">
      <w:numFmt w:val="bullet"/>
      <w:lvlText w:val="-"/>
      <w:lvlJc w:val="left"/>
      <w:pPr>
        <w:ind w:left="644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7BD03E7"/>
    <w:multiLevelType w:val="hybridMultilevel"/>
    <w:tmpl w:val="DD128E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5A4C9E"/>
    <w:multiLevelType w:val="hybridMultilevel"/>
    <w:tmpl w:val="D2FCC676"/>
    <w:lvl w:ilvl="0" w:tplc="F426027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31B09"/>
    <w:multiLevelType w:val="hybridMultilevel"/>
    <w:tmpl w:val="3C12CF3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26D122D"/>
    <w:multiLevelType w:val="hybridMultilevel"/>
    <w:tmpl w:val="94C85CC2"/>
    <w:lvl w:ilvl="0" w:tplc="09EAA49C">
      <w:numFmt w:val="bullet"/>
      <w:lvlText w:val="-"/>
      <w:lvlJc w:val="left"/>
      <w:pPr>
        <w:ind w:left="644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7FCE5D0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1272325476">
    <w:abstractNumId w:val="13"/>
  </w:num>
  <w:num w:numId="2" w16cid:durableId="126975645">
    <w:abstractNumId w:val="1"/>
  </w:num>
  <w:num w:numId="3" w16cid:durableId="1351952610">
    <w:abstractNumId w:val="0"/>
  </w:num>
  <w:num w:numId="4" w16cid:durableId="1854488184">
    <w:abstractNumId w:val="9"/>
  </w:num>
  <w:num w:numId="5" w16cid:durableId="1258708647">
    <w:abstractNumId w:val="10"/>
  </w:num>
  <w:num w:numId="6" w16cid:durableId="2074425877">
    <w:abstractNumId w:val="1"/>
  </w:num>
  <w:num w:numId="7" w16cid:durableId="2051566663">
    <w:abstractNumId w:val="4"/>
  </w:num>
  <w:num w:numId="8" w16cid:durableId="1112288046">
    <w:abstractNumId w:val="7"/>
  </w:num>
  <w:num w:numId="9" w16cid:durableId="1674066597">
    <w:abstractNumId w:val="11"/>
  </w:num>
  <w:num w:numId="10" w16cid:durableId="1728339725">
    <w:abstractNumId w:val="6"/>
  </w:num>
  <w:num w:numId="11" w16cid:durableId="563107728">
    <w:abstractNumId w:val="12"/>
  </w:num>
  <w:num w:numId="12" w16cid:durableId="1430851839">
    <w:abstractNumId w:val="3"/>
  </w:num>
  <w:num w:numId="13" w16cid:durableId="1650593116">
    <w:abstractNumId w:val="8"/>
  </w:num>
  <w:num w:numId="14" w16cid:durableId="194193491">
    <w:abstractNumId w:val="5"/>
  </w:num>
  <w:num w:numId="15" w16cid:durableId="62676893">
    <w:abstractNumId w:val="2"/>
  </w:num>
  <w:num w:numId="16" w16cid:durableId="20027375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pl-PL" w:vendorID="64" w:dllVersion="0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4"/>
    <w:rsid w:val="00006EA6"/>
    <w:rsid w:val="00023436"/>
    <w:rsid w:val="000408C1"/>
    <w:rsid w:val="0004704D"/>
    <w:rsid w:val="00056214"/>
    <w:rsid w:val="0009222A"/>
    <w:rsid w:val="000D1135"/>
    <w:rsid w:val="000D596A"/>
    <w:rsid w:val="0010191F"/>
    <w:rsid w:val="001022BB"/>
    <w:rsid w:val="001068AC"/>
    <w:rsid w:val="00122609"/>
    <w:rsid w:val="001338E7"/>
    <w:rsid w:val="00150D9D"/>
    <w:rsid w:val="00153354"/>
    <w:rsid w:val="001554D5"/>
    <w:rsid w:val="00167A71"/>
    <w:rsid w:val="001749EB"/>
    <w:rsid w:val="001862A2"/>
    <w:rsid w:val="00192326"/>
    <w:rsid w:val="00197CC3"/>
    <w:rsid w:val="001A2F80"/>
    <w:rsid w:val="001C05B9"/>
    <w:rsid w:val="001E47A6"/>
    <w:rsid w:val="001F3B46"/>
    <w:rsid w:val="002002AB"/>
    <w:rsid w:val="00217A99"/>
    <w:rsid w:val="00225C61"/>
    <w:rsid w:val="00225CE6"/>
    <w:rsid w:val="0023149E"/>
    <w:rsid w:val="00231BEF"/>
    <w:rsid w:val="002529A3"/>
    <w:rsid w:val="00287637"/>
    <w:rsid w:val="00296BAF"/>
    <w:rsid w:val="002E5F6E"/>
    <w:rsid w:val="002F3EEF"/>
    <w:rsid w:val="002F7195"/>
    <w:rsid w:val="002F73FB"/>
    <w:rsid w:val="00307EB9"/>
    <w:rsid w:val="0031254B"/>
    <w:rsid w:val="00322592"/>
    <w:rsid w:val="00323B78"/>
    <w:rsid w:val="0032494C"/>
    <w:rsid w:val="00356E97"/>
    <w:rsid w:val="00356EF7"/>
    <w:rsid w:val="003629AD"/>
    <w:rsid w:val="003637AB"/>
    <w:rsid w:val="003729BD"/>
    <w:rsid w:val="00372B04"/>
    <w:rsid w:val="00380693"/>
    <w:rsid w:val="00382C71"/>
    <w:rsid w:val="003847B4"/>
    <w:rsid w:val="00395EB1"/>
    <w:rsid w:val="003A1AE8"/>
    <w:rsid w:val="003B1B0E"/>
    <w:rsid w:val="003F1E12"/>
    <w:rsid w:val="003F6F18"/>
    <w:rsid w:val="004053F2"/>
    <w:rsid w:val="004100E7"/>
    <w:rsid w:val="004318B0"/>
    <w:rsid w:val="00433498"/>
    <w:rsid w:val="00433C91"/>
    <w:rsid w:val="00437779"/>
    <w:rsid w:val="00451555"/>
    <w:rsid w:val="004678F0"/>
    <w:rsid w:val="004753E8"/>
    <w:rsid w:val="00475EAB"/>
    <w:rsid w:val="00481F2C"/>
    <w:rsid w:val="00495F00"/>
    <w:rsid w:val="004A2987"/>
    <w:rsid w:val="004A526C"/>
    <w:rsid w:val="004B0C08"/>
    <w:rsid w:val="004B145C"/>
    <w:rsid w:val="004B166D"/>
    <w:rsid w:val="004B4CDB"/>
    <w:rsid w:val="004C08CF"/>
    <w:rsid w:val="004C7E27"/>
    <w:rsid w:val="004D0C40"/>
    <w:rsid w:val="004D7D96"/>
    <w:rsid w:val="004E2BBA"/>
    <w:rsid w:val="00510C8E"/>
    <w:rsid w:val="005158FA"/>
    <w:rsid w:val="00531D39"/>
    <w:rsid w:val="005417AA"/>
    <w:rsid w:val="00547C3E"/>
    <w:rsid w:val="0055157D"/>
    <w:rsid w:val="00553135"/>
    <w:rsid w:val="0057164D"/>
    <w:rsid w:val="00581B9A"/>
    <w:rsid w:val="005928B7"/>
    <w:rsid w:val="005A10C4"/>
    <w:rsid w:val="005A6D22"/>
    <w:rsid w:val="005C283F"/>
    <w:rsid w:val="005D4815"/>
    <w:rsid w:val="005D5F22"/>
    <w:rsid w:val="005E202E"/>
    <w:rsid w:val="005F55EC"/>
    <w:rsid w:val="005F7854"/>
    <w:rsid w:val="00605C2C"/>
    <w:rsid w:val="00623F51"/>
    <w:rsid w:val="00627E68"/>
    <w:rsid w:val="006343D9"/>
    <w:rsid w:val="00650014"/>
    <w:rsid w:val="0065377F"/>
    <w:rsid w:val="00663C3C"/>
    <w:rsid w:val="006664C6"/>
    <w:rsid w:val="00670788"/>
    <w:rsid w:val="00681DCF"/>
    <w:rsid w:val="006854E1"/>
    <w:rsid w:val="006A0958"/>
    <w:rsid w:val="006A5785"/>
    <w:rsid w:val="006B3F09"/>
    <w:rsid w:val="006D4ACD"/>
    <w:rsid w:val="006E2A26"/>
    <w:rsid w:val="006F1A3D"/>
    <w:rsid w:val="006F45A4"/>
    <w:rsid w:val="007018ED"/>
    <w:rsid w:val="00702B03"/>
    <w:rsid w:val="00724F8F"/>
    <w:rsid w:val="00733CB3"/>
    <w:rsid w:val="00753A21"/>
    <w:rsid w:val="00756ECA"/>
    <w:rsid w:val="00761A42"/>
    <w:rsid w:val="0077003D"/>
    <w:rsid w:val="00783202"/>
    <w:rsid w:val="007A453A"/>
    <w:rsid w:val="007B30F9"/>
    <w:rsid w:val="007B7750"/>
    <w:rsid w:val="007C48A8"/>
    <w:rsid w:val="007D1BBF"/>
    <w:rsid w:val="007E46EE"/>
    <w:rsid w:val="007E4A72"/>
    <w:rsid w:val="007E72D8"/>
    <w:rsid w:val="007F2F4D"/>
    <w:rsid w:val="007F676B"/>
    <w:rsid w:val="00810253"/>
    <w:rsid w:val="00830CD1"/>
    <w:rsid w:val="00860C68"/>
    <w:rsid w:val="00862F62"/>
    <w:rsid w:val="00863837"/>
    <w:rsid w:val="00874306"/>
    <w:rsid w:val="00883C81"/>
    <w:rsid w:val="00886BD1"/>
    <w:rsid w:val="00897829"/>
    <w:rsid w:val="008C55B2"/>
    <w:rsid w:val="008F135C"/>
    <w:rsid w:val="00903768"/>
    <w:rsid w:val="00912795"/>
    <w:rsid w:val="00917514"/>
    <w:rsid w:val="009410EC"/>
    <w:rsid w:val="009474B6"/>
    <w:rsid w:val="009753E8"/>
    <w:rsid w:val="00976309"/>
    <w:rsid w:val="009A0487"/>
    <w:rsid w:val="009B5EA4"/>
    <w:rsid w:val="009C18CD"/>
    <w:rsid w:val="009E6ED6"/>
    <w:rsid w:val="009F73E7"/>
    <w:rsid w:val="00A07803"/>
    <w:rsid w:val="00A22043"/>
    <w:rsid w:val="00A31AE0"/>
    <w:rsid w:val="00A5670E"/>
    <w:rsid w:val="00A72E90"/>
    <w:rsid w:val="00A73391"/>
    <w:rsid w:val="00A76828"/>
    <w:rsid w:val="00A86ADC"/>
    <w:rsid w:val="00A90CB7"/>
    <w:rsid w:val="00A953BB"/>
    <w:rsid w:val="00AA09AE"/>
    <w:rsid w:val="00AD17C7"/>
    <w:rsid w:val="00AE0EC6"/>
    <w:rsid w:val="00B02DE8"/>
    <w:rsid w:val="00B05982"/>
    <w:rsid w:val="00B06A07"/>
    <w:rsid w:val="00B17522"/>
    <w:rsid w:val="00B17F49"/>
    <w:rsid w:val="00B245E8"/>
    <w:rsid w:val="00B44E6D"/>
    <w:rsid w:val="00B5055D"/>
    <w:rsid w:val="00B77AA7"/>
    <w:rsid w:val="00B83F45"/>
    <w:rsid w:val="00BB24ED"/>
    <w:rsid w:val="00BB59AA"/>
    <w:rsid w:val="00BB5BBA"/>
    <w:rsid w:val="00BD11E7"/>
    <w:rsid w:val="00BD748E"/>
    <w:rsid w:val="00BE3419"/>
    <w:rsid w:val="00BE3BB3"/>
    <w:rsid w:val="00BF7FA7"/>
    <w:rsid w:val="00C05639"/>
    <w:rsid w:val="00C23ABB"/>
    <w:rsid w:val="00C51B04"/>
    <w:rsid w:val="00C57317"/>
    <w:rsid w:val="00C722AA"/>
    <w:rsid w:val="00C75455"/>
    <w:rsid w:val="00C81AE6"/>
    <w:rsid w:val="00C81BA0"/>
    <w:rsid w:val="00C8208E"/>
    <w:rsid w:val="00CA1F5D"/>
    <w:rsid w:val="00CA774E"/>
    <w:rsid w:val="00CB08CC"/>
    <w:rsid w:val="00CC4454"/>
    <w:rsid w:val="00CF3EFE"/>
    <w:rsid w:val="00D313D3"/>
    <w:rsid w:val="00D66124"/>
    <w:rsid w:val="00D7622A"/>
    <w:rsid w:val="00D81FAA"/>
    <w:rsid w:val="00D87D26"/>
    <w:rsid w:val="00DA6A38"/>
    <w:rsid w:val="00DA6DDD"/>
    <w:rsid w:val="00DA7A88"/>
    <w:rsid w:val="00DC0551"/>
    <w:rsid w:val="00DD7C8D"/>
    <w:rsid w:val="00DF5298"/>
    <w:rsid w:val="00E00F7B"/>
    <w:rsid w:val="00E03A14"/>
    <w:rsid w:val="00E06E82"/>
    <w:rsid w:val="00E15D65"/>
    <w:rsid w:val="00E228B8"/>
    <w:rsid w:val="00E532A6"/>
    <w:rsid w:val="00E5624B"/>
    <w:rsid w:val="00E654C5"/>
    <w:rsid w:val="00E8328D"/>
    <w:rsid w:val="00E853F0"/>
    <w:rsid w:val="00EA17A7"/>
    <w:rsid w:val="00EB3E11"/>
    <w:rsid w:val="00EB702C"/>
    <w:rsid w:val="00EC7AF9"/>
    <w:rsid w:val="00ED69F7"/>
    <w:rsid w:val="00EE43E5"/>
    <w:rsid w:val="00EF6BE4"/>
    <w:rsid w:val="00F01BD7"/>
    <w:rsid w:val="00F02A94"/>
    <w:rsid w:val="00F0708A"/>
    <w:rsid w:val="00F11EE3"/>
    <w:rsid w:val="00F207DB"/>
    <w:rsid w:val="00F555E6"/>
    <w:rsid w:val="00F601A8"/>
    <w:rsid w:val="00F7746E"/>
    <w:rsid w:val="00F86855"/>
    <w:rsid w:val="00FC7571"/>
    <w:rsid w:val="00FD0EED"/>
    <w:rsid w:val="00FD1F7F"/>
    <w:rsid w:val="00FD2B3D"/>
    <w:rsid w:val="00FD3BCE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D1206"/>
  <w15:docId w15:val="{56295E54-69CB-E74B-8A22-6997DC25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Heading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left" w:pos="567"/>
      </w:tabs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  <w:style w:type="paragraph" w:customStyle="1" w:styleId="Paragraph">
    <w:name w:val="Paragraph"/>
    <w:basedOn w:val="Normal"/>
    <w:rsid w:val="003B1B0E"/>
    <w:pPr>
      <w:ind w:firstLine="284"/>
      <w:jc w:val="both"/>
    </w:pPr>
    <w:rPr>
      <w:rFonts w:ascii="Times New Roman" w:hAnsi="Times New Roman"/>
      <w:sz w:val="20"/>
      <w:lang w:val="en-US"/>
    </w:rPr>
  </w:style>
  <w:style w:type="paragraph" w:customStyle="1" w:styleId="TableCaptionCentred">
    <w:name w:val="Table.Caption.Centred"/>
    <w:basedOn w:val="Normal"/>
    <w:autoRedefine/>
    <w:rsid w:val="003B1B0E"/>
    <w:pPr>
      <w:spacing w:after="120"/>
      <w:jc w:val="center"/>
    </w:pPr>
    <w:rPr>
      <w:color w:val="000000"/>
      <w:szCs w:val="22"/>
    </w:rPr>
  </w:style>
  <w:style w:type="character" w:styleId="Hyperlink">
    <w:name w:val="Hyperlink"/>
    <w:basedOn w:val="DefaultParagraphFont"/>
    <w:uiPriority w:val="99"/>
    <w:unhideWhenUsed/>
    <w:rsid w:val="00702B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B0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02B03"/>
  </w:style>
  <w:style w:type="character" w:styleId="HTMLCode">
    <w:name w:val="HTML Code"/>
    <w:basedOn w:val="DefaultParagraphFont"/>
    <w:uiPriority w:val="99"/>
    <w:semiHidden/>
    <w:unhideWhenUsed/>
    <w:rsid w:val="003F1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nv.com/Publications/wind-farm-control-19816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REL/flori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21105/joss.054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2172/1868328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afmudaf/wcom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C091-F326-4E50-985E-64F25D6A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C:\Users\gev\Downloads\WordGuidelines\JPCSA4Template.dot</Template>
  <TotalTime>159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Access proceedings Journal of Physics: Conference series</vt:lpstr>
    </vt:vector>
  </TitlesOfParts>
  <Company>IOP Publishing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Mudafort, Rafael</cp:lastModifiedBy>
  <cp:revision>227</cp:revision>
  <cp:lastPrinted>2005-02-25T09:52:00Z</cp:lastPrinted>
  <dcterms:created xsi:type="dcterms:W3CDTF">2023-09-15T16:35:00Z</dcterms:created>
  <dcterms:modified xsi:type="dcterms:W3CDTF">2023-09-15T21:09:00Z</dcterms:modified>
</cp:coreProperties>
</file>