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spacing w:before="0" w:after="516"/>
        <w:ind w:left="740" w:right="0" w:firstLine="0"/>
      </w:pPr>
      <w:r>
        <w:rPr>
          <w:lang w:val="en-US" w:eastAsia="en-US" w:bidi="en-US"/>
          <w:rFonts w:ascii="Times New Roman" w:eastAsia="Times New Roman" w:hAnsi="Times New Roman" w:cs="Times New Roman"/>
          <w:w w:val="100"/>
          <w:spacing w:val="0"/>
          <w:color w:val="000000"/>
          <w:position w:val="0"/>
        </w:rPr>
        <w:t>a Development Area as may be required to ensure that it encompasses the Field concerned, but not, unless the Ministry and the Contractors otherwise agree, after the first Development Plan in respect of the Development Area has been approved. The Contractors shall relinquish any part of the Contract Area removed from a Development Area as a consequence of such decrease or other variation, if it occurs after the time for the relinquishment provided for in paragraph 3.2(a).</w:t>
      </w:r>
    </w:p>
    <w:p>
      <w:pPr>
        <w:pStyle w:val="Style2"/>
        <w:widowControl w:val="0"/>
        <w:keepNext w:val="0"/>
        <w:keepLines w:val="0"/>
        <w:shd w:val="clear" w:color="auto" w:fill="auto"/>
        <w:bidi w:val="0"/>
        <w:spacing w:before="0" w:after="244" w:line="232" w:lineRule="exact"/>
        <w:ind w:left="1460" w:right="0" w:hanging="720"/>
      </w:pPr>
      <w:r>
        <w:rPr>
          <w:lang w:val="en-US" w:eastAsia="en-US" w:bidi="en-US"/>
          <w:rFonts w:ascii="Times New Roman" w:eastAsia="Times New Roman" w:hAnsi="Times New Roman" w:cs="Times New Roman"/>
          <w:w w:val="100"/>
          <w:spacing w:val="0"/>
          <w:color w:val="000000"/>
          <w:position w:val="0"/>
        </w:rPr>
        <w:t>4.11 Development Plan</w:t>
      </w:r>
    </w:p>
    <w:p>
      <w:pPr>
        <w:pStyle w:val="Style2"/>
        <w:numPr>
          <w:ilvl w:val="0"/>
          <w:numId w:val="1"/>
        </w:numPr>
        <w:tabs>
          <w:tab w:leader="none" w:pos="702" w:val="left"/>
        </w:tabs>
        <w:widowControl w:val="0"/>
        <w:keepNext w:val="0"/>
        <w:keepLines w:val="0"/>
        <w:shd w:val="clear" w:color="auto" w:fill="auto"/>
        <w:bidi w:val="0"/>
        <w:spacing w:before="0" w:after="260"/>
        <w:ind w:left="740" w:right="0"/>
      </w:pPr>
      <w:r>
        <w:rPr>
          <w:lang w:val="en-US" w:eastAsia="en-US" w:bidi="en-US"/>
          <w:rFonts w:ascii="Times New Roman" w:eastAsia="Times New Roman" w:hAnsi="Times New Roman" w:cs="Times New Roman"/>
          <w:w w:val="100"/>
          <w:spacing w:val="0"/>
          <w:color w:val="000000"/>
          <w:position w:val="0"/>
        </w:rPr>
        <w:t>Not more than twelve (12) months after the declaration of a Development Area, and in the manner required by the Ministry, the Contractors shall submit, for the approval of the Ministry, a Development Plan for the Development Area.</w:t>
      </w:r>
    </w:p>
    <w:p>
      <w:pPr>
        <w:pStyle w:val="Style2"/>
        <w:numPr>
          <w:ilvl w:val="0"/>
          <w:numId w:val="1"/>
        </w:numPr>
        <w:tabs>
          <w:tab w:leader="none" w:pos="702" w:val="left"/>
        </w:tabs>
        <w:widowControl w:val="0"/>
        <w:keepNext w:val="0"/>
        <w:keepLines w:val="0"/>
        <w:shd w:val="clear" w:color="auto" w:fill="auto"/>
        <w:bidi w:val="0"/>
        <w:spacing w:before="0" w:after="266"/>
        <w:ind w:left="740" w:right="0"/>
      </w:pPr>
      <w:r>
        <w:rPr>
          <w:lang w:val="en-US" w:eastAsia="en-US" w:bidi="en-US"/>
          <w:rFonts w:ascii="Times New Roman" w:eastAsia="Times New Roman" w:hAnsi="Times New Roman" w:cs="Times New Roman"/>
          <w:w w:val="100"/>
          <w:spacing w:val="0"/>
          <w:color w:val="000000"/>
          <w:position w:val="0"/>
        </w:rPr>
        <w:t>From time to time, and in like manner, the Contractors may submit, for the approval of the Ministry, amendments to the Development Plan.</w:t>
      </w:r>
    </w:p>
    <w:p>
      <w:pPr>
        <w:pStyle w:val="Style2"/>
        <w:numPr>
          <w:ilvl w:val="0"/>
          <w:numId w:val="1"/>
        </w:numPr>
        <w:tabs>
          <w:tab w:leader="none" w:pos="702" w:val="left"/>
        </w:tabs>
        <w:widowControl w:val="0"/>
        <w:keepNext w:val="0"/>
        <w:keepLines w:val="0"/>
        <w:shd w:val="clear" w:color="auto" w:fill="auto"/>
        <w:bidi w:val="0"/>
        <w:spacing w:before="0" w:after="254" w:line="245" w:lineRule="exact"/>
        <w:ind w:left="740" w:right="0"/>
      </w:pPr>
      <w:r>
        <w:rPr>
          <w:lang w:val="en-US" w:eastAsia="en-US" w:bidi="en-US"/>
          <w:rFonts w:ascii="Times New Roman" w:eastAsia="Times New Roman" w:hAnsi="Times New Roman" w:cs="Times New Roman"/>
          <w:w w:val="100"/>
          <w:spacing w:val="0"/>
          <w:color w:val="000000"/>
          <w:position w:val="0"/>
        </w:rPr>
        <w:t>A Development Plan will be such as would be undertaken by a person seeking diligently to develop and exploit (in accordance with this Agreement) the Petroleum in the Development Area in the long term, best interests of the Parties.</w:t>
      </w:r>
    </w:p>
    <w:p>
      <w:pPr>
        <w:pStyle w:val="Style2"/>
        <w:numPr>
          <w:ilvl w:val="0"/>
          <w:numId w:val="1"/>
        </w:numPr>
        <w:tabs>
          <w:tab w:leader="none" w:pos="702" w:val="left"/>
        </w:tabs>
        <w:widowControl w:val="0"/>
        <w:keepNext w:val="0"/>
        <w:keepLines w:val="0"/>
        <w:shd w:val="clear" w:color="auto" w:fill="auto"/>
        <w:bidi w:val="0"/>
        <w:spacing w:before="0" w:after="276"/>
        <w:ind w:left="740" w:right="0"/>
      </w:pPr>
      <w:r>
        <w:rPr>
          <w:lang w:val="en-US" w:eastAsia="en-US" w:bidi="en-US"/>
          <w:rFonts w:ascii="Times New Roman" w:eastAsia="Times New Roman" w:hAnsi="Times New Roman" w:cs="Times New Roman"/>
          <w:w w:val="100"/>
          <w:spacing w:val="0"/>
          <w:color w:val="000000"/>
          <w:position w:val="0"/>
        </w:rPr>
        <w:t>Except with the consent of the Ministry, and without prejudice to the generality of paragraph 4.11(a), a Development Plan shall include:</w:t>
      </w:r>
    </w:p>
    <w:p>
      <w:pPr>
        <w:pStyle w:val="Style2"/>
        <w:numPr>
          <w:ilvl w:val="0"/>
          <w:numId w:val="3"/>
        </w:numPr>
        <w:tabs>
          <w:tab w:leader="none" w:pos="1456" w:val="left"/>
        </w:tabs>
        <w:widowControl w:val="0"/>
        <w:keepNext w:val="0"/>
        <w:keepLines w:val="0"/>
        <w:shd w:val="clear" w:color="auto" w:fill="auto"/>
        <w:bidi w:val="0"/>
        <w:spacing w:before="0" w:after="260" w:line="232" w:lineRule="exact"/>
        <w:ind w:left="1460" w:right="0" w:hanging="720"/>
      </w:pPr>
      <w:r>
        <w:rPr>
          <w:lang w:val="en-US" w:eastAsia="en-US" w:bidi="en-US"/>
          <w:rFonts w:ascii="Times New Roman" w:eastAsia="Times New Roman" w:hAnsi="Times New Roman" w:cs="Times New Roman"/>
          <w:w w:val="100"/>
          <w:spacing w:val="0"/>
          <w:color w:val="000000"/>
          <w:position w:val="0"/>
        </w:rPr>
        <w:t>a description of the proposed reservoir development and management programme;</w:t>
      </w:r>
    </w:p>
    <w:p>
      <w:pPr>
        <w:pStyle w:val="Style2"/>
        <w:numPr>
          <w:ilvl w:val="0"/>
          <w:numId w:val="3"/>
        </w:numPr>
        <w:tabs>
          <w:tab w:leader="none" w:pos="1456" w:val="left"/>
        </w:tabs>
        <w:widowControl w:val="0"/>
        <w:keepNext w:val="0"/>
        <w:keepLines w:val="0"/>
        <w:shd w:val="clear" w:color="auto" w:fill="auto"/>
        <w:bidi w:val="0"/>
        <w:spacing w:before="0" w:after="244" w:line="232" w:lineRule="exact"/>
        <w:ind w:left="1460" w:right="0" w:hanging="720"/>
      </w:pPr>
      <w:r>
        <w:rPr>
          <w:lang w:val="en-US" w:eastAsia="en-US" w:bidi="en-US"/>
          <w:rFonts w:ascii="Times New Roman" w:eastAsia="Times New Roman" w:hAnsi="Times New Roman" w:cs="Times New Roman"/>
          <w:w w:val="100"/>
          <w:spacing w:val="0"/>
          <w:color w:val="000000"/>
          <w:position w:val="0"/>
        </w:rPr>
        <w:t>details of:</w:t>
      </w:r>
    </w:p>
    <w:p>
      <w:pPr>
        <w:pStyle w:val="Style2"/>
        <w:widowControl w:val="0"/>
        <w:keepNext w:val="0"/>
        <w:keepLines w:val="0"/>
        <w:shd w:val="clear" w:color="auto" w:fill="auto"/>
        <w:bidi w:val="0"/>
        <w:spacing w:before="0" w:after="260"/>
        <w:ind w:left="2160" w:right="0" w:hanging="700"/>
      </w:pPr>
      <w:r>
        <w:rPr>
          <w:lang w:val="en-US" w:eastAsia="en-US" w:bidi="en-US"/>
          <w:rFonts w:ascii="Times New Roman" w:eastAsia="Times New Roman" w:hAnsi="Times New Roman" w:cs="Times New Roman"/>
          <w:w w:val="100"/>
          <w:spacing w:val="0"/>
          <w:color w:val="000000"/>
          <w:position w:val="0"/>
        </w:rPr>
        <w:t>(aa) the geological and the reservoir work done, together with the production profiles simulated, in order to reach the best depletion alternative;</w:t>
      </w:r>
    </w:p>
    <w:p>
      <w:pPr>
        <w:pStyle w:val="Style2"/>
        <w:widowControl w:val="0"/>
        <w:keepNext w:val="0"/>
        <w:keepLines w:val="0"/>
        <w:shd w:val="clear" w:color="auto" w:fill="auto"/>
        <w:bidi w:val="0"/>
        <w:spacing w:before="0" w:after="260"/>
        <w:ind w:left="2160" w:right="0" w:hanging="700"/>
      </w:pPr>
      <w:r>
        <w:rPr>
          <w:lang w:val="en-US" w:eastAsia="en-US" w:bidi="en-US"/>
          <w:rFonts w:ascii="Times New Roman" w:eastAsia="Times New Roman" w:hAnsi="Times New Roman" w:cs="Times New Roman"/>
          <w:w w:val="100"/>
          <w:spacing w:val="0"/>
          <w:color w:val="000000"/>
          <w:position w:val="0"/>
        </w:rPr>
        <w:t>(bb) the production, treatment and transportation facilities to be located in Timor-Leste;</w:t>
      </w:r>
    </w:p>
    <w:p>
      <w:pPr>
        <w:pStyle w:val="Style2"/>
        <w:widowControl w:val="0"/>
        <w:keepNext w:val="0"/>
        <w:keepLines w:val="0"/>
        <w:shd w:val="clear" w:color="auto" w:fill="auto"/>
        <w:bidi w:val="0"/>
        <w:spacing w:before="0" w:after="260"/>
        <w:ind w:left="2160" w:right="0" w:hanging="700"/>
      </w:pPr>
      <w:r>
        <w:rPr>
          <w:lang w:val="en-US" w:eastAsia="en-US" w:bidi="en-US"/>
          <w:rFonts w:ascii="Times New Roman" w:eastAsia="Times New Roman" w:hAnsi="Times New Roman" w:cs="Times New Roman"/>
          <w:w w:val="100"/>
          <w:spacing w:val="0"/>
          <w:color w:val="000000"/>
          <w:position w:val="0"/>
        </w:rPr>
        <w:t>(cc) facilities for transporting the Petroleum from the Contract Area and Timor- Leste; and</w:t>
      </w:r>
    </w:p>
    <w:p>
      <w:pPr>
        <w:pStyle w:val="Style2"/>
        <w:widowControl w:val="0"/>
        <w:keepNext w:val="0"/>
        <w:keepLines w:val="0"/>
        <w:shd w:val="clear" w:color="auto" w:fill="auto"/>
        <w:bidi w:val="0"/>
        <w:spacing w:before="0" w:after="260"/>
        <w:ind w:left="2160" w:right="0" w:hanging="700"/>
      </w:pPr>
      <w:r>
        <w:rPr>
          <w:lang w:val="en-US" w:eastAsia="en-US" w:bidi="en-US"/>
          <w:rFonts w:ascii="Times New Roman" w:eastAsia="Times New Roman" w:hAnsi="Times New Roman" w:cs="Times New Roman"/>
          <w:w w:val="100"/>
          <w:spacing w:val="0"/>
          <w:color w:val="000000"/>
          <w:position w:val="0"/>
        </w:rPr>
        <w:t>(dd) facilities, wherever located, which are connected to any such facilities as aforesaid and which (or the operation of which) might affect the integrity, management or operation thereof;</w:t>
      </w:r>
    </w:p>
    <w:p>
      <w:pPr>
        <w:pStyle w:val="Style2"/>
        <w:numPr>
          <w:ilvl w:val="0"/>
          <w:numId w:val="3"/>
        </w:numPr>
        <w:tabs>
          <w:tab w:leader="none" w:pos="1456" w:val="left"/>
        </w:tabs>
        <w:widowControl w:val="0"/>
        <w:keepNext w:val="0"/>
        <w:keepLines w:val="0"/>
        <w:shd w:val="clear" w:color="auto" w:fill="auto"/>
        <w:bidi w:val="0"/>
        <w:spacing w:before="0" w:after="260"/>
        <w:ind w:left="1460" w:right="0" w:hanging="720"/>
      </w:pPr>
      <w:r>
        <w:rPr>
          <w:lang w:val="en-US" w:eastAsia="en-US" w:bidi="en-US"/>
          <w:rFonts w:ascii="Times New Roman" w:eastAsia="Times New Roman" w:hAnsi="Times New Roman" w:cs="Times New Roman"/>
          <w:w w:val="100"/>
          <w:spacing w:val="0"/>
          <w:color w:val="000000"/>
          <w:position w:val="0"/>
        </w:rPr>
        <w:t>the production profiles for all hydrocarbon products, including possible injections for the life of the Development, the commencement of Production and the specific rates of Petroleum production, and the level of production and of deliveries which die Contractors submit, should constitute the start of Commercial Production;</w:t>
      </w:r>
    </w:p>
    <w:p>
      <w:pPr>
        <w:pStyle w:val="Style2"/>
        <w:numPr>
          <w:ilvl w:val="0"/>
          <w:numId w:val="3"/>
        </w:numPr>
        <w:tabs>
          <w:tab w:leader="none" w:pos="1456" w:val="left"/>
        </w:tabs>
        <w:widowControl w:val="0"/>
        <w:keepNext w:val="0"/>
        <w:keepLines w:val="0"/>
        <w:shd w:val="clear" w:color="auto" w:fill="auto"/>
        <w:bidi w:val="0"/>
        <w:spacing w:before="0" w:after="266"/>
        <w:ind w:left="1460" w:right="0" w:hanging="720"/>
      </w:pPr>
      <w:r>
        <w:rPr>
          <w:lang w:val="en-US" w:eastAsia="en-US" w:bidi="en-US"/>
          <w:rFonts w:ascii="Times New Roman" w:eastAsia="Times New Roman" w:hAnsi="Times New Roman" w:cs="Times New Roman"/>
          <w:w w:val="100"/>
          <w:spacing w:val="0"/>
          <w:color w:val="000000"/>
          <w:position w:val="0"/>
        </w:rPr>
        <w:t>the Decommissioning Plan, in such detail as the Ministry requires, including a calculation of the Decommissioning Costs, the annual Decommissioning Cost Reserve, and the Contractors’ proposal for the Decommissioning Security Agreement;</w:t>
      </w:r>
    </w:p>
    <w:p>
      <w:pPr>
        <w:pStyle w:val="Style2"/>
        <w:numPr>
          <w:ilvl w:val="0"/>
          <w:numId w:val="3"/>
        </w:numPr>
        <w:tabs>
          <w:tab w:leader="none" w:pos="1456" w:val="left"/>
        </w:tabs>
        <w:widowControl w:val="0"/>
        <w:keepNext w:val="0"/>
        <w:keepLines w:val="0"/>
        <w:shd w:val="clear" w:color="auto" w:fill="auto"/>
        <w:bidi w:val="0"/>
        <w:spacing w:before="0" w:after="254" w:line="245" w:lineRule="exact"/>
        <w:ind w:left="1460" w:right="0" w:hanging="720"/>
      </w:pPr>
      <w:r>
        <w:rPr>
          <w:lang w:val="en-US" w:eastAsia="en-US" w:bidi="en-US"/>
          <w:rFonts w:ascii="Times New Roman" w:eastAsia="Times New Roman" w:hAnsi="Times New Roman" w:cs="Times New Roman"/>
          <w:w w:val="100"/>
          <w:spacing w:val="0"/>
          <w:color w:val="000000"/>
          <w:position w:val="0"/>
        </w:rPr>
        <w:t>an environmental impact statement, and proposals for environmental management covering the life of the Development;</w:t>
      </w:r>
    </w:p>
    <w:p>
      <w:pPr>
        <w:pStyle w:val="Style2"/>
        <w:numPr>
          <w:ilvl w:val="0"/>
          <w:numId w:val="3"/>
        </w:numPr>
        <w:tabs>
          <w:tab w:leader="none" w:pos="1456" w:val="left"/>
        </w:tabs>
        <w:widowControl w:val="0"/>
        <w:keepNext w:val="0"/>
        <w:keepLines w:val="0"/>
        <w:shd w:val="clear" w:color="auto" w:fill="auto"/>
        <w:bidi w:val="0"/>
        <w:spacing w:before="0" w:after="202"/>
        <w:ind w:left="1460" w:right="0" w:hanging="720"/>
      </w:pPr>
      <w:r>
        <w:rPr>
          <w:lang w:val="en-US" w:eastAsia="en-US" w:bidi="en-US"/>
          <w:rFonts w:ascii="Times New Roman" w:eastAsia="Times New Roman" w:hAnsi="Times New Roman" w:cs="Times New Roman"/>
          <w:w w:val="100"/>
          <w:spacing w:val="0"/>
          <w:color w:val="000000"/>
          <w:position w:val="0"/>
        </w:rPr>
        <w:t>the Contractors’ proposals for ensuring the safety, health and welfare of persons in or about the proposed Petroleum Operations;</w:t>
      </w:r>
    </w:p>
    <w:p>
      <w:pPr>
        <w:pStyle w:val="Style4"/>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Page 21</w:t>
      </w:r>
    </w:p>
    <w:sectPr>
      <w:footnotePr>
        <w:pos w:val="pageBottom"/>
        <w:numFmt w:val="decimal"/>
        <w:numRestart w:val="continuous"/>
      </w:footnotePr>
      <w:pgSz w:w="11900" w:h="16840"/>
      <w:pgMar w:top="1232" w:left="1680" w:right="1328" w:bottom="10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lowerLetter"/>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lowerRoman"/>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 (2)_"/>
    <w:basedOn w:val="DefaultParagraphFont"/>
    <w:link w:val="Style2"/>
    <w:rPr>
      <w:b w:val="0"/>
      <w:bCs w:val="0"/>
      <w:i w:val="0"/>
      <w:iCs w:val="0"/>
      <w:u w:val="none"/>
      <w:strike w:val="0"/>
      <w:smallCaps w:val="0"/>
      <w:sz w:val="21"/>
      <w:szCs w:val="21"/>
    </w:rPr>
  </w:style>
  <w:style w:type="character" w:customStyle="1" w:styleId="CharStyle5">
    <w:name w:val="Body text (3)_"/>
    <w:basedOn w:val="DefaultParagraphFont"/>
    <w:link w:val="Style4"/>
    <w:rPr>
      <w:b w:val="0"/>
      <w:bCs w:val="0"/>
      <w:i w:val="0"/>
      <w:iCs w:val="0"/>
      <w:u w:val="none"/>
      <w:strike w:val="0"/>
      <w:smallCaps w:val="0"/>
      <w:sz w:val="18"/>
      <w:szCs w:val="18"/>
    </w:rPr>
  </w:style>
  <w:style w:type="paragraph" w:customStyle="1" w:styleId="Style2">
    <w:name w:val="Body text (2)"/>
    <w:basedOn w:val="Normal"/>
    <w:link w:val="CharStyle3"/>
    <w:pPr>
      <w:widowControl w:val="0"/>
      <w:shd w:val="clear" w:color="auto" w:fill="FFFFFF"/>
      <w:jc w:val="both"/>
      <w:spacing w:after="500" w:line="252" w:lineRule="exact"/>
      <w:ind w:hanging="740"/>
    </w:pPr>
    <w:rPr>
      <w:b w:val="0"/>
      <w:bCs w:val="0"/>
      <w:i w:val="0"/>
      <w:iCs w:val="0"/>
      <w:u w:val="none"/>
      <w:strike w:val="0"/>
      <w:smallCaps w:val="0"/>
      <w:sz w:val="21"/>
      <w:szCs w:val="21"/>
    </w:rPr>
  </w:style>
  <w:style w:type="paragraph" w:customStyle="1" w:styleId="Style4">
    <w:name w:val="Body text (3)"/>
    <w:basedOn w:val="Normal"/>
    <w:link w:val="CharStyle5"/>
    <w:pPr>
      <w:widowControl w:val="0"/>
      <w:shd w:val="clear" w:color="auto" w:fill="FFFFFF"/>
      <w:jc w:val="right"/>
      <w:spacing w:before="160" w:line="200" w:lineRule="exact"/>
    </w:pPr>
    <w:rPr>
      <w:b w:val="0"/>
      <w:bCs w:val="0"/>
      <w:i w:val="0"/>
      <w:iCs w:val="0"/>
      <w:u w:val="none"/>
      <w:strike w:val="0"/>
      <w:smallCaps w:val="0"/>
      <w:sz w:val="18"/>
      <w:szCs w:val="18"/>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