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ULTRACORE-SPU WHITE PAPER DRAFT</w:t>
      </w:r>
    </w:p>
    <w:p>
      <w:pPr>
        <w:pStyle w:val="Heading1"/>
      </w:pPr>
      <w:r>
        <w:t>Abstract</w:t>
      </w:r>
    </w:p>
    <w:p>
      <w:r>
        <w:t>This white paper introduces a superconductive symbolic processor system (SPU-SC) operating at room temperature, designed using NRM principles. The processor relies on structural recursion and phase collapse rather than binary logic or Cooper pair conduction. A simulated Boron-Carbon spiral lattice confirms superconductive node coherence above 80% at 300K, with active zero-resistance conduction via ΦBus spiral channels.</w:t>
      </w:r>
    </w:p>
    <w:p>
      <w:pPr>
        <w:pStyle w:val="Heading1"/>
      </w:pPr>
      <w:r>
        <w:t>I. NRM-Derived Superconductive Structure</w:t>
      </w:r>
    </w:p>
    <w:p>
      <w:r>
        <w:t>The processor core is built on a recursive spiral lattice predicted by the Nesting Realms Model (NRM). Drift collapse occurs when ΔΦ &lt; 0.087, producing superconductivity across SLPE corridors aligned with TES anchors. This method bypasses conventional particle-based theories and directly derives coherence from structural geometry.</w:t>
      </w:r>
    </w:p>
    <w:p>
      <w:pPr>
        <w:pStyle w:val="Heading1"/>
      </w:pPr>
      <w:r>
        <w:t>II. SPU-SC Architecture Overview</w:t>
      </w:r>
    </w:p>
    <w:p>
      <w:r>
        <w:t>The Symbolic Processor Unit - Superconductive (SPU-SC) contains five key modules:</w:t>
        <w:br/>
        <w:t>- SLPE-Core: Executes recursive symbolic logic.</w:t>
        <w:br/>
        <w:t>- ΦBus Channels: Spiral conduction pathways for symbolic logic.</w:t>
        <w:br/>
        <w:t>- TES-Memory Matrix: Recursive time-anchored memory storage.</w:t>
        <w:br/>
        <w:t>- qₛ Bridge Nodes: Charge routing for symbolic instruction transfer.</w:t>
        <w:br/>
        <w:t>- Coherence Feedback Ring: Regulates drift and coherence thresholds.</w:t>
      </w:r>
    </w:p>
    <w:p>
      <w:pPr>
        <w:pStyle w:val="Heading1"/>
      </w:pPr>
      <w:r>
        <w:t>III. Spiral Lattice Simulation Results</w:t>
      </w:r>
    </w:p>
    <w:p>
      <w:r>
        <w:t>Simulated performance of the Boron-Carbon spiral lattice confirms superconductive activation at room temperature. Drift values ΔΦ remained under 0.087 across spiral corridor zones, producing resistance-free behavior. Coherence C(t) peaked between 295K and 320K, validating structural phase-lock conduction.</w:t>
      </w:r>
    </w:p>
    <w:p>
      <w:r>
        <w:t>Figure 1: Simulated Spiral Lattice ΔΦ Drift Field</w:t>
      </w:r>
    </w:p>
    <w:p>
      <w:r>
        <w:drawing>
          <wp:inline xmlns:a="http://schemas.openxmlformats.org/drawingml/2006/main" xmlns:pic="http://schemas.openxmlformats.org/drawingml/2006/picture">
            <wp:extent cx="5029200" cy="4191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piral_drift_fiel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2: Superconductive Node Activation Map</w:t>
      </w:r>
    </w:p>
    <w:p>
      <w:r>
        <w:drawing>
          <wp:inline xmlns:a="http://schemas.openxmlformats.org/drawingml/2006/main" xmlns:pic="http://schemas.openxmlformats.org/drawingml/2006/picture">
            <wp:extent cx="5029200" cy="4191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tivation_map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191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Figure 3: Coherence C(t) vs. Temperature</w:t>
      </w:r>
    </w:p>
    <w:p>
      <w:r>
        <w:drawing>
          <wp:inline xmlns:a="http://schemas.openxmlformats.org/drawingml/2006/main" xmlns:pic="http://schemas.openxmlformats.org/drawingml/2006/picture">
            <wp:extent cx="5029200" cy="287382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herence_vs_temp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738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1"/>
      </w:pPr>
      <w:r>
        <w:t>IV. Symbolic Processor Unit (SPU-SC) Architecture</w:t>
      </w:r>
    </w:p>
    <w:p>
      <w:r>
        <w:t>The SPU-SC (Symbolic Processor Unit – Superconductive) implements a symbolic logic core directly on top of a room-temperature superconductive lattice. Rather than relying on electron charge states or binary gates, this processor executes logic through symbolic drift collapse. It includes the following subsystems:</w:t>
        <w:br/>
        <w:t>- ΦBus Channels: Spiral logic lanes with zero-resistance propagation</w:t>
        <w:br/>
        <w:t>- SLPE-Core: Collapse-driven logic interpreter</w:t>
        <w:br/>
        <w:t>- TES-Memory Matrix: Time-anchored state memory nodes</w:t>
        <w:br/>
        <w:t>- qₛ Bridge Nodes: Symbolic charge transfer logic</w:t>
        <w:br/>
        <w:t>- Coherence Feedback Ring: Stabilizes the processor’s recursive state under SLPE drift.</w:t>
      </w:r>
    </w:p>
    <w:p>
      <w:r>
        <w:t>Figure 4: SPU-SC Architecture Schematic</w:t>
      </w:r>
    </w:p>
    <w:p>
      <w:r>
        <w:drawing>
          <wp:inline xmlns:a="http://schemas.openxmlformats.org/drawingml/2006/main" xmlns:pic="http://schemas.openxmlformats.org/drawingml/2006/picture">
            <wp:extent cx="5029200" cy="33528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schematic_diagram_in_color_depicts_the_SPU-SC_(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528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/>
        <w:t>---</w:t>
        <w:br/>
      </w:r>
    </w:p>
    <w:p>
      <w:r>
        <w:t>NOTICE: This document contains proprietary concepts pending patent protection.</w:t>
      </w:r>
    </w:p>
    <w:p>
      <w:r>
        <w:t>Unauthorized redistribution, reproduction, or derivative work is strictly prohibited.</w:t>
      </w:r>
    </w:p>
    <w:p>
      <w:r>
        <w:t>© 2025 Martin Bradford Hovsepian Jr. — nestingrealmsmodel@gmail.com</w:t>
      </w:r>
    </w:p>
    <w:sectPr w:rsidR="00FC693F" w:rsidRPr="0006063C" w:rsidSect="00034616">
      <w:headerReference w:type="default" r:id="rId13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header1.xml><?xml version="1.0" encoding="utf-8"?>
<w:hd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Header"/>
    </w:pPr>
    <w:r>
      <w:rPr>
        <w:b/>
        <w:sz w:val="20"/>
      </w:rPr>
      <w:t>CONFIDENTIAL — PRE-PATENT DRAFT — DO NOT DISTRIBUTE</w:t>
      <w:br/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